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360" w:lineRule="auto"/>
        <w:jc w:val="center"/>
        <w:textAlignment w:val="baseline"/>
        <w:rPr>
          <w:b w:val="0"/>
          <w:i w:val="0"/>
          <w:caps w:val="0"/>
          <w:color w:val="auto"/>
          <w:spacing w:val="0"/>
          <w:w w:val="100"/>
          <w:sz w:val="24"/>
          <w:szCs w:val="24"/>
        </w:rPr>
      </w:pPr>
    </w:p>
    <w:p>
      <w:pPr>
        <w:snapToGrid w:val="0"/>
        <w:spacing w:before="0" w:beforeAutospacing="0" w:after="0" w:afterAutospacing="0" w:line="360" w:lineRule="auto"/>
        <w:jc w:val="center"/>
        <w:textAlignment w:val="baseline"/>
        <w:rPr>
          <w:b/>
          <w:i w:val="0"/>
          <w:caps w:val="0"/>
          <w:color w:val="auto"/>
          <w:spacing w:val="0"/>
          <w:w w:val="100"/>
          <w:sz w:val="36"/>
          <w:szCs w:val="36"/>
        </w:rPr>
      </w:pPr>
      <w:r>
        <w:rPr>
          <w:rFonts w:hint="eastAsia"/>
          <w:b/>
          <w:i w:val="0"/>
          <w:caps w:val="0"/>
          <w:color w:val="auto"/>
          <w:spacing w:val="0"/>
          <w:w w:val="100"/>
          <w:sz w:val="36"/>
          <w:szCs w:val="36"/>
        </w:rPr>
        <w:t>绍兴市中医院改扩建工程EPC总承包内</w:t>
      </w:r>
    </w:p>
    <w:p>
      <w:pPr>
        <w:snapToGrid w:val="0"/>
        <w:spacing w:before="0" w:beforeAutospacing="0" w:after="0" w:afterAutospacing="0" w:line="360" w:lineRule="auto"/>
        <w:jc w:val="center"/>
        <w:textAlignment w:val="baseline"/>
        <w:rPr>
          <w:b/>
          <w:i w:val="0"/>
          <w:caps w:val="0"/>
          <w:color w:val="auto"/>
          <w:spacing w:val="0"/>
          <w:w w:val="100"/>
          <w:sz w:val="36"/>
          <w:szCs w:val="36"/>
        </w:rPr>
      </w:pPr>
      <w:r>
        <w:rPr>
          <w:rFonts w:hint="eastAsia"/>
          <w:b/>
          <w:i w:val="0"/>
          <w:caps w:val="0"/>
          <w:color w:val="auto"/>
          <w:spacing w:val="0"/>
          <w:w w:val="100"/>
          <w:sz w:val="36"/>
          <w:szCs w:val="36"/>
        </w:rPr>
        <w:t>医疗物流系统项目 招标文件</w:t>
      </w:r>
    </w:p>
    <w:p>
      <w:pPr>
        <w:snapToGrid w:val="0"/>
        <w:spacing w:before="0" w:beforeAutospacing="0" w:after="0" w:afterAutospacing="0" w:line="360" w:lineRule="auto"/>
        <w:ind w:firstLine="3040"/>
        <w:jc w:val="both"/>
        <w:textAlignment w:val="baseline"/>
        <w:rPr>
          <w:b w:val="0"/>
          <w:i w:val="0"/>
          <w:caps w:val="0"/>
          <w:color w:val="auto"/>
          <w:spacing w:val="0"/>
          <w:w w:val="100"/>
          <w:sz w:val="28"/>
          <w:szCs w:val="28"/>
        </w:rPr>
      </w:pPr>
    </w:p>
    <w:p>
      <w:pPr>
        <w:snapToGrid w:val="0"/>
        <w:spacing w:before="0" w:beforeAutospacing="0" w:after="0" w:afterAutospacing="0" w:line="360" w:lineRule="auto"/>
        <w:ind w:firstLine="3040"/>
        <w:jc w:val="both"/>
        <w:textAlignment w:val="baseline"/>
        <w:rPr>
          <w:b w:val="0"/>
          <w:i w:val="0"/>
          <w:caps w:val="0"/>
          <w:color w:val="auto"/>
          <w:spacing w:val="0"/>
          <w:w w:val="100"/>
          <w:sz w:val="28"/>
          <w:szCs w:val="28"/>
        </w:rPr>
      </w:pPr>
    </w:p>
    <w:p>
      <w:pPr>
        <w:snapToGrid w:val="0"/>
        <w:spacing w:before="0" w:beforeAutospacing="0" w:after="0" w:afterAutospacing="0" w:line="360" w:lineRule="auto"/>
        <w:jc w:val="center"/>
        <w:textAlignment w:val="baseline"/>
        <w:rPr>
          <w:b w:val="0"/>
          <w:i w:val="0"/>
          <w:caps w:val="0"/>
          <w:color w:val="auto"/>
          <w:spacing w:val="0"/>
          <w:w w:val="100"/>
          <w:sz w:val="28"/>
          <w:szCs w:val="28"/>
        </w:rPr>
      </w:pPr>
    </w:p>
    <w:p>
      <w:pPr>
        <w:snapToGrid w:val="0"/>
        <w:spacing w:before="0" w:beforeAutospacing="0" w:after="0" w:afterAutospacing="0" w:line="360" w:lineRule="auto"/>
        <w:jc w:val="center"/>
        <w:textAlignment w:val="baseline"/>
        <w:rPr>
          <w:b w:val="0"/>
          <w:i w:val="0"/>
          <w:caps w:val="0"/>
          <w:color w:val="auto"/>
          <w:spacing w:val="0"/>
          <w:w w:val="100"/>
          <w:sz w:val="28"/>
          <w:szCs w:val="28"/>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pStyle w:val="12"/>
        <w:snapToGrid w:val="0"/>
        <w:spacing w:before="0" w:beforeAutospacing="0" w:after="0" w:afterAutospacing="0" w:line="240" w:lineRule="auto"/>
        <w:jc w:val="both"/>
        <w:textAlignment w:val="baseline"/>
        <w:rPr>
          <w:b/>
          <w:i w:val="0"/>
          <w:caps w:val="0"/>
          <w:color w:val="auto"/>
          <w:spacing w:val="0"/>
          <w:w w:val="100"/>
          <w:sz w:val="28"/>
          <w:szCs w:val="28"/>
        </w:rPr>
      </w:pPr>
    </w:p>
    <w:p>
      <w:pPr>
        <w:pStyle w:val="13"/>
        <w:snapToGrid w:val="0"/>
        <w:spacing w:before="0" w:beforeAutospacing="0" w:after="0" w:afterAutospacing="0" w:line="480" w:lineRule="auto"/>
        <w:jc w:val="both"/>
        <w:textAlignment w:val="baseline"/>
        <w:rPr>
          <w:rFonts w:ascii="Times New Roman" w:hAnsi="Times New Roman" w:eastAsia="宋体" w:cs="Times New Roman"/>
          <w:b w:val="0"/>
          <w:i w:val="0"/>
          <w:caps w:val="0"/>
          <w:color w:val="auto"/>
          <w:spacing w:val="0"/>
          <w:w w:val="100"/>
          <w:sz w:val="21"/>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snapToGrid w:val="0"/>
        <w:spacing w:before="0" w:beforeAutospacing="0" w:after="0" w:afterAutospacing="0" w:line="360" w:lineRule="auto"/>
        <w:jc w:val="both"/>
        <w:textAlignment w:val="baseline"/>
        <w:rPr>
          <w:b/>
          <w:i w:val="0"/>
          <w:caps w:val="0"/>
          <w:color w:val="auto"/>
          <w:spacing w:val="0"/>
          <w:w w:val="100"/>
          <w:sz w:val="28"/>
          <w:szCs w:val="28"/>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snapToGrid w:val="0"/>
        <w:spacing w:before="0" w:beforeAutospacing="0" w:after="0" w:afterAutospacing="0" w:line="360" w:lineRule="auto"/>
        <w:jc w:val="both"/>
        <w:textAlignment w:val="baseline"/>
        <w:rPr>
          <w:b/>
          <w:i w:val="0"/>
          <w:caps w:val="0"/>
          <w:color w:val="auto"/>
          <w:spacing w:val="0"/>
          <w:w w:val="100"/>
          <w:sz w:val="28"/>
          <w:szCs w:val="28"/>
        </w:rPr>
      </w:pPr>
    </w:p>
    <w:p>
      <w:pPr>
        <w:pStyle w:val="47"/>
        <w:snapToGrid w:val="0"/>
        <w:spacing w:before="0" w:beforeAutospacing="0" w:after="0" w:afterAutospacing="0" w:line="360" w:lineRule="auto"/>
        <w:ind w:firstLine="480" w:firstLineChars="200"/>
        <w:jc w:val="both"/>
        <w:textAlignment w:val="baseline"/>
        <w:rPr>
          <w:rFonts w:ascii="Times New Roman" w:hAnsi="Times New Roman" w:eastAsia="宋体" w:cs="Times New Roman"/>
          <w:b w:val="0"/>
          <w:i w:val="0"/>
          <w:caps w:val="0"/>
          <w:color w:val="auto"/>
          <w:spacing w:val="0"/>
          <w:w w:val="100"/>
          <w:sz w:val="24"/>
        </w:rPr>
      </w:pPr>
    </w:p>
    <w:p>
      <w:pPr>
        <w:snapToGrid w:val="0"/>
        <w:spacing w:before="0" w:beforeAutospacing="0" w:after="0" w:afterAutospacing="0" w:line="360" w:lineRule="auto"/>
        <w:jc w:val="center"/>
        <w:textAlignment w:val="baseline"/>
        <w:rPr>
          <w:b/>
          <w:i w:val="0"/>
          <w:caps w:val="0"/>
          <w:color w:val="auto"/>
          <w:spacing w:val="0"/>
          <w:w w:val="100"/>
          <w:sz w:val="28"/>
          <w:szCs w:val="28"/>
        </w:rPr>
      </w:pPr>
    </w:p>
    <w:p>
      <w:pPr>
        <w:snapToGrid w:val="0"/>
        <w:spacing w:before="0" w:beforeAutospacing="0" w:after="0" w:afterAutospacing="0" w:line="360" w:lineRule="auto"/>
        <w:jc w:val="center"/>
        <w:textAlignment w:val="baseline"/>
        <w:rPr>
          <w:b/>
          <w:i w:val="0"/>
          <w:caps w:val="0"/>
          <w:color w:val="auto"/>
          <w:spacing w:val="0"/>
          <w:w w:val="100"/>
          <w:sz w:val="28"/>
          <w:szCs w:val="28"/>
        </w:rPr>
      </w:pPr>
      <w:r>
        <w:rPr>
          <w:rFonts w:hint="eastAsia"/>
          <w:b/>
          <w:i w:val="0"/>
          <w:caps w:val="0"/>
          <w:color w:val="auto"/>
          <w:spacing w:val="0"/>
          <w:w w:val="100"/>
          <w:sz w:val="28"/>
          <w:szCs w:val="28"/>
        </w:rPr>
        <w:t>招  标  人：浙江中成建工集团有限公司</w:t>
      </w:r>
    </w:p>
    <w:p>
      <w:pPr>
        <w:snapToGrid w:val="0"/>
        <w:spacing w:before="0" w:beforeAutospacing="0" w:after="0" w:afterAutospacing="0" w:line="360" w:lineRule="auto"/>
        <w:jc w:val="center"/>
        <w:textAlignment w:val="baseline"/>
        <w:rPr>
          <w:b/>
          <w:i w:val="0"/>
          <w:caps w:val="0"/>
          <w:color w:val="auto"/>
          <w:spacing w:val="0"/>
          <w:w w:val="100"/>
          <w:sz w:val="28"/>
          <w:szCs w:val="28"/>
        </w:rPr>
      </w:pPr>
      <w:r>
        <w:rPr>
          <w:rFonts w:hint="eastAsia"/>
          <w:b/>
          <w:i w:val="0"/>
          <w:caps w:val="0"/>
          <w:color w:val="auto"/>
          <w:spacing w:val="0"/>
          <w:w w:val="100"/>
          <w:sz w:val="28"/>
          <w:szCs w:val="28"/>
        </w:rPr>
        <w:t>招标代理机构：浙江翔实建设项目管理有限公司</w:t>
      </w:r>
    </w:p>
    <w:p>
      <w:pPr>
        <w:snapToGrid w:val="0"/>
        <w:spacing w:before="0" w:beforeAutospacing="0" w:after="0" w:afterAutospacing="0" w:line="360" w:lineRule="auto"/>
        <w:jc w:val="center"/>
        <w:textAlignment w:val="baseline"/>
        <w:rPr>
          <w:b/>
          <w:i w:val="0"/>
          <w:caps w:val="0"/>
          <w:color w:val="auto"/>
          <w:spacing w:val="0"/>
          <w:w w:val="100"/>
          <w:sz w:val="44"/>
        </w:rPr>
      </w:pPr>
      <w:r>
        <w:rPr>
          <w:rFonts w:hint="eastAsia"/>
          <w:b w:val="0"/>
          <w:i w:val="0"/>
          <w:caps w:val="0"/>
          <w:color w:val="auto"/>
          <w:spacing w:val="0"/>
          <w:w w:val="100"/>
          <w:sz w:val="28"/>
          <w:szCs w:val="28"/>
        </w:rPr>
        <w:t xml:space="preserve">2021年 9 月 </w:t>
      </w:r>
    </w:p>
    <w:p>
      <w:pPr>
        <w:snapToGrid w:val="0"/>
        <w:spacing w:before="0" w:beforeAutospacing="0" w:after="0" w:afterAutospacing="0" w:line="300" w:lineRule="auto"/>
        <w:jc w:val="center"/>
        <w:textAlignment w:val="baseline"/>
        <w:rPr>
          <w:b/>
          <w:i w:val="0"/>
          <w:caps w:val="0"/>
          <w:color w:val="auto"/>
          <w:spacing w:val="0"/>
          <w:w w:val="100"/>
          <w:sz w:val="32"/>
          <w:szCs w:val="32"/>
        </w:rPr>
      </w:pPr>
      <w:r>
        <w:rPr>
          <w:rFonts w:hint="eastAsia"/>
          <w:b/>
          <w:i w:val="0"/>
          <w:caps w:val="0"/>
          <w:color w:val="auto"/>
          <w:spacing w:val="0"/>
          <w:w w:val="100"/>
          <w:sz w:val="32"/>
          <w:szCs w:val="32"/>
        </w:rPr>
        <w:br w:type="page"/>
      </w:r>
    </w:p>
    <w:p>
      <w:pPr>
        <w:snapToGrid w:val="0"/>
        <w:spacing w:before="0" w:beforeAutospacing="0" w:after="0" w:afterAutospacing="0" w:line="300" w:lineRule="auto"/>
        <w:jc w:val="center"/>
        <w:textAlignment w:val="baseline"/>
        <w:rPr>
          <w:rFonts w:ascii="宋体" w:hAnsi="宋体" w:cs="宋体"/>
          <w:b/>
          <w:i w:val="0"/>
          <w:caps w:val="0"/>
          <w:color w:val="auto"/>
          <w:spacing w:val="0"/>
          <w:w w:val="100"/>
          <w:sz w:val="28"/>
          <w:szCs w:val="28"/>
        </w:rPr>
      </w:pPr>
      <w:bookmarkStart w:id="0" w:name="_Toc10676"/>
      <w:r>
        <w:rPr>
          <w:rFonts w:hint="eastAsia" w:ascii="宋体" w:hAnsi="宋体" w:cs="宋体"/>
          <w:b/>
          <w:i w:val="0"/>
          <w:caps w:val="0"/>
          <w:color w:val="auto"/>
          <w:spacing w:val="0"/>
          <w:w w:val="100"/>
          <w:sz w:val="28"/>
          <w:szCs w:val="28"/>
        </w:rPr>
        <w:t>绍兴市中医院改扩建工程EPC总承包内医疗物流系统项目</w:t>
      </w:r>
    </w:p>
    <w:p>
      <w:pPr>
        <w:snapToGrid w:val="0"/>
        <w:spacing w:before="0" w:beforeAutospacing="0" w:after="0" w:afterAutospacing="0" w:line="300" w:lineRule="auto"/>
        <w:jc w:val="center"/>
        <w:textAlignment w:val="baseline"/>
        <w:rPr>
          <w:rFonts w:ascii="宋体" w:hAnsi="宋体" w:cs="宋体"/>
          <w:b/>
          <w:i w:val="0"/>
          <w:caps w:val="0"/>
          <w:color w:val="auto"/>
          <w:spacing w:val="0"/>
          <w:w w:val="100"/>
          <w:sz w:val="28"/>
          <w:szCs w:val="28"/>
        </w:rPr>
      </w:pPr>
      <w:r>
        <w:rPr>
          <w:rFonts w:hint="eastAsia" w:ascii="宋体" w:hAnsi="宋体" w:cs="宋体"/>
          <w:b/>
          <w:i w:val="0"/>
          <w:caps w:val="0"/>
          <w:color w:val="auto"/>
          <w:spacing w:val="0"/>
          <w:w w:val="100"/>
          <w:sz w:val="28"/>
          <w:szCs w:val="28"/>
        </w:rPr>
        <w:t>招标文件</w:t>
      </w:r>
    </w:p>
    <w:p>
      <w:pPr>
        <w:snapToGrid w:val="0"/>
        <w:spacing w:before="0" w:beforeAutospacing="0" w:after="0" w:afterAutospacing="0" w:line="300" w:lineRule="auto"/>
        <w:jc w:val="center"/>
        <w:textAlignment w:val="baseline"/>
        <w:rPr>
          <w:b/>
          <w:i w:val="0"/>
          <w:caps w:val="0"/>
          <w:color w:val="auto"/>
          <w:spacing w:val="0"/>
          <w:w w:val="100"/>
          <w:sz w:val="32"/>
          <w:szCs w:val="32"/>
        </w:rPr>
      </w:pPr>
    </w:p>
    <w:p>
      <w:pPr>
        <w:pStyle w:val="47"/>
        <w:snapToGrid w:val="0"/>
        <w:spacing w:before="0" w:beforeAutospacing="0" w:after="0" w:afterAutospacing="0" w:line="360" w:lineRule="auto"/>
        <w:ind w:firstLine="480" w:firstLineChars="200"/>
        <w:jc w:val="both"/>
        <w:textAlignment w:val="baseline"/>
        <w:rPr>
          <w:rFonts w:ascii="Times New Roman" w:hAnsi="Times New Roman" w:eastAsia="宋体" w:cs="Times New Roman"/>
          <w:b w:val="0"/>
          <w:i w:val="0"/>
          <w:caps w:val="0"/>
          <w:color w:val="auto"/>
          <w:spacing w:val="0"/>
          <w:w w:val="100"/>
          <w:sz w:val="24"/>
        </w:rPr>
      </w:pPr>
    </w:p>
    <w:p>
      <w:pPr>
        <w:pStyle w:val="29"/>
        <w:snapToGrid w:val="0"/>
        <w:spacing w:before="0" w:beforeAutospacing="0" w:after="0" w:afterAutospacing="0" w:line="240" w:lineRule="auto"/>
        <w:ind w:firstLine="340" w:firstLineChars="100"/>
        <w:jc w:val="both"/>
        <w:textAlignment w:val="baseline"/>
        <w:rPr>
          <w:rFonts w:ascii="Times New Roman" w:hAnsi="Times New Roman" w:eastAsia="宋体" w:cs="Times New Roman"/>
          <w:b w:val="0"/>
          <w:i w:val="0"/>
          <w:caps w:val="0"/>
          <w:color w:val="auto"/>
          <w:spacing w:val="0"/>
          <w:w w:val="100"/>
          <w:sz w:val="34"/>
        </w:rPr>
      </w:pPr>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0"/>
          <w:w w:val="100"/>
          <w:sz w:val="24"/>
          <w:szCs w:val="24"/>
          <w:u w:val="single"/>
        </w:rPr>
      </w:pPr>
      <w:r>
        <w:rPr>
          <w:rFonts w:hint="eastAsia" w:ascii="宋体" w:hAnsi="宋体" w:cs="宋体"/>
          <w:b w:val="0"/>
          <w:i w:val="0"/>
          <w:caps w:val="0"/>
          <w:color w:val="auto"/>
          <w:spacing w:val="0"/>
          <w:w w:val="100"/>
          <w:sz w:val="24"/>
          <w:szCs w:val="24"/>
        </w:rPr>
        <w:t>招标人名称：</w:t>
      </w:r>
      <w:r>
        <w:rPr>
          <w:rFonts w:hint="eastAsia" w:ascii="宋体" w:hAnsi="宋体" w:cs="宋体"/>
          <w:b w:val="0"/>
          <w:i w:val="0"/>
          <w:caps w:val="0"/>
          <w:color w:val="auto"/>
          <w:spacing w:val="0"/>
          <w:w w:val="100"/>
          <w:sz w:val="24"/>
          <w:szCs w:val="24"/>
          <w:u w:val="single" w:color="000000"/>
        </w:rPr>
        <w:t xml:space="preserve">      浙江中成建工集团有限公司          </w:t>
      </w:r>
      <w:r>
        <w:rPr>
          <w:rFonts w:hint="eastAsia" w:ascii="宋体" w:hAnsi="宋体" w:cs="宋体"/>
          <w:b w:val="0"/>
          <w:i w:val="0"/>
          <w:caps w:val="0"/>
          <w:color w:val="auto"/>
          <w:spacing w:val="0"/>
          <w:w w:val="100"/>
          <w:sz w:val="24"/>
          <w:szCs w:val="24"/>
        </w:rPr>
        <w:t>（盖章）</w:t>
      </w:r>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招标人法人代表：</w:t>
      </w:r>
      <w:r>
        <w:rPr>
          <w:rFonts w:hint="eastAsia" w:ascii="宋体" w:hAnsi="宋体" w:cs="宋体"/>
          <w:b w:val="0"/>
          <w:i w:val="0"/>
          <w:caps w:val="0"/>
          <w:color w:val="auto"/>
          <w:spacing w:val="0"/>
          <w:w w:val="100"/>
          <w:sz w:val="24"/>
          <w:szCs w:val="24"/>
          <w:u w:val="single" w:color="000000"/>
        </w:rPr>
        <w:t xml:space="preserve">    高建兴      </w:t>
      </w:r>
      <w:r>
        <w:rPr>
          <w:rFonts w:hint="eastAsia" w:ascii="宋体" w:hAnsi="宋体" w:cs="宋体"/>
          <w:b w:val="0"/>
          <w:i w:val="0"/>
          <w:caps w:val="0"/>
          <w:color w:val="auto"/>
          <w:spacing w:val="0"/>
          <w:w w:val="100"/>
          <w:sz w:val="24"/>
          <w:szCs w:val="24"/>
        </w:rPr>
        <w:t>（盖章）</w:t>
      </w:r>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0"/>
          <w:w w:val="100"/>
          <w:sz w:val="24"/>
          <w:szCs w:val="24"/>
          <w:u w:val="single"/>
        </w:rPr>
      </w:pPr>
      <w:r>
        <w:rPr>
          <w:rFonts w:hint="eastAsia" w:ascii="宋体" w:hAnsi="宋体" w:cs="宋体"/>
          <w:b w:val="0"/>
          <w:i w:val="0"/>
          <w:caps w:val="0"/>
          <w:color w:val="auto"/>
          <w:spacing w:val="0"/>
          <w:w w:val="100"/>
          <w:sz w:val="24"/>
          <w:szCs w:val="24"/>
        </w:rPr>
        <w:t>招标人地址：</w:t>
      </w:r>
      <w:r>
        <w:rPr>
          <w:rFonts w:hint="eastAsia" w:ascii="宋体" w:hAnsi="宋体" w:cs="宋体"/>
          <w:b w:val="0"/>
          <w:i w:val="0"/>
          <w:caps w:val="0"/>
          <w:color w:val="auto"/>
          <w:spacing w:val="0"/>
          <w:w w:val="100"/>
          <w:sz w:val="24"/>
          <w:szCs w:val="24"/>
          <w:u w:val="single" w:color="000000"/>
        </w:rPr>
        <w:t xml:space="preserve">   凤林西路123号中成大厦    </w:t>
      </w:r>
      <w:bookmarkStart w:id="444" w:name="_GoBack"/>
      <w:bookmarkEnd w:id="444"/>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邮政编码：</w:t>
      </w:r>
      <w:r>
        <w:rPr>
          <w:rFonts w:hint="eastAsia" w:ascii="宋体" w:hAnsi="宋体" w:cs="宋体"/>
          <w:b w:val="0"/>
          <w:i w:val="0"/>
          <w:caps w:val="0"/>
          <w:color w:val="auto"/>
          <w:spacing w:val="0"/>
          <w:w w:val="100"/>
          <w:sz w:val="24"/>
          <w:szCs w:val="24"/>
          <w:u w:val="single" w:color="000000"/>
        </w:rPr>
        <w:t xml:space="preserve">   312000   </w:t>
      </w:r>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0"/>
          <w:w w:val="100"/>
          <w:sz w:val="24"/>
          <w:szCs w:val="24"/>
          <w:u w:val="single"/>
        </w:rPr>
      </w:pPr>
      <w:r>
        <w:rPr>
          <w:rFonts w:hint="eastAsia" w:ascii="宋体" w:hAnsi="宋体" w:cs="宋体"/>
          <w:b w:val="0"/>
          <w:i w:val="0"/>
          <w:caps w:val="0"/>
          <w:color w:val="auto"/>
          <w:spacing w:val="0"/>
          <w:w w:val="100"/>
          <w:sz w:val="24"/>
          <w:szCs w:val="24"/>
        </w:rPr>
        <w:t>联 系 人：</w:t>
      </w:r>
      <w:r>
        <w:rPr>
          <w:rFonts w:hint="eastAsia" w:ascii="宋体" w:hAnsi="宋体" w:cs="宋体"/>
          <w:b w:val="0"/>
          <w:i w:val="0"/>
          <w:caps w:val="0"/>
          <w:color w:val="auto"/>
          <w:spacing w:val="0"/>
          <w:w w:val="100"/>
          <w:sz w:val="24"/>
          <w:szCs w:val="24"/>
          <w:u w:val="single" w:color="000000"/>
        </w:rPr>
        <w:t xml:space="preserve">  冯文君  </w:t>
      </w:r>
      <w:r>
        <w:rPr>
          <w:rFonts w:hint="eastAsia" w:ascii="宋体" w:hAnsi="宋体" w:cs="宋体"/>
          <w:b w:val="0"/>
          <w:i w:val="0"/>
          <w:caps w:val="0"/>
          <w:color w:val="auto"/>
          <w:spacing w:val="0"/>
          <w:w w:val="100"/>
          <w:sz w:val="24"/>
          <w:szCs w:val="24"/>
        </w:rPr>
        <w:t xml:space="preserve"> 电    话：</w:t>
      </w:r>
      <w:r>
        <w:rPr>
          <w:rFonts w:hint="eastAsia" w:ascii="宋体" w:hAnsi="宋体" w:cs="宋体"/>
          <w:b w:val="0"/>
          <w:i w:val="0"/>
          <w:caps w:val="0"/>
          <w:color w:val="auto"/>
          <w:spacing w:val="0"/>
          <w:w w:val="100"/>
          <w:sz w:val="24"/>
          <w:szCs w:val="24"/>
          <w:u w:val="single" w:color="000000"/>
        </w:rPr>
        <w:t xml:space="preserve">15967559599 </w:t>
      </w:r>
    </w:p>
    <w:p>
      <w:pPr>
        <w:pStyle w:val="47"/>
        <w:snapToGrid w:val="0"/>
        <w:spacing w:before="0" w:beforeAutospacing="0" w:after="0" w:afterAutospacing="0" w:line="360" w:lineRule="auto"/>
        <w:ind w:firstLine="480" w:firstLineChars="200"/>
        <w:jc w:val="both"/>
        <w:textAlignment w:val="baseline"/>
        <w:rPr>
          <w:rFonts w:ascii="Times New Roman" w:hAnsi="Times New Roman" w:eastAsia="宋体" w:cs="Times New Roman"/>
          <w:b w:val="0"/>
          <w:i w:val="0"/>
          <w:caps w:val="0"/>
          <w:color w:val="auto"/>
          <w:spacing w:val="0"/>
          <w:w w:val="100"/>
          <w:sz w:val="24"/>
        </w:rPr>
      </w:pPr>
    </w:p>
    <w:p>
      <w:pPr>
        <w:pStyle w:val="47"/>
        <w:snapToGrid w:val="0"/>
        <w:spacing w:before="0" w:beforeAutospacing="0" w:after="0" w:afterAutospacing="0" w:line="360" w:lineRule="auto"/>
        <w:ind w:firstLine="480" w:firstLineChars="200"/>
        <w:jc w:val="both"/>
        <w:textAlignment w:val="baseline"/>
        <w:rPr>
          <w:rFonts w:ascii="Times New Roman" w:hAnsi="Times New Roman" w:eastAsia="宋体" w:cs="Times New Roman"/>
          <w:b w:val="0"/>
          <w:i w:val="0"/>
          <w:caps w:val="0"/>
          <w:color w:val="auto"/>
          <w:spacing w:val="0"/>
          <w:w w:val="100"/>
          <w:sz w:val="24"/>
        </w:rPr>
      </w:pPr>
    </w:p>
    <w:p>
      <w:pPr>
        <w:pStyle w:val="29"/>
        <w:snapToGrid w:val="0"/>
        <w:spacing w:before="0" w:beforeAutospacing="0" w:after="0" w:afterAutospacing="0" w:line="240" w:lineRule="auto"/>
        <w:ind w:firstLine="340" w:firstLineChars="100"/>
        <w:jc w:val="both"/>
        <w:textAlignment w:val="baseline"/>
        <w:rPr>
          <w:rFonts w:ascii="Times New Roman" w:hAnsi="Times New Roman" w:eastAsia="宋体" w:cs="Times New Roman"/>
          <w:b w:val="0"/>
          <w:i w:val="0"/>
          <w:caps w:val="0"/>
          <w:color w:val="auto"/>
          <w:spacing w:val="0"/>
          <w:w w:val="100"/>
          <w:sz w:val="34"/>
        </w:rPr>
      </w:pPr>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10"/>
          <w:w w:val="100"/>
          <w:sz w:val="24"/>
          <w:szCs w:val="24"/>
        </w:rPr>
      </w:pPr>
      <w:r>
        <w:rPr>
          <w:rFonts w:hint="eastAsia" w:ascii="宋体" w:hAnsi="宋体" w:cs="宋体"/>
          <w:b w:val="0"/>
          <w:i w:val="0"/>
          <w:caps w:val="0"/>
          <w:color w:val="auto"/>
          <w:spacing w:val="0"/>
          <w:w w:val="100"/>
          <w:sz w:val="24"/>
          <w:szCs w:val="24"/>
        </w:rPr>
        <w:t>招</w:t>
      </w:r>
      <w:r>
        <w:rPr>
          <w:rFonts w:hint="eastAsia" w:ascii="宋体" w:hAnsi="宋体" w:cs="宋体"/>
          <w:b w:val="0"/>
          <w:i w:val="0"/>
          <w:caps w:val="0"/>
          <w:color w:val="auto"/>
          <w:spacing w:val="-10"/>
          <w:w w:val="100"/>
          <w:sz w:val="24"/>
          <w:szCs w:val="24"/>
        </w:rPr>
        <w:t>标代理机构名称：</w:t>
      </w:r>
      <w:r>
        <w:rPr>
          <w:rFonts w:hint="eastAsia" w:ascii="宋体" w:hAnsi="宋体" w:cs="宋体"/>
          <w:b w:val="0"/>
          <w:i w:val="0"/>
          <w:caps w:val="0"/>
          <w:color w:val="auto"/>
          <w:spacing w:val="-10"/>
          <w:w w:val="100"/>
          <w:sz w:val="24"/>
          <w:szCs w:val="24"/>
          <w:u w:val="single" w:color="000000"/>
        </w:rPr>
        <w:t xml:space="preserve">  浙江翔实建设项目管理有限公司        </w:t>
      </w:r>
      <w:r>
        <w:rPr>
          <w:rFonts w:hint="eastAsia" w:ascii="宋体" w:hAnsi="宋体" w:cs="宋体"/>
          <w:b w:val="0"/>
          <w:i w:val="0"/>
          <w:caps w:val="0"/>
          <w:color w:val="auto"/>
          <w:spacing w:val="-10"/>
          <w:w w:val="100"/>
          <w:sz w:val="24"/>
          <w:szCs w:val="24"/>
        </w:rPr>
        <w:t>（盖章）</w:t>
      </w:r>
    </w:p>
    <w:p>
      <w:pPr>
        <w:snapToGrid w:val="0"/>
        <w:spacing w:before="0" w:beforeAutospacing="0" w:after="0" w:afterAutospacing="0" w:line="560" w:lineRule="exact"/>
        <w:ind w:firstLine="829" w:firstLineChars="377"/>
        <w:jc w:val="both"/>
        <w:textAlignment w:val="baseline"/>
        <w:rPr>
          <w:rFonts w:ascii="宋体" w:hAnsi="宋体" w:cs="宋体"/>
          <w:b w:val="0"/>
          <w:i w:val="0"/>
          <w:caps w:val="0"/>
          <w:color w:val="auto"/>
          <w:spacing w:val="-10"/>
          <w:w w:val="100"/>
          <w:sz w:val="24"/>
          <w:szCs w:val="24"/>
        </w:rPr>
      </w:pPr>
      <w:r>
        <w:rPr>
          <w:rFonts w:hint="eastAsia" w:ascii="宋体" w:hAnsi="宋体" w:cs="宋体"/>
          <w:b w:val="0"/>
          <w:i w:val="0"/>
          <w:caps w:val="0"/>
          <w:color w:val="auto"/>
          <w:spacing w:val="-10"/>
          <w:w w:val="100"/>
          <w:sz w:val="24"/>
          <w:szCs w:val="24"/>
        </w:rPr>
        <w:t>招标代理机构法人代表：</w:t>
      </w:r>
      <w:r>
        <w:rPr>
          <w:rFonts w:hint="eastAsia" w:ascii="宋体" w:hAnsi="宋体" w:cs="宋体"/>
          <w:b w:val="0"/>
          <w:i w:val="0"/>
          <w:caps w:val="0"/>
          <w:color w:val="auto"/>
          <w:spacing w:val="-10"/>
          <w:w w:val="100"/>
          <w:sz w:val="24"/>
          <w:szCs w:val="24"/>
          <w:u w:val="single" w:color="000000"/>
        </w:rPr>
        <w:t xml:space="preserve">     </w:t>
      </w:r>
      <w:r>
        <w:rPr>
          <w:rFonts w:hint="eastAsia" w:ascii="宋体" w:hAnsi="宋体" w:cs="宋体"/>
          <w:b w:val="0"/>
          <w:i w:val="0"/>
          <w:iCs/>
          <w:caps w:val="0"/>
          <w:color w:val="auto"/>
          <w:spacing w:val="-10"/>
          <w:w w:val="100"/>
          <w:sz w:val="24"/>
          <w:szCs w:val="24"/>
          <w:u w:val="single" w:color="000000"/>
        </w:rPr>
        <w:t xml:space="preserve">袁小雷    </w:t>
      </w:r>
      <w:r>
        <w:rPr>
          <w:rFonts w:hint="eastAsia" w:ascii="宋体" w:hAnsi="宋体" w:cs="宋体"/>
          <w:b w:val="0"/>
          <w:i w:val="0"/>
          <w:iCs/>
          <w:caps w:val="0"/>
          <w:color w:val="auto"/>
          <w:spacing w:val="-10"/>
          <w:w w:val="100"/>
          <w:sz w:val="24"/>
          <w:szCs w:val="24"/>
          <w:u w:val="single" w:color="000000"/>
        </w:rPr>
        <w:tab/>
      </w:r>
      <w:r>
        <w:rPr>
          <w:rFonts w:hint="eastAsia" w:ascii="宋体" w:hAnsi="宋体" w:cs="宋体"/>
          <w:b w:val="0"/>
          <w:i w:val="0"/>
          <w:caps w:val="0"/>
          <w:color w:val="auto"/>
          <w:spacing w:val="-10"/>
          <w:w w:val="100"/>
          <w:sz w:val="24"/>
          <w:szCs w:val="24"/>
        </w:rPr>
        <w:t>（盖章）</w:t>
      </w:r>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0"/>
          <w:w w:val="100"/>
          <w:sz w:val="24"/>
          <w:szCs w:val="24"/>
          <w:u w:val="single"/>
        </w:rPr>
      </w:pPr>
      <w:r>
        <w:rPr>
          <w:rFonts w:hint="eastAsia" w:ascii="宋体" w:hAnsi="宋体" w:cs="宋体"/>
          <w:b w:val="0"/>
          <w:i w:val="0"/>
          <w:caps w:val="0"/>
          <w:color w:val="auto"/>
          <w:spacing w:val="0"/>
          <w:w w:val="100"/>
          <w:sz w:val="24"/>
          <w:szCs w:val="24"/>
        </w:rPr>
        <w:t>联系人：</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iCs/>
          <w:caps w:val="0"/>
          <w:color w:val="auto"/>
          <w:spacing w:val="0"/>
          <w:w w:val="100"/>
          <w:sz w:val="24"/>
          <w:szCs w:val="24"/>
          <w:u w:val="single" w:color="000000"/>
        </w:rPr>
        <w:t xml:space="preserve">金琴子   </w:t>
      </w:r>
      <w:r>
        <w:rPr>
          <w:rFonts w:hint="eastAsia" w:ascii="宋体" w:hAnsi="宋体" w:cs="宋体"/>
          <w:b w:val="0"/>
          <w:i w:val="0"/>
          <w:caps w:val="0"/>
          <w:color w:val="auto"/>
          <w:spacing w:val="0"/>
          <w:w w:val="100"/>
          <w:sz w:val="24"/>
          <w:szCs w:val="24"/>
        </w:rPr>
        <w:t>电    话：</w:t>
      </w:r>
      <w:r>
        <w:rPr>
          <w:rFonts w:hint="eastAsia" w:ascii="宋体" w:hAnsi="宋体" w:cs="宋体"/>
          <w:b w:val="0"/>
          <w:i w:val="0"/>
          <w:caps w:val="0"/>
          <w:color w:val="auto"/>
          <w:spacing w:val="0"/>
          <w:w w:val="100"/>
          <w:sz w:val="24"/>
          <w:szCs w:val="24"/>
          <w:u w:val="single" w:color="000000"/>
        </w:rPr>
        <w:t xml:space="preserve">   0575-88682895   </w:t>
      </w:r>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0"/>
          <w:w w:val="100"/>
          <w:sz w:val="24"/>
          <w:szCs w:val="24"/>
          <w:u w:val="single"/>
        </w:rPr>
      </w:pPr>
      <w:r>
        <w:rPr>
          <w:rFonts w:hint="eastAsia" w:ascii="宋体" w:hAnsi="宋体" w:cs="宋体"/>
          <w:b w:val="0"/>
          <w:i w:val="0"/>
          <w:caps w:val="0"/>
          <w:color w:val="auto"/>
          <w:spacing w:val="0"/>
          <w:w w:val="100"/>
          <w:sz w:val="24"/>
          <w:szCs w:val="24"/>
        </w:rPr>
        <w:t>手  机：</w:t>
      </w:r>
      <w:r>
        <w:rPr>
          <w:rFonts w:hint="eastAsia" w:ascii="宋体" w:hAnsi="宋体" w:cs="宋体"/>
          <w:b w:val="0"/>
          <w:i w:val="0"/>
          <w:caps w:val="0"/>
          <w:color w:val="auto"/>
          <w:spacing w:val="0"/>
          <w:w w:val="100"/>
          <w:sz w:val="24"/>
          <w:szCs w:val="24"/>
          <w:u w:val="single" w:color="000000"/>
        </w:rPr>
        <w:t xml:space="preserve">  18969515361  </w:t>
      </w:r>
    </w:p>
    <w:p>
      <w:pPr>
        <w:snapToGrid w:val="0"/>
        <w:spacing w:before="0" w:beforeAutospacing="0" w:after="0" w:afterAutospacing="0" w:line="560" w:lineRule="exact"/>
        <w:ind w:firstLine="840" w:firstLineChars="350"/>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签发日期：</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iCs/>
          <w:caps w:val="0"/>
          <w:color w:val="auto"/>
          <w:spacing w:val="0"/>
          <w:w w:val="100"/>
          <w:sz w:val="24"/>
          <w:szCs w:val="24"/>
          <w:u w:val="single" w:color="000000"/>
        </w:rPr>
        <w:t xml:space="preserve">2021  </w:t>
      </w:r>
      <w:r>
        <w:rPr>
          <w:rFonts w:hint="eastAsia" w:ascii="宋体" w:hAnsi="宋体" w:cs="宋体"/>
          <w:b w:val="0"/>
          <w:i w:val="0"/>
          <w:caps w:val="0"/>
          <w:color w:val="auto"/>
          <w:spacing w:val="0"/>
          <w:w w:val="100"/>
          <w:sz w:val="24"/>
          <w:szCs w:val="24"/>
        </w:rPr>
        <w:t>年</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caps w:val="0"/>
          <w:color w:val="auto"/>
          <w:spacing w:val="0"/>
          <w:w w:val="100"/>
          <w:sz w:val="24"/>
          <w:szCs w:val="24"/>
        </w:rPr>
        <w:t>月</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caps w:val="0"/>
          <w:color w:val="auto"/>
          <w:spacing w:val="0"/>
          <w:w w:val="100"/>
          <w:sz w:val="24"/>
          <w:szCs w:val="24"/>
        </w:rPr>
        <w:t>日</w:t>
      </w:r>
    </w:p>
    <w:p>
      <w:pPr>
        <w:snapToGrid w:val="0"/>
        <w:spacing w:before="0" w:beforeAutospacing="0" w:after="0" w:afterAutospacing="0" w:line="560" w:lineRule="exact"/>
        <w:jc w:val="both"/>
        <w:textAlignment w:val="baseline"/>
        <w:rPr>
          <w:rFonts w:ascii="宋体" w:hAnsi="宋体" w:cs="宋体"/>
          <w:b w:val="0"/>
          <w:i w:val="0"/>
          <w:caps w:val="0"/>
          <w:color w:val="auto"/>
          <w:spacing w:val="0"/>
          <w:w w:val="100"/>
          <w:sz w:val="24"/>
          <w:szCs w:val="24"/>
          <w:u w:val="single"/>
        </w:rPr>
      </w:pPr>
    </w:p>
    <w:p>
      <w:pPr>
        <w:pStyle w:val="29"/>
        <w:snapToGrid w:val="0"/>
        <w:spacing w:before="0" w:beforeAutospacing="0" w:after="0" w:afterAutospacing="0" w:line="560" w:lineRule="exact"/>
        <w:ind w:firstLine="0" w:firstLineChars="0"/>
        <w:jc w:val="both"/>
        <w:textAlignment w:val="baseline"/>
        <w:rPr>
          <w:rFonts w:ascii="宋体" w:hAnsi="宋体" w:cs="宋体"/>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560" w:lineRule="exact"/>
        <w:ind w:firstLine="840" w:firstLineChars="350"/>
        <w:jc w:val="left"/>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备案单位：</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caps w:val="0"/>
          <w:color w:val="auto"/>
          <w:spacing w:val="0"/>
          <w:w w:val="100"/>
          <w:sz w:val="24"/>
          <w:szCs w:val="24"/>
        </w:rPr>
        <w:t>（盖章）</w:t>
      </w:r>
    </w:p>
    <w:p>
      <w:pPr>
        <w:snapToGrid w:val="0"/>
        <w:spacing w:before="0" w:beforeAutospacing="0" w:after="0" w:afterAutospacing="0" w:line="560" w:lineRule="exact"/>
        <w:ind w:firstLine="840" w:firstLineChars="350"/>
        <w:jc w:val="left"/>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备案经办人：</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caps w:val="0"/>
          <w:color w:val="auto"/>
          <w:spacing w:val="0"/>
          <w:w w:val="100"/>
          <w:sz w:val="24"/>
          <w:szCs w:val="24"/>
        </w:rPr>
        <w:t>（签字）</w:t>
      </w:r>
    </w:p>
    <w:p>
      <w:pPr>
        <w:snapToGrid w:val="0"/>
        <w:spacing w:before="0" w:beforeAutospacing="0" w:after="0" w:afterAutospacing="0" w:line="560" w:lineRule="exact"/>
        <w:ind w:firstLine="840" w:firstLineChars="350"/>
        <w:jc w:val="left"/>
        <w:textAlignment w:val="baseline"/>
        <w:rPr>
          <w:rFonts w:ascii="宋体" w:hAnsi="宋体" w:cs="宋体"/>
          <w:b w:val="0"/>
          <w:i w:val="0"/>
          <w:caps w:val="0"/>
          <w:color w:val="auto"/>
          <w:spacing w:val="0"/>
          <w:w w:val="100"/>
          <w:sz w:val="24"/>
          <w:szCs w:val="24"/>
        </w:rPr>
        <w:sectPr>
          <w:footerReference r:id="rId3" w:type="default"/>
          <w:pgSz w:w="11910" w:h="16840"/>
          <w:pgMar w:top="1440" w:right="1134" w:bottom="1440" w:left="1134" w:header="720" w:footer="720" w:gutter="0"/>
          <w:pgNumType w:start="0"/>
          <w:cols w:space="720" w:num="1"/>
          <w:titlePg/>
          <w:docGrid w:linePitch="286" w:charSpace="0"/>
        </w:sectPr>
      </w:pPr>
      <w:r>
        <w:rPr>
          <w:rFonts w:hint="eastAsia" w:ascii="宋体" w:hAnsi="宋体" w:cs="宋体"/>
          <w:b w:val="0"/>
          <w:i w:val="0"/>
          <w:caps w:val="0"/>
          <w:color w:val="auto"/>
          <w:spacing w:val="0"/>
          <w:w w:val="100"/>
          <w:sz w:val="24"/>
          <w:szCs w:val="24"/>
        </w:rPr>
        <w:t>备案日期：</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caps w:val="0"/>
          <w:color w:val="auto"/>
          <w:spacing w:val="0"/>
          <w:w w:val="100"/>
          <w:sz w:val="24"/>
          <w:szCs w:val="24"/>
        </w:rPr>
        <w:t>年</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caps w:val="0"/>
          <w:color w:val="auto"/>
          <w:spacing w:val="0"/>
          <w:w w:val="100"/>
          <w:sz w:val="24"/>
          <w:szCs w:val="24"/>
        </w:rPr>
        <w:t>月</w:t>
      </w:r>
      <w:r>
        <w:rPr>
          <w:rFonts w:hint="eastAsia" w:ascii="宋体" w:hAnsi="宋体" w:cs="宋体"/>
          <w:b w:val="0"/>
          <w:i w:val="0"/>
          <w:caps w:val="0"/>
          <w:color w:val="auto"/>
          <w:spacing w:val="0"/>
          <w:w w:val="100"/>
          <w:sz w:val="24"/>
          <w:szCs w:val="24"/>
          <w:u w:val="single" w:color="000000"/>
        </w:rPr>
        <w:t xml:space="preserve">            </w:t>
      </w:r>
      <w:r>
        <w:rPr>
          <w:rFonts w:hint="eastAsia" w:ascii="宋体" w:hAnsi="宋体" w:cs="宋体"/>
          <w:b w:val="0"/>
          <w:i w:val="0"/>
          <w:caps w:val="0"/>
          <w:color w:val="auto"/>
          <w:spacing w:val="0"/>
          <w:w w:val="100"/>
          <w:sz w:val="24"/>
          <w:szCs w:val="24"/>
        </w:rPr>
        <w:t>日</w:t>
      </w:r>
    </w:p>
    <w:p>
      <w:pPr>
        <w:pStyle w:val="3"/>
        <w:snapToGrid w:val="0"/>
        <w:spacing w:before="156" w:beforeAutospacing="0" w:after="312" w:afterAutospacing="0" w:line="360" w:lineRule="auto"/>
        <w:jc w:val="center"/>
        <w:textAlignment w:val="baseline"/>
        <w:rPr>
          <w:b/>
          <w:i w:val="0"/>
          <w:caps w:val="0"/>
          <w:color w:val="auto"/>
          <w:spacing w:val="0"/>
          <w:w w:val="100"/>
          <w:sz w:val="36"/>
          <w:szCs w:val="36"/>
        </w:rPr>
      </w:pPr>
      <w:r>
        <w:rPr>
          <w:rFonts w:hint="eastAsia"/>
          <w:b/>
          <w:i w:val="0"/>
          <w:caps w:val="0"/>
          <w:color w:val="auto"/>
          <w:spacing w:val="0"/>
          <w:w w:val="100"/>
          <w:sz w:val="36"/>
          <w:szCs w:val="36"/>
        </w:rPr>
        <w:t>目  录</w:t>
      </w:r>
    </w:p>
    <w:p>
      <w:pPr>
        <w:snapToGrid w:val="0"/>
        <w:spacing w:before="0" w:beforeAutospacing="0" w:after="0" w:afterAutospacing="0" w:line="360" w:lineRule="auto"/>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 xml:space="preserve">第一章  招标公告 </w:t>
      </w:r>
    </w:p>
    <w:p>
      <w:pPr>
        <w:snapToGrid w:val="0"/>
        <w:spacing w:before="0" w:beforeAutospacing="0" w:after="0" w:afterAutospacing="0" w:line="360" w:lineRule="auto"/>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 xml:space="preserve">第二章  投标人须知 </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第一节投标人须知前附表 </w:t>
      </w:r>
    </w:p>
    <w:p>
      <w:pPr>
        <w:pStyle w:val="47"/>
        <w:snapToGrid w:val="0"/>
        <w:spacing w:before="0" w:beforeAutospacing="0" w:after="0" w:afterAutospacing="0" w:line="360" w:lineRule="auto"/>
        <w:ind w:firstLine="420" w:firstLineChars="200"/>
        <w:jc w:val="both"/>
        <w:textAlignment w:val="baseline"/>
        <w:rPr>
          <w:rFonts w:ascii="Times New Roman" w:hAnsi="Times New Roman" w:eastAsia="宋体" w:cs="Times New Roman"/>
          <w:b w:val="0"/>
          <w:i w:val="0"/>
          <w:caps w:val="0"/>
          <w:color w:val="auto"/>
          <w:spacing w:val="0"/>
          <w:w w:val="100"/>
          <w:sz w:val="21"/>
          <w:szCs w:val="21"/>
        </w:rPr>
      </w:pPr>
      <w:r>
        <w:rPr>
          <w:rFonts w:hint="eastAsia"/>
          <w:b w:val="0"/>
          <w:i w:val="0"/>
          <w:caps w:val="0"/>
          <w:color w:val="auto"/>
          <w:spacing w:val="0"/>
          <w:w w:val="100"/>
          <w:sz w:val="21"/>
          <w:szCs w:val="21"/>
        </w:rPr>
        <w:t>第二节投标人须知</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附表一：开标记录表 </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附表二：问题澄清通知 </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附表三：问题的澄清  </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附表四：中标通知书 </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附表五：中标结果通知书  </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附表六：确认通知 </w:t>
      </w:r>
    </w:p>
    <w:p>
      <w:pPr>
        <w:snapToGrid w:val="0"/>
        <w:spacing w:before="0" w:beforeAutospacing="0" w:after="0" w:afterAutospacing="0" w:line="360" w:lineRule="auto"/>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第三章  评标办法（综合评估法）</w:t>
      </w:r>
    </w:p>
    <w:p>
      <w:pPr>
        <w:snapToGrid w:val="0"/>
        <w:spacing w:before="0" w:beforeAutospacing="0" w:after="0" w:afterAutospacing="0" w:line="360" w:lineRule="auto"/>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第四章  合同条款及格式</w:t>
      </w:r>
    </w:p>
    <w:p>
      <w:pPr>
        <w:pStyle w:val="47"/>
        <w:snapToGrid w:val="0"/>
        <w:spacing w:before="0" w:beforeAutospacing="0" w:after="0" w:afterAutospacing="0" w:line="360" w:lineRule="auto"/>
        <w:ind w:firstLine="0" w:firstLineChars="0"/>
        <w:jc w:val="both"/>
        <w:textAlignment w:val="baseline"/>
        <w:rPr>
          <w:rFonts w:ascii="Times New Roman" w:hAnsi="Times New Roman" w:eastAsia="宋体" w:cs="Times New Roman"/>
          <w:b w:val="0"/>
          <w:i w:val="0"/>
          <w:caps w:val="0"/>
          <w:color w:val="auto"/>
          <w:spacing w:val="0"/>
          <w:w w:val="100"/>
          <w:sz w:val="24"/>
          <w:lang w:val="en-US"/>
        </w:rPr>
      </w:pPr>
      <w:r>
        <w:rPr>
          <w:rFonts w:hint="eastAsia" w:ascii="宋体" w:hAnsi="宋体" w:cs="宋体"/>
          <w:b w:val="0"/>
          <w:i w:val="0"/>
          <w:caps w:val="0"/>
          <w:color w:val="auto"/>
          <w:spacing w:val="0"/>
          <w:w w:val="100"/>
          <w:sz w:val="24"/>
          <w:szCs w:val="24"/>
        </w:rPr>
        <w:t>第五章</w:t>
      </w:r>
      <w:r>
        <w:rPr>
          <w:rFonts w:hint="eastAsia" w:ascii="宋体" w:hAnsi="宋体" w:cs="宋体"/>
          <w:b w:val="0"/>
          <w:i w:val="0"/>
          <w:caps w:val="0"/>
          <w:color w:val="auto"/>
          <w:spacing w:val="0"/>
          <w:w w:val="100"/>
          <w:sz w:val="24"/>
          <w:szCs w:val="24"/>
          <w:lang w:val="en-US"/>
        </w:rPr>
        <w:t xml:space="preserve">  图纸</w:t>
      </w:r>
    </w:p>
    <w:p>
      <w:pPr>
        <w:snapToGrid w:val="0"/>
        <w:spacing w:before="0" w:beforeAutospacing="0" w:after="0" w:afterAutospacing="0" w:line="360" w:lineRule="auto"/>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第六章  技术标准和要求</w:t>
      </w:r>
    </w:p>
    <w:p>
      <w:pPr>
        <w:snapToGrid w:val="0"/>
        <w:spacing w:before="0" w:beforeAutospacing="0" w:after="0" w:afterAutospacing="0" w:line="360" w:lineRule="auto"/>
        <w:jc w:val="both"/>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第七章  投标文件格式</w:t>
      </w:r>
    </w:p>
    <w:p>
      <w:pPr>
        <w:pStyle w:val="3"/>
        <w:snapToGrid w:val="0"/>
        <w:spacing w:before="0" w:beforeAutospacing="0" w:after="0" w:afterAutospacing="0" w:line="360" w:lineRule="auto"/>
        <w:jc w:val="center"/>
        <w:textAlignment w:val="baseline"/>
        <w:rPr>
          <w:b/>
          <w:i w:val="0"/>
          <w:caps w:val="0"/>
          <w:color w:val="auto"/>
          <w:spacing w:val="0"/>
          <w:w w:val="100"/>
          <w:sz w:val="28"/>
        </w:rPr>
      </w:pPr>
      <w:r>
        <w:rPr>
          <w:rFonts w:hint="eastAsia"/>
          <w:b/>
          <w:i w:val="0"/>
          <w:caps w:val="0"/>
          <w:color w:val="auto"/>
          <w:spacing w:val="0"/>
          <w:w w:val="100"/>
          <w:sz w:val="28"/>
        </w:rPr>
        <w:br w:type="page"/>
      </w:r>
    </w:p>
    <w:p>
      <w:pPr>
        <w:snapToGrid w:val="0"/>
        <w:spacing w:before="0" w:beforeAutospacing="0" w:after="0" w:afterAutospacing="0" w:line="360" w:lineRule="auto"/>
        <w:jc w:val="center"/>
        <w:textAlignment w:val="baseline"/>
        <w:rPr>
          <w:b/>
          <w:i w:val="0"/>
          <w:caps w:val="0"/>
          <w:color w:val="auto"/>
          <w:spacing w:val="0"/>
          <w:w w:val="100"/>
          <w:sz w:val="28"/>
        </w:rPr>
      </w:pPr>
      <w:r>
        <w:rPr>
          <w:rFonts w:hint="eastAsia"/>
          <w:b/>
          <w:i w:val="0"/>
          <w:caps w:val="0"/>
          <w:color w:val="auto"/>
          <w:spacing w:val="0"/>
          <w:w w:val="100"/>
          <w:sz w:val="28"/>
        </w:rPr>
        <w:t>第一章 招标公告</w:t>
      </w:r>
      <w:bookmarkEnd w:id="0"/>
    </w:p>
    <w:p>
      <w:pPr>
        <w:snapToGrid w:val="0"/>
        <w:spacing w:before="0" w:beforeAutospacing="0" w:after="0" w:afterAutospacing="0" w:line="360" w:lineRule="exact"/>
        <w:ind w:firstLine="440" w:firstLineChars="200"/>
        <w:jc w:val="center"/>
        <w:textAlignment w:val="baseline"/>
        <w:rPr>
          <w:rFonts w:ascii="宋体" w:hAnsi="宋体"/>
          <w:b w:val="0"/>
          <w:i w:val="0"/>
          <w:caps w:val="0"/>
          <w:color w:val="auto"/>
          <w:spacing w:val="0"/>
          <w:w w:val="100"/>
          <w:sz w:val="22"/>
          <w:u w:val="single"/>
        </w:rPr>
      </w:pPr>
      <w:r>
        <w:rPr>
          <w:rFonts w:hint="eastAsia" w:ascii="宋体" w:hAnsi="宋体"/>
          <w:b w:val="0"/>
          <w:i w:val="0"/>
          <w:caps w:val="0"/>
          <w:color w:val="auto"/>
          <w:spacing w:val="0"/>
          <w:w w:val="100"/>
          <w:sz w:val="22"/>
          <w:u w:val="single" w:color="000000"/>
        </w:rPr>
        <w:t>绍兴市中医院改扩建工程EPC总承包内医疗物流系统项目</w:t>
      </w:r>
    </w:p>
    <w:p>
      <w:pPr>
        <w:snapToGrid w:val="0"/>
        <w:spacing w:before="0" w:beforeAutospacing="0" w:after="156" w:afterAutospacing="0" w:line="360" w:lineRule="exact"/>
        <w:ind w:firstLine="442" w:firstLineChars="200"/>
        <w:jc w:val="center"/>
        <w:textAlignment w:val="baseline"/>
        <w:rPr>
          <w:rFonts w:ascii="宋体" w:hAnsi="宋体"/>
          <w:b w:val="0"/>
          <w:i w:val="0"/>
          <w:caps w:val="0"/>
          <w:color w:val="auto"/>
          <w:spacing w:val="0"/>
          <w:w w:val="100"/>
          <w:sz w:val="18"/>
          <w:szCs w:val="18"/>
          <w:u w:val="single"/>
        </w:rPr>
      </w:pPr>
      <w:r>
        <w:rPr>
          <w:rFonts w:hint="eastAsia" w:ascii="宋体" w:hAnsi="宋体"/>
          <w:b/>
          <w:i w:val="0"/>
          <w:caps w:val="0"/>
          <w:color w:val="auto"/>
          <w:spacing w:val="0"/>
          <w:w w:val="100"/>
          <w:sz w:val="22"/>
        </w:rPr>
        <w:t>招标公告</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1.招标条件</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本招标项目</w:t>
      </w:r>
      <w:r>
        <w:rPr>
          <w:rFonts w:hint="eastAsia" w:ascii="宋体" w:hAnsi="宋体" w:cs="宋体"/>
          <w:b/>
          <w:bCs/>
          <w:i w:val="0"/>
          <w:caps w:val="0"/>
          <w:color w:val="auto"/>
          <w:spacing w:val="0"/>
          <w:w w:val="100"/>
          <w:sz w:val="21"/>
          <w:szCs w:val="21"/>
          <w:u w:val="single" w:color="000000"/>
        </w:rPr>
        <w:t>绍兴市中医院改扩建工程</w:t>
      </w:r>
      <w:r>
        <w:rPr>
          <w:rFonts w:hint="eastAsia" w:ascii="宋体" w:hAnsi="宋体" w:cs="宋体"/>
          <w:b w:val="0"/>
          <w:i w:val="0"/>
          <w:caps w:val="0"/>
          <w:color w:val="auto"/>
          <w:spacing w:val="0"/>
          <w:w w:val="100"/>
          <w:sz w:val="21"/>
          <w:szCs w:val="21"/>
        </w:rPr>
        <w:t>（项目名称）已由</w:t>
      </w:r>
      <w:r>
        <w:rPr>
          <w:rFonts w:hint="eastAsia" w:ascii="宋体" w:hAnsi="宋体" w:cs="宋体"/>
          <w:b/>
          <w:i w:val="0"/>
          <w:caps w:val="0"/>
          <w:color w:val="auto"/>
          <w:spacing w:val="0"/>
          <w:w w:val="100"/>
          <w:sz w:val="21"/>
          <w:szCs w:val="21"/>
          <w:u w:val="single" w:color="000000"/>
        </w:rPr>
        <w:t>绍兴市发展和改革委员会</w:t>
      </w:r>
      <w:r>
        <w:rPr>
          <w:rFonts w:hint="eastAsia" w:ascii="宋体" w:hAnsi="宋体" w:cs="宋体"/>
          <w:b w:val="0"/>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项目审批、核准或备案机关名称）以</w:t>
      </w:r>
      <w:r>
        <w:rPr>
          <w:rFonts w:hint="eastAsia" w:ascii="宋体" w:hAnsi="宋体" w:cs="宋体"/>
          <w:b/>
          <w:i w:val="0"/>
          <w:caps w:val="0"/>
          <w:color w:val="auto"/>
          <w:spacing w:val="0"/>
          <w:w w:val="100"/>
          <w:sz w:val="21"/>
          <w:szCs w:val="21"/>
          <w:u w:val="single" w:color="000000"/>
        </w:rPr>
        <w:t>绍市发改中心〔2018〕49号</w:t>
      </w:r>
      <w:r>
        <w:rPr>
          <w:rFonts w:hint="eastAsia" w:ascii="宋体" w:hAnsi="宋体" w:cs="宋体"/>
          <w:b w:val="0"/>
          <w:i w:val="0"/>
          <w:caps w:val="0"/>
          <w:color w:val="auto"/>
          <w:spacing w:val="0"/>
          <w:w w:val="100"/>
          <w:sz w:val="21"/>
          <w:szCs w:val="21"/>
        </w:rPr>
        <w:t>（批文名称及编号）批准建设，项目业主为</w:t>
      </w:r>
      <w:r>
        <w:rPr>
          <w:rFonts w:hint="eastAsia" w:ascii="宋体" w:hAnsi="宋体" w:cs="宋体"/>
          <w:b/>
          <w:i w:val="0"/>
          <w:iCs/>
          <w:caps w:val="0"/>
          <w:color w:val="auto"/>
          <w:spacing w:val="0"/>
          <w:w w:val="100"/>
          <w:sz w:val="21"/>
          <w:szCs w:val="21"/>
          <w:u w:val="single" w:color="000000"/>
        </w:rPr>
        <w:t>绍兴市中医院</w:t>
      </w:r>
      <w:r>
        <w:rPr>
          <w:rFonts w:hint="eastAsia" w:ascii="宋体" w:hAnsi="宋体" w:cs="宋体"/>
          <w:b w:val="0"/>
          <w:i w:val="0"/>
          <w:caps w:val="0"/>
          <w:color w:val="auto"/>
          <w:spacing w:val="0"/>
          <w:w w:val="100"/>
          <w:sz w:val="21"/>
          <w:szCs w:val="21"/>
        </w:rPr>
        <w:t>，建设资金来自</w:t>
      </w:r>
      <w:r>
        <w:rPr>
          <w:rFonts w:hint="eastAsia" w:ascii="宋体" w:hAnsi="宋体" w:cs="宋体"/>
          <w:b/>
          <w:i w:val="0"/>
          <w:caps w:val="0"/>
          <w:color w:val="auto"/>
          <w:spacing w:val="0"/>
          <w:w w:val="100"/>
          <w:sz w:val="21"/>
          <w:szCs w:val="21"/>
          <w:u w:val="single" w:color="000000"/>
        </w:rPr>
        <w:t>财政拨款</w:t>
      </w:r>
      <w:r>
        <w:rPr>
          <w:rFonts w:hint="eastAsia" w:ascii="宋体" w:hAnsi="宋体" w:cs="宋体"/>
          <w:b w:val="0"/>
          <w:i w:val="0"/>
          <w:caps w:val="0"/>
          <w:color w:val="auto"/>
          <w:spacing w:val="0"/>
          <w:w w:val="100"/>
          <w:sz w:val="21"/>
          <w:szCs w:val="21"/>
        </w:rPr>
        <w:t>（资金来源），项目出资比例为</w:t>
      </w:r>
      <w:r>
        <w:rPr>
          <w:rFonts w:hint="eastAsia" w:ascii="宋体" w:hAnsi="宋体" w:cs="宋体"/>
          <w:b/>
          <w:i w:val="0"/>
          <w:caps w:val="0"/>
          <w:color w:val="auto"/>
          <w:spacing w:val="0"/>
          <w:w w:val="100"/>
          <w:sz w:val="21"/>
          <w:szCs w:val="21"/>
          <w:u w:val="single" w:color="000000"/>
        </w:rPr>
        <w:t>100%</w:t>
      </w:r>
      <w:r>
        <w:rPr>
          <w:rFonts w:hint="eastAsia" w:ascii="宋体" w:hAnsi="宋体" w:cs="宋体"/>
          <w:b w:val="0"/>
          <w:i w:val="0"/>
          <w:caps w:val="0"/>
          <w:color w:val="auto"/>
          <w:spacing w:val="0"/>
          <w:w w:val="100"/>
          <w:sz w:val="21"/>
          <w:szCs w:val="21"/>
        </w:rPr>
        <w:t>，招标人为</w:t>
      </w:r>
      <w:r>
        <w:rPr>
          <w:rFonts w:hint="eastAsia" w:ascii="宋体" w:hAnsi="宋体" w:cs="宋体"/>
          <w:b/>
          <w:i w:val="0"/>
          <w:iCs/>
          <w:caps w:val="0"/>
          <w:color w:val="auto"/>
          <w:spacing w:val="0"/>
          <w:w w:val="100"/>
          <w:sz w:val="21"/>
          <w:szCs w:val="21"/>
          <w:u w:val="single" w:color="000000"/>
        </w:rPr>
        <w:t>浙江中成建工集团有限公司</w:t>
      </w:r>
      <w:r>
        <w:rPr>
          <w:rFonts w:hint="eastAsia" w:ascii="宋体" w:hAnsi="宋体" w:cs="宋体"/>
          <w:b w:val="0"/>
          <w:i w:val="0"/>
          <w:caps w:val="0"/>
          <w:color w:val="auto"/>
          <w:spacing w:val="0"/>
          <w:w w:val="100"/>
          <w:sz w:val="21"/>
          <w:szCs w:val="21"/>
        </w:rPr>
        <w:t>。项目已具备招标条件，现对该项目的</w:t>
      </w:r>
      <w:r>
        <w:rPr>
          <w:rFonts w:hint="eastAsia" w:ascii="宋体" w:hAnsi="宋体" w:cs="宋体"/>
          <w:b w:val="0"/>
          <w:i w:val="0"/>
          <w:caps w:val="0"/>
          <w:color w:val="auto"/>
          <w:spacing w:val="0"/>
          <w:w w:val="100"/>
          <w:sz w:val="21"/>
          <w:szCs w:val="21"/>
          <w:u w:val="single" w:color="000000"/>
        </w:rPr>
        <w:t xml:space="preserve"> 物流系统 </w:t>
      </w:r>
      <w:r>
        <w:rPr>
          <w:rFonts w:hint="eastAsia" w:ascii="宋体" w:hAnsi="宋体" w:cs="宋体"/>
          <w:b w:val="0"/>
          <w:i w:val="0"/>
          <w:caps w:val="0"/>
          <w:color w:val="auto"/>
          <w:spacing w:val="0"/>
          <w:w w:val="100"/>
          <w:sz w:val="21"/>
          <w:szCs w:val="21"/>
        </w:rPr>
        <w:t>进行</w:t>
      </w:r>
      <w:r>
        <w:rPr>
          <w:rFonts w:hint="eastAsia" w:ascii="宋体" w:hAnsi="宋体" w:cs="宋体"/>
          <w:b/>
          <w:i w:val="0"/>
          <w:caps w:val="0"/>
          <w:color w:val="auto"/>
          <w:spacing w:val="0"/>
          <w:w w:val="100"/>
          <w:sz w:val="21"/>
          <w:szCs w:val="21"/>
          <w:u w:val="single" w:color="000000"/>
        </w:rPr>
        <w:t>公开</w:t>
      </w:r>
      <w:r>
        <w:rPr>
          <w:rFonts w:hint="eastAsia" w:ascii="宋体" w:hAnsi="宋体" w:cs="宋体"/>
          <w:b w:val="0"/>
          <w:i w:val="0"/>
          <w:caps w:val="0"/>
          <w:color w:val="auto"/>
          <w:spacing w:val="0"/>
          <w:w w:val="100"/>
          <w:sz w:val="21"/>
          <w:szCs w:val="21"/>
        </w:rPr>
        <w:t>招标。</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2.项目概况与招标范围</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 建设地点：</w:t>
      </w:r>
      <w:r>
        <w:rPr>
          <w:rFonts w:hint="eastAsia" w:ascii="宋体" w:hAnsi="宋体" w:cs="Arial"/>
          <w:b/>
          <w:i w:val="0"/>
          <w:caps w:val="0"/>
          <w:color w:val="auto"/>
          <w:spacing w:val="0"/>
          <w:w w:val="100"/>
          <w:sz w:val="21"/>
          <w:szCs w:val="21"/>
          <w:u w:val="single" w:color="000000"/>
        </w:rPr>
        <w:t>项目位于越城区稽山路以东、环城东路及新世纪公寓以西、人民中路以北、东街以南地块</w:t>
      </w:r>
      <w:r>
        <w:rPr>
          <w:rFonts w:hint="eastAsia" w:ascii="宋体" w:hAnsi="宋体" w:cs="宋体"/>
          <w:b w:val="0"/>
          <w:i w:val="0"/>
          <w:caps w:val="0"/>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 建设规模：</w:t>
      </w:r>
      <w:r>
        <w:rPr>
          <w:rFonts w:hint="eastAsia" w:ascii="宋体" w:hAnsi="宋体" w:cs="宋体"/>
          <w:b w:val="0"/>
          <w:i w:val="0"/>
          <w:caps w:val="0"/>
          <w:color w:val="auto"/>
          <w:spacing w:val="0"/>
          <w:w w:val="100"/>
          <w:sz w:val="21"/>
          <w:szCs w:val="21"/>
          <w:u w:val="single" w:color="000000"/>
        </w:rPr>
        <w:t>改扩建工程项目总用地面积43044平方米（其中扩建区用地面积25006平方米，改建区用地面积18038平方米）；总建筑面积104880平方米，其中：东、中改建区地上建筑面积34573平方米，地下建筑面积7141平方米，西区扩建区地上建筑面积39727平方米，地下建筑面积23433平方米（含三等人防医疗工程救护站1845平方米）。工程费用约56016万元</w:t>
      </w:r>
      <w:r>
        <w:rPr>
          <w:rFonts w:hint="eastAsia" w:ascii="宋体" w:hAnsi="宋体" w:cs="宋体"/>
          <w:b/>
          <w:bCs/>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招标上限价：</w:t>
      </w:r>
      <w:r>
        <w:rPr>
          <w:rFonts w:hint="eastAsia" w:ascii="宋体" w:hAnsi="宋体" w:cs="宋体"/>
          <w:b/>
          <w:i w:val="0"/>
          <w:caps w:val="0"/>
          <w:color w:val="auto"/>
          <w:spacing w:val="0"/>
          <w:w w:val="100"/>
          <w:sz w:val="21"/>
          <w:szCs w:val="21"/>
          <w:u w:val="single" w:color="000000"/>
        </w:rPr>
        <w:t>1500</w:t>
      </w:r>
      <w:r>
        <w:rPr>
          <w:rFonts w:hint="eastAsia" w:ascii="宋体" w:hAnsi="宋体" w:cs="宋体"/>
          <w:b w:val="0"/>
          <w:i w:val="0"/>
          <w:caps w:val="0"/>
          <w:color w:val="auto"/>
          <w:spacing w:val="0"/>
          <w:w w:val="100"/>
          <w:sz w:val="21"/>
          <w:szCs w:val="21"/>
        </w:rPr>
        <w:t>万元。</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2.3 招标范围：</w:t>
      </w:r>
      <w:r>
        <w:rPr>
          <w:rFonts w:hint="eastAsia" w:ascii="宋体" w:hAnsi="宋体" w:cs="宋体"/>
          <w:b w:val="0"/>
          <w:i w:val="0"/>
          <w:caps w:val="0"/>
          <w:color w:val="auto"/>
          <w:spacing w:val="0"/>
          <w:w w:val="100"/>
          <w:sz w:val="21"/>
          <w:szCs w:val="21"/>
          <w:u w:val="single" w:color="000000"/>
        </w:rPr>
        <w:t>本招标项目为交钥匙工程，包括绍兴市中医院改扩建工程内医疗物流的气动物流传输系统和中型箱式物流传输系统的深化设计及施工，具体内容包括但不限于：完成按业主需求的施工图和技术规范要求的全部内容，包括物流系统的设备材料供货、物流井道（含改扩建区的中型箱式物流土建的物流井道）、运输、卸货、保管、施工、安装调试、检测及设备机房内的装饰装修（含水电暖）等，如有图纸、清单不明确或缺项的内容须无条件按业主要求进行设计和施工，及对现有建筑物的物流管道等的结构补强加固（招标人提供结构参考图纸）、预留孔洞、设备基础、预埋构件、预埋管、套管及其封堵，并最终通过验收；同时负责技术服务与培训，提交相关完整的技术资料（含操作手册）、施工技术档案以及质保期内的维修保养（含质保期内的维保人员驻点服务）等内容。具体详见招标文件技术标准和要求。</w:t>
      </w:r>
    </w:p>
    <w:p>
      <w:pPr>
        <w:widowControl/>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2.4计划工期：扩建区120天（中标通知书发出之日起开始），改建区与改造工程施工进度同步。</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 质量要求：</w:t>
      </w:r>
      <w:r>
        <w:rPr>
          <w:rFonts w:hint="eastAsia" w:ascii="宋体" w:hAnsi="宋体" w:cs="宋体"/>
          <w:b w:val="0"/>
          <w:i w:val="0"/>
          <w:caps w:val="0"/>
          <w:color w:val="auto"/>
          <w:spacing w:val="0"/>
          <w:w w:val="100"/>
          <w:sz w:val="21"/>
          <w:szCs w:val="21"/>
        </w:rPr>
        <w:t>合格，并一次性通过相关机构检测</w:t>
      </w:r>
      <w:r>
        <w:rPr>
          <w:rFonts w:hint="eastAsia" w:ascii="宋体" w:hAnsi="宋体" w:cs="宋体"/>
          <w:b w:val="0"/>
          <w:i w:val="0"/>
          <w:caps w:val="0"/>
          <w:color w:val="auto"/>
          <w:spacing w:val="0"/>
          <w:w w:val="100"/>
          <w:sz w:val="21"/>
          <w:szCs w:val="21"/>
        </w:rPr>
        <w:t>。配合总承包单位争创钱江杯、鲁班奖。</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2.6标段划分：</w:t>
      </w:r>
      <w:r>
        <w:rPr>
          <w:rFonts w:hint="eastAsia" w:ascii="宋体" w:hAnsi="宋体" w:cs="宋体"/>
          <w:b/>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2.7资格审查方式：</w:t>
      </w:r>
      <w:r>
        <w:rPr>
          <w:rFonts w:hint="eastAsia" w:ascii="宋体" w:hAnsi="宋体" w:cs="宋体"/>
          <w:b/>
          <w:i w:val="0"/>
          <w:iCs/>
          <w:caps w:val="0"/>
          <w:color w:val="auto"/>
          <w:spacing w:val="0"/>
          <w:w w:val="100"/>
          <w:sz w:val="21"/>
          <w:szCs w:val="21"/>
          <w:u w:val="single" w:color="000000"/>
        </w:rPr>
        <w:t>资格后审</w:t>
      </w:r>
      <w:r>
        <w:rPr>
          <w:rFonts w:hint="eastAsia" w:ascii="宋体" w:hAnsi="宋体" w:cs="宋体"/>
          <w:b w:val="0"/>
          <w:i w:val="0"/>
          <w:caps w:val="0"/>
          <w:color w:val="auto"/>
          <w:spacing w:val="0"/>
          <w:w w:val="100"/>
          <w:sz w:val="21"/>
          <w:szCs w:val="21"/>
        </w:rPr>
        <w:t xml:space="preserve">。  </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3.投标人资格要求 </w:t>
      </w:r>
    </w:p>
    <w:p>
      <w:pPr>
        <w:widowControl/>
        <w:snapToGrid w:val="0"/>
        <w:spacing w:before="0" w:beforeAutospacing="0" w:after="0" w:afterAutospacing="0" w:line="360" w:lineRule="exact"/>
        <w:ind w:firstLine="420" w:firstLineChars="200"/>
        <w:jc w:val="both"/>
        <w:textAlignment w:val="baseline"/>
        <w:rPr>
          <w:rFonts w:ascii="宋体" w:hAnsi="宋体" w:cs="宋体"/>
          <w:b/>
          <w:i/>
          <w:caps w:val="0"/>
          <w:color w:val="auto"/>
          <w:spacing w:val="0"/>
          <w:w w:val="100"/>
          <w:sz w:val="20"/>
          <w:szCs w:val="21"/>
          <w:u w:val="single"/>
        </w:rPr>
      </w:pPr>
      <w:r>
        <w:rPr>
          <w:rFonts w:hint="eastAsia" w:ascii="宋体" w:hAnsi="宋体" w:cs="宋体"/>
          <w:b w:val="0"/>
          <w:i w:val="0"/>
          <w:caps w:val="0"/>
          <w:color w:val="auto"/>
          <w:spacing w:val="0"/>
          <w:w w:val="100"/>
          <w:sz w:val="21"/>
          <w:szCs w:val="21"/>
        </w:rPr>
        <w:t>3.1 本次招标要求投标人具备</w:t>
      </w:r>
      <w:r>
        <w:rPr>
          <w:rFonts w:hint="eastAsia" w:ascii="宋体" w:hAnsi="宋体" w:cs="宋体"/>
          <w:b/>
          <w:i w:val="0"/>
          <w:caps w:val="0"/>
          <w:color w:val="auto"/>
          <w:spacing w:val="0"/>
          <w:w w:val="100"/>
          <w:sz w:val="21"/>
          <w:szCs w:val="21"/>
          <w:u w:val="single" w:color="000000"/>
        </w:rPr>
        <w:t>独立法人资格的物流系统设备制造商或代理商。自</w:t>
      </w:r>
      <w:r>
        <w:rPr>
          <w:rFonts w:hint="eastAsia" w:ascii="宋体" w:hAnsi="宋体" w:cs="宋体"/>
          <w:b/>
          <w:i w:val="0"/>
          <w:caps w:val="0"/>
          <w:color w:val="auto"/>
          <w:spacing w:val="0"/>
          <w:w w:val="100"/>
          <w:sz w:val="21"/>
          <w:szCs w:val="21"/>
          <w:u w:val="single" w:color="FF0000"/>
        </w:rPr>
        <w:t>2016</w:t>
      </w:r>
      <w:r>
        <w:rPr>
          <w:rFonts w:hint="eastAsia" w:ascii="宋体" w:hAnsi="宋体" w:cs="宋体"/>
          <w:b/>
          <w:i w:val="0"/>
          <w:caps w:val="0"/>
          <w:color w:val="auto"/>
          <w:spacing w:val="0"/>
          <w:w w:val="100"/>
          <w:sz w:val="21"/>
          <w:szCs w:val="21"/>
          <w:u w:val="single" w:color="000000"/>
        </w:rPr>
        <w:t>年1月1日以来【以合同签订时间为准】，投标人所投的品牌具有合同金额在700万元及以上国内物流系统的类似业绩。业绩证明材料为供货合同的复印件</w:t>
      </w:r>
      <w:r>
        <w:rPr>
          <w:rFonts w:hint="eastAsia" w:ascii="宋体" w:hAnsi="宋体" w:cs="宋体"/>
          <w:b w:val="0"/>
          <w:i w:val="0"/>
          <w:caps w:val="0"/>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3.2主要设备、材料要求：</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3.3其他要求：</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3.3.1企业具有绍兴市公共资源交易中心工程建设项目</w:t>
      </w:r>
      <w:r>
        <w:rPr>
          <w:rFonts w:hint="eastAsia" w:ascii="宋体" w:hAnsi="宋体" w:cs="宋体"/>
          <w:b/>
          <w:i w:val="0"/>
          <w:caps w:val="0"/>
          <w:color w:val="auto"/>
          <w:spacing w:val="0"/>
          <w:w w:val="100"/>
          <w:sz w:val="21"/>
          <w:szCs w:val="21"/>
          <w:u w:val="single" w:color="000000"/>
        </w:rPr>
        <w:t>2021</w:t>
      </w:r>
      <w:r>
        <w:rPr>
          <w:rFonts w:hint="eastAsia" w:ascii="宋体" w:hAnsi="宋体" w:cs="宋体"/>
          <w:b w:val="0"/>
          <w:bCs/>
          <w:i w:val="0"/>
          <w:caps w:val="0"/>
          <w:color w:val="auto"/>
          <w:spacing w:val="0"/>
          <w:w w:val="100"/>
          <w:sz w:val="21"/>
          <w:szCs w:val="21"/>
        </w:rPr>
        <w:t>年度登记</w:t>
      </w:r>
      <w:r>
        <w:rPr>
          <w:rFonts w:hint="eastAsia" w:ascii="宋体" w:hAnsi="宋体" w:cs="宋体"/>
          <w:b w:val="0"/>
          <w:i w:val="0"/>
          <w:caps w:val="0"/>
          <w:color w:val="auto"/>
          <w:spacing w:val="0"/>
          <w:w w:val="100"/>
          <w:sz w:val="21"/>
          <w:szCs w:val="21"/>
        </w:rPr>
        <w:t>资格并在有效期内。</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dstrike/>
          <w:color w:val="auto"/>
          <w:spacing w:val="0"/>
          <w:w w:val="100"/>
          <w:sz w:val="20"/>
          <w:szCs w:val="21"/>
        </w:rPr>
      </w:pPr>
      <w:r>
        <w:rPr>
          <w:rFonts w:hint="eastAsia" w:ascii="宋体" w:hAnsi="宋体" w:cs="宋体"/>
          <w:b w:val="0"/>
          <w:i w:val="0"/>
          <w:caps w:val="0"/>
          <w:strike/>
          <w:color w:val="auto"/>
          <w:spacing w:val="0"/>
          <w:w w:val="100"/>
          <w:sz w:val="21"/>
          <w:szCs w:val="21"/>
        </w:rPr>
        <w:t>3.3.2企业需要</w:t>
      </w:r>
      <w:r>
        <w:rPr>
          <w:rFonts w:hint="eastAsia" w:ascii="宋体" w:hAnsi="宋体" w:cs="宋体"/>
          <w:b/>
          <w:i w:val="0"/>
          <w:caps w:val="0"/>
          <w:strike/>
          <w:color w:val="auto"/>
          <w:spacing w:val="0"/>
          <w:w w:val="100"/>
          <w:sz w:val="21"/>
          <w:szCs w:val="21"/>
          <w:u w:val="single" w:color="000000"/>
        </w:rPr>
        <w:t>经浙江省住建厅备案（省内企业不作要求）（有效期内）</w:t>
      </w:r>
      <w:r>
        <w:rPr>
          <w:rFonts w:hint="eastAsia" w:ascii="宋体" w:hAnsi="宋体" w:cs="宋体"/>
          <w:b w:val="0"/>
          <w:i w:val="0"/>
          <w:caps w:val="0"/>
          <w:strike/>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3.3.3企业在</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年</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月</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日前与</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签订劳动者工资保障金管理协议。</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3.3.4企业和项目负责人近</w:t>
      </w:r>
      <w:r>
        <w:rPr>
          <w:rFonts w:hint="eastAsia" w:ascii="宋体" w:hAnsi="宋体" w:cs="宋体"/>
          <w:b/>
          <w:bCs/>
          <w:i w:val="0"/>
          <w:caps w:val="0"/>
          <w:color w:val="auto"/>
          <w:spacing w:val="0"/>
          <w:w w:val="100"/>
          <w:sz w:val="21"/>
          <w:szCs w:val="21"/>
          <w:u w:val="single" w:color="000000"/>
        </w:rPr>
        <w:t xml:space="preserve"> 五 </w:t>
      </w:r>
      <w:r>
        <w:rPr>
          <w:rFonts w:hint="eastAsia" w:ascii="宋体" w:hAnsi="宋体" w:cs="宋体"/>
          <w:b w:val="0"/>
          <w:i w:val="0"/>
          <w:caps w:val="0"/>
          <w:color w:val="auto"/>
          <w:spacing w:val="0"/>
          <w:w w:val="100"/>
          <w:sz w:val="21"/>
          <w:szCs w:val="21"/>
        </w:rPr>
        <w:t>年无行贿犯罪记录（投标人提供承诺书）。</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 本次招标</w:t>
      </w:r>
      <w:r>
        <w:rPr>
          <w:rFonts w:hint="eastAsia" w:ascii="宋体" w:hAnsi="宋体" w:cs="宋体"/>
          <w:b/>
          <w:i w:val="0"/>
          <w:caps w:val="0"/>
          <w:color w:val="auto"/>
          <w:spacing w:val="0"/>
          <w:w w:val="100"/>
          <w:sz w:val="21"/>
          <w:szCs w:val="21"/>
          <w:u w:val="single" w:color="000000"/>
        </w:rPr>
        <w:t>不接受</w:t>
      </w:r>
      <w:r>
        <w:rPr>
          <w:rFonts w:hint="eastAsia" w:ascii="宋体" w:hAnsi="宋体" w:cs="宋体"/>
          <w:b w:val="0"/>
          <w:i w:val="0"/>
          <w:caps w:val="0"/>
          <w:color w:val="auto"/>
          <w:spacing w:val="0"/>
          <w:w w:val="100"/>
          <w:sz w:val="21"/>
          <w:szCs w:val="21"/>
        </w:rPr>
        <w:t>联合体投标。联合体投标的，应满足下列要求：</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caps w:val="0"/>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3.5 各投标人均可就上述标段中的</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（具体数量）个标段投标。</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4.招标文件获取</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 凡有意参加投标者，请于</w:t>
      </w:r>
      <w:r>
        <w:rPr>
          <w:rFonts w:hint="eastAsia" w:ascii="宋体" w:hAnsi="宋体" w:cs="宋体"/>
          <w:b w:val="0"/>
          <w:i w:val="0"/>
          <w:caps w:val="0"/>
          <w:color w:val="auto"/>
          <w:spacing w:val="0"/>
          <w:w w:val="100"/>
          <w:sz w:val="21"/>
          <w:szCs w:val="21"/>
          <w:u w:val="single" w:color="000000"/>
        </w:rPr>
        <w:t xml:space="preserve"> 2021 </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w:t>
      </w:r>
      <w:r>
        <w:rPr>
          <w:rFonts w:hint="eastAsia" w:ascii="宋体" w:hAnsi="宋体" w:cs="宋体"/>
          <w:b/>
          <w:i w:val="0"/>
          <w:caps w:val="0"/>
          <w:color w:val="auto"/>
          <w:spacing w:val="0"/>
          <w:w w:val="100"/>
          <w:sz w:val="21"/>
          <w:szCs w:val="21"/>
          <w:u w:val="single" w:color="000000"/>
        </w:rPr>
        <w:t>8:30</w:t>
      </w:r>
      <w:r>
        <w:rPr>
          <w:rFonts w:hint="eastAsia" w:ascii="宋体" w:hAnsi="宋体" w:cs="宋体"/>
          <w:b w:val="0"/>
          <w:i w:val="0"/>
          <w:caps w:val="0"/>
          <w:color w:val="auto"/>
          <w:spacing w:val="0"/>
          <w:w w:val="100"/>
          <w:sz w:val="21"/>
          <w:szCs w:val="21"/>
        </w:rPr>
        <w:t>时至</w:t>
      </w:r>
      <w:r>
        <w:rPr>
          <w:rFonts w:hint="eastAsia" w:ascii="宋体" w:hAnsi="宋体" w:cs="宋体"/>
          <w:b w:val="0"/>
          <w:bCs/>
          <w:i w:val="0"/>
          <w:caps w:val="0"/>
          <w:color w:val="auto"/>
          <w:spacing w:val="0"/>
          <w:w w:val="100"/>
          <w:sz w:val="21"/>
          <w:szCs w:val="21"/>
          <w:u w:val="single" w:color="000000"/>
        </w:rPr>
        <w:t>2021</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w:t>
      </w:r>
      <w:r>
        <w:rPr>
          <w:rFonts w:hint="eastAsia" w:ascii="宋体" w:hAnsi="宋体" w:cs="宋体"/>
          <w:b/>
          <w:i w:val="0"/>
          <w:caps w:val="0"/>
          <w:color w:val="auto"/>
          <w:spacing w:val="0"/>
          <w:w w:val="100"/>
          <w:sz w:val="21"/>
          <w:szCs w:val="21"/>
          <w:u w:val="single" w:color="000000"/>
        </w:rPr>
        <w:t>17:00</w:t>
      </w:r>
      <w:r>
        <w:rPr>
          <w:rFonts w:hint="eastAsia" w:ascii="宋体" w:hAnsi="宋体" w:cs="宋体"/>
          <w:b w:val="0"/>
          <w:i w:val="0"/>
          <w:caps w:val="0"/>
          <w:color w:val="auto"/>
          <w:spacing w:val="0"/>
          <w:w w:val="100"/>
          <w:sz w:val="21"/>
          <w:szCs w:val="21"/>
        </w:rPr>
        <w:t>时在绍兴市公共资源交易中心新版电子招投标交易平台（http://p.ggb.sx.gov.cn:6081/TPBidder/）自行下载招标文件，截止期后交易平台不再提供下载服务；未在规定时间内获取招标文件的，不接受其投标。</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 招标文件每套售价</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元，售后不退。图纸押金</w:t>
      </w:r>
      <w:r>
        <w:rPr>
          <w:rFonts w:hint="eastAsia" w:ascii="宋体" w:hAnsi="宋体" w:cs="宋体"/>
          <w:b/>
          <w:i w:val="0"/>
          <w:caps w:val="0"/>
          <w:color w:val="auto"/>
          <w:spacing w:val="0"/>
          <w:w w:val="100"/>
          <w:sz w:val="21"/>
          <w:szCs w:val="21"/>
          <w:u w:val="single" w:color="000000"/>
        </w:rPr>
        <w:t>/</w:t>
      </w:r>
      <w:r>
        <w:rPr>
          <w:rFonts w:hint="eastAsia" w:ascii="宋体" w:hAnsi="宋体" w:cs="宋体"/>
          <w:b w:val="0"/>
          <w:i w:val="0"/>
          <w:caps w:val="0"/>
          <w:color w:val="auto"/>
          <w:spacing w:val="0"/>
          <w:w w:val="100"/>
          <w:sz w:val="21"/>
          <w:szCs w:val="21"/>
        </w:rPr>
        <w:t>元，在退还图纸时退还（不计利息）。</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5.投标保证金</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本工程需缴纳投标保证金</w:t>
      </w:r>
      <w:r>
        <w:rPr>
          <w:rFonts w:hint="eastAsia" w:ascii="宋体" w:hAnsi="宋体" w:cs="宋体"/>
          <w:b/>
          <w:i w:val="0"/>
          <w:caps w:val="0"/>
          <w:color w:val="auto"/>
          <w:spacing w:val="0"/>
          <w:w w:val="100"/>
          <w:sz w:val="21"/>
          <w:szCs w:val="21"/>
          <w:u w:val="single" w:color="FF0000"/>
        </w:rPr>
        <w:t>25</w:t>
      </w:r>
      <w:r>
        <w:rPr>
          <w:rFonts w:hint="eastAsia" w:ascii="宋体" w:hAnsi="宋体" w:cs="宋体"/>
          <w:b w:val="0"/>
          <w:i w:val="0"/>
          <w:caps w:val="0"/>
          <w:color w:val="auto"/>
          <w:spacing w:val="0"/>
          <w:w w:val="100"/>
          <w:sz w:val="21"/>
          <w:szCs w:val="21"/>
        </w:rPr>
        <w:t>万元, 投标保证金在投标人自行获取招标文件后，在</w:t>
      </w:r>
      <w:r>
        <w:rPr>
          <w:rFonts w:hint="eastAsia" w:ascii="宋体" w:hAnsi="宋体" w:cs="宋体"/>
          <w:b w:val="0"/>
          <w:i w:val="0"/>
          <w:caps w:val="0"/>
          <w:color w:val="auto"/>
          <w:spacing w:val="0"/>
          <w:w w:val="100"/>
          <w:sz w:val="21"/>
          <w:szCs w:val="21"/>
          <w:u w:val="single" w:color="000000"/>
        </w:rPr>
        <w:t>2021</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w:t>
      </w:r>
      <w:r>
        <w:rPr>
          <w:rFonts w:hint="eastAsia" w:ascii="宋体" w:hAnsi="宋体" w:cs="宋体"/>
          <w:b w:val="0"/>
          <w:i w:val="0"/>
          <w:caps w:val="0"/>
          <w:color w:val="auto"/>
          <w:spacing w:val="0"/>
          <w:w w:val="100"/>
          <w:sz w:val="21"/>
          <w:szCs w:val="21"/>
          <w:u w:val="single" w:color="000000"/>
        </w:rPr>
        <w:t>17:00</w:t>
      </w:r>
      <w:r>
        <w:rPr>
          <w:rFonts w:hint="eastAsia" w:ascii="宋体" w:hAnsi="宋体" w:cs="宋体"/>
          <w:b w:val="0"/>
          <w:i w:val="0"/>
          <w:caps w:val="0"/>
          <w:color w:val="auto"/>
          <w:spacing w:val="0"/>
          <w:w w:val="100"/>
          <w:sz w:val="21"/>
          <w:szCs w:val="21"/>
        </w:rPr>
        <w:t>时前缴纳。缴纳方式为：</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eastAsia="宋体" w:cs="宋体"/>
          <w:b w:val="0"/>
          <w:i w:val="0"/>
          <w:caps w:val="0"/>
          <w:color w:val="auto"/>
          <w:spacing w:val="0"/>
          <w:w w:val="100"/>
          <w:sz w:val="19"/>
          <w:szCs w:val="19"/>
          <w:u w:val="single" w:color="3D4B64"/>
        </w:rPr>
        <w:t>6224861565791459282</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；账户二：开户单位名称：绍兴市公共资源交易中心保证金专户，开户行:中信银行绍兴城东支行；账号：</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eastAsia="宋体" w:cs="宋体"/>
          <w:b w:val="0"/>
          <w:i w:val="0"/>
          <w:caps w:val="0"/>
          <w:color w:val="auto"/>
          <w:spacing w:val="0"/>
          <w:w w:val="100"/>
          <w:sz w:val="19"/>
          <w:szCs w:val="19"/>
          <w:u w:val="single" w:color="3D4B64"/>
        </w:rPr>
        <w:t>3110810043370000002</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；投标人可自主选择以上账户之一缴纳投标保证金。</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2、招标人接受绍兴市招标投标协会出具的“投标保证金联保证明”作为投标保证金缴纳凭证，投标人不用另行提供。</w:t>
      </w:r>
    </w:p>
    <w:p>
      <w:pPr>
        <w:widowControl/>
        <w:snapToGrid w:val="0"/>
        <w:spacing w:before="0" w:beforeAutospacing="0" w:after="0" w:afterAutospacing="0" w:line="360" w:lineRule="exact"/>
        <w:ind w:firstLine="420" w:firstLineChars="200"/>
        <w:jc w:val="both"/>
        <w:textAlignment w:val="baseline"/>
        <w:rPr>
          <w:rFonts w:ascii="宋体" w:hAnsi="宋体" w:cs="宋体"/>
          <w:b w:val="0"/>
          <w:bCs/>
          <w:i w:val="0"/>
          <w:caps w:val="0"/>
          <w:color w:val="auto"/>
          <w:spacing w:val="-2"/>
          <w:w w:val="100"/>
          <w:sz w:val="20"/>
          <w:szCs w:val="21"/>
        </w:rPr>
      </w:pPr>
      <w:r>
        <w:rPr>
          <w:rFonts w:hint="eastAsia" w:ascii="宋体" w:hAnsi="宋体" w:cs="宋体"/>
          <w:b w:val="0"/>
          <w:i w:val="0"/>
          <w:caps w:val="0"/>
          <w:color w:val="auto"/>
          <w:spacing w:val="0"/>
          <w:w w:val="100"/>
          <w:sz w:val="21"/>
          <w:szCs w:val="21"/>
        </w:rPr>
        <w:t>3、招标人接受投标保证金电子保险保函。投标人自行在电子招投标交易平台（</w:t>
      </w:r>
      <w:r>
        <w:rPr>
          <w:b w:val="0"/>
          <w:i w:val="0"/>
          <w:caps w:val="0"/>
          <w:color w:val="auto"/>
          <w:spacing w:val="0"/>
          <w:w w:val="100"/>
          <w:sz w:val="20"/>
        </w:rPr>
        <w:fldChar w:fldCharType="begin"/>
      </w:r>
      <w:r>
        <w:rPr>
          <w:b w:val="0"/>
          <w:i w:val="0"/>
          <w:caps w:val="0"/>
          <w:color w:val="auto"/>
          <w:spacing w:val="0"/>
          <w:w w:val="100"/>
          <w:sz w:val="20"/>
        </w:rPr>
        <w:instrText xml:space="preserve"> HYPERLINK "http://p.ggb.sx.gov.cn:6081/TPBidder/" </w:instrText>
      </w:r>
      <w:r>
        <w:rPr>
          <w:b w:val="0"/>
          <w:i w:val="0"/>
          <w:caps w:val="0"/>
          <w:color w:val="auto"/>
          <w:spacing w:val="0"/>
          <w:w w:val="100"/>
          <w:sz w:val="20"/>
        </w:rPr>
        <w:fldChar w:fldCharType="separate"/>
      </w:r>
      <w:r>
        <w:rPr>
          <w:rStyle w:val="41"/>
          <w:rFonts w:hint="eastAsia" w:ascii="宋体" w:hAnsi="宋体" w:cs="宋体"/>
          <w:b w:val="0"/>
          <w:i w:val="0"/>
          <w:caps w:val="0"/>
          <w:color w:val="auto"/>
          <w:spacing w:val="0"/>
          <w:w w:val="100"/>
          <w:sz w:val="21"/>
          <w:szCs w:val="21"/>
          <w:u w:val="single" w:color="000000"/>
        </w:rPr>
        <w:t>http://p.ggb.sx.gov.cn:6081/TPBidder/</w:t>
      </w:r>
      <w:r>
        <w:rPr>
          <w:rStyle w:val="41"/>
          <w:rFonts w:hint="eastAsia" w:ascii="宋体" w:hAnsi="宋体" w:cs="宋体"/>
          <w:b w:val="0"/>
          <w:i w:val="0"/>
          <w:caps w:val="0"/>
          <w:color w:val="auto"/>
          <w:spacing w:val="0"/>
          <w:w w:val="100"/>
          <w:sz w:val="20"/>
          <w:szCs w:val="21"/>
          <w:u w:val="single" w:color="0000FF"/>
        </w:rPr>
        <w:fldChar w:fldCharType="end"/>
      </w:r>
      <w:r>
        <w:rPr>
          <w:rFonts w:hint="eastAsia" w:ascii="宋体" w:hAnsi="宋体" w:cs="宋体"/>
          <w:b w:val="0"/>
          <w:i w:val="0"/>
          <w:caps w:val="0"/>
          <w:color w:val="auto"/>
          <w:spacing w:val="0"/>
          <w:w w:val="100"/>
          <w:sz w:val="21"/>
          <w:szCs w:val="21"/>
        </w:rPr>
        <w:t>）中自主选择办理。保险保函费用必须从投标人企业</w:t>
      </w:r>
      <w:r>
        <w:rPr>
          <w:rFonts w:hint="eastAsia" w:ascii="宋体" w:hAnsi="宋体" w:cs="宋体"/>
          <w:b w:val="0"/>
          <w:i w:val="0"/>
          <w:caps w:val="0"/>
          <w:color w:val="auto"/>
          <w:spacing w:val="0"/>
          <w:w w:val="100"/>
          <w:sz w:val="21"/>
          <w:szCs w:val="21"/>
          <w:shd w:val="clear" w:color="auto" w:fill="FFFFFF"/>
        </w:rPr>
        <w:t>基本账户转出，并在投标保证金缴纳截止时间前</w:t>
      </w:r>
      <w:r>
        <w:rPr>
          <w:rFonts w:hint="eastAsia" w:ascii="宋体" w:hAnsi="宋体" w:cs="宋体"/>
          <w:b w:val="0"/>
          <w:i w:val="0"/>
          <w:caps w:val="0"/>
          <w:color w:val="auto"/>
          <w:spacing w:val="0"/>
          <w:w w:val="100"/>
          <w:sz w:val="21"/>
          <w:szCs w:val="21"/>
        </w:rPr>
        <w:t>办妥保险保函手续</w:t>
      </w:r>
      <w:r>
        <w:rPr>
          <w:rFonts w:hint="eastAsia" w:ascii="宋体" w:hAnsi="宋体" w:cs="宋体"/>
          <w:b w:val="0"/>
          <w:bCs/>
          <w:i w:val="0"/>
          <w:caps w:val="0"/>
          <w:color w:val="auto"/>
          <w:spacing w:val="-2"/>
          <w:w w:val="100"/>
          <w:sz w:val="21"/>
          <w:szCs w:val="21"/>
        </w:rPr>
        <w:t>。</w:t>
      </w:r>
    </w:p>
    <w:p>
      <w:pPr>
        <w:widowControl/>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6.其他有关内容</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6.1评标入围方法：</w:t>
      </w:r>
      <w:r>
        <w:rPr>
          <w:rFonts w:hint="eastAsia" w:ascii="宋体" w:hAnsi="宋体" w:cs="宋体"/>
          <w:b/>
          <w:i w:val="0"/>
          <w:iCs/>
          <w:caps w:val="0"/>
          <w:color w:val="auto"/>
          <w:spacing w:val="0"/>
          <w:w w:val="100"/>
          <w:sz w:val="21"/>
          <w:szCs w:val="21"/>
          <w:u w:val="single" w:color="000000"/>
        </w:rPr>
        <w:t>全部入围</w:t>
      </w:r>
      <w:r>
        <w:rPr>
          <w:rFonts w:hint="eastAsia" w:ascii="宋体" w:hAnsi="宋体" w:cs="宋体"/>
          <w:b w:val="0"/>
          <w:i w:val="0"/>
          <w:caps w:val="0"/>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6.2评标方法：</w:t>
      </w:r>
      <w:r>
        <w:rPr>
          <w:rFonts w:hint="eastAsia" w:ascii="宋体" w:hAnsi="宋体" w:cs="宋体"/>
          <w:b/>
          <w:i w:val="0"/>
          <w:iCs/>
          <w:caps w:val="0"/>
          <w:color w:val="auto"/>
          <w:spacing w:val="0"/>
          <w:w w:val="100"/>
          <w:sz w:val="21"/>
          <w:szCs w:val="21"/>
          <w:u w:val="single" w:color="000000"/>
        </w:rPr>
        <w:t>综合评估法</w:t>
      </w:r>
      <w:r>
        <w:rPr>
          <w:rFonts w:hint="eastAsia" w:ascii="宋体" w:hAnsi="宋体" w:cs="宋体"/>
          <w:b w:val="0"/>
          <w:i w:val="0"/>
          <w:caps w:val="0"/>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6.3中标方式：</w:t>
      </w:r>
      <w:r>
        <w:rPr>
          <w:rFonts w:hint="eastAsia" w:ascii="宋体" w:hAnsi="宋体" w:cs="宋体"/>
          <w:b/>
          <w:i w:val="0"/>
          <w:iCs/>
          <w:caps w:val="0"/>
          <w:color w:val="auto"/>
          <w:spacing w:val="0"/>
          <w:w w:val="100"/>
          <w:sz w:val="21"/>
          <w:szCs w:val="21"/>
          <w:u w:val="single" w:color="000000"/>
        </w:rPr>
        <w:t>最高分中标</w:t>
      </w:r>
      <w:r>
        <w:rPr>
          <w:rFonts w:hint="eastAsia" w:ascii="宋体" w:hAnsi="宋体" w:cs="宋体"/>
          <w:b w:val="0"/>
          <w:i w:val="0"/>
          <w:caps w:val="0"/>
          <w:color w:val="auto"/>
          <w:spacing w:val="0"/>
          <w:w w:val="100"/>
          <w:sz w:val="21"/>
          <w:szCs w:val="21"/>
        </w:rPr>
        <w:t>。</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6.4投标文件的递交：投标文件递交的截止时间为</w:t>
      </w:r>
      <w:r>
        <w:rPr>
          <w:rFonts w:hint="eastAsia" w:ascii="宋体" w:hAnsi="宋体" w:cs="宋体"/>
          <w:b/>
          <w:i w:val="0"/>
          <w:caps w:val="0"/>
          <w:color w:val="auto"/>
          <w:spacing w:val="0"/>
          <w:w w:val="100"/>
          <w:sz w:val="21"/>
          <w:szCs w:val="21"/>
          <w:u w:val="single" w:color="000000"/>
        </w:rPr>
        <w:t>2021</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时，</w:t>
      </w:r>
      <w:r>
        <w:rPr>
          <w:rFonts w:hint="eastAsia" w:ascii="宋体" w:hAnsi="宋体" w:cs="宋体"/>
          <w:b w:val="0"/>
          <w:i w:val="0"/>
          <w:caps w:val="0"/>
          <w:color w:val="auto"/>
          <w:spacing w:val="-12"/>
          <w:w w:val="100"/>
          <w:sz w:val="21"/>
          <w:szCs w:val="21"/>
        </w:rPr>
        <w:t>地点为</w:t>
      </w:r>
      <w:r>
        <w:rPr>
          <w:rFonts w:hint="eastAsia" w:ascii="宋体" w:hAnsi="宋体" w:cs="宋体"/>
          <w:b w:val="0"/>
          <w:i w:val="0"/>
          <w:caps w:val="0"/>
          <w:color w:val="auto"/>
          <w:spacing w:val="0"/>
          <w:w w:val="100"/>
          <w:sz w:val="21"/>
          <w:szCs w:val="21"/>
          <w:u w:val="single" w:color="000000"/>
        </w:rPr>
        <w:t>绍兴市公共资源交易中心四楼指定的开标室。</w:t>
      </w:r>
    </w:p>
    <w:p>
      <w:pPr>
        <w:pStyle w:val="2"/>
        <w:snapToGrid w:val="0"/>
        <w:spacing w:before="0" w:beforeAutospacing="0" w:after="0" w:afterAutospacing="0" w:line="360" w:lineRule="exact"/>
        <w:ind w:firstLine="420" w:firstLineChars="200"/>
        <w:jc w:val="both"/>
        <w:textAlignment w:val="baseline"/>
        <w:rPr>
          <w:rFonts w:ascii="宋体" w:hAnsi="宋体" w:cs="宋体"/>
          <w:b w:val="0"/>
          <w:bCs w:val="0"/>
          <w:i w:val="0"/>
          <w:caps w:val="0"/>
          <w:color w:val="auto"/>
          <w:spacing w:val="0"/>
          <w:w w:val="100"/>
          <w:sz w:val="21"/>
          <w:szCs w:val="21"/>
        </w:rPr>
      </w:pPr>
      <w:r>
        <w:rPr>
          <w:rFonts w:hint="eastAsia" w:ascii="宋体" w:hAnsi="宋体" w:cs="宋体"/>
          <w:b w:val="0"/>
          <w:bCs w:val="0"/>
          <w:i w:val="0"/>
          <w:caps w:val="0"/>
          <w:color w:val="auto"/>
          <w:spacing w:val="0"/>
          <w:w w:val="100"/>
          <w:sz w:val="21"/>
          <w:szCs w:val="21"/>
        </w:rPr>
        <w:t>6.5</w:t>
      </w:r>
      <w:r>
        <w:rPr>
          <w:rFonts w:hint="eastAsia" w:ascii="宋体" w:hAnsi="宋体" w:cs="仿宋"/>
          <w:b/>
          <w:i w:val="0"/>
          <w:caps w:val="0"/>
          <w:color w:val="auto"/>
          <w:spacing w:val="0"/>
          <w:w w:val="100"/>
          <w:sz w:val="21"/>
          <w:szCs w:val="21"/>
        </w:rPr>
        <w:t>本项目采用“不见面”开标方式，不强制要求投标人参加现场开标会。</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6.6本项目资格预审文件和招标文件发布截止时间、递交资格预审申请文件截止时间、投标截止时间、有关公示（公告）截止时间、投诉有效期截止时间如遇国家法定休假日的，则自动顺延至法定休假日后第1个工作日。</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7.发布公告的媒介    </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本次招标公告同时在 </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（发布公告的媒介名称）上发布。</w:t>
      </w:r>
    </w:p>
    <w:p>
      <w:pPr>
        <w:widowControl/>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8.若本公告相关内容与正式发出的招标文件不一致，以正式发出的招标文件为准。</w:t>
      </w:r>
    </w:p>
    <w:p>
      <w:pPr>
        <w:widowControl/>
        <w:tabs>
          <w:tab w:val="left" w:pos="2694"/>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9.联系方式 </w:t>
      </w:r>
    </w:p>
    <w:p>
      <w:pPr>
        <w:widowControl/>
        <w:tabs>
          <w:tab w:val="left" w:pos="2694"/>
        </w:tabs>
        <w:snapToGrid w:val="0"/>
        <w:spacing w:before="0" w:beforeAutospacing="0" w:after="0" w:afterAutospacing="0" w:line="360" w:lineRule="exact"/>
        <w:ind w:right="-134"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 标 人：</w:t>
      </w:r>
      <w:r>
        <w:rPr>
          <w:rFonts w:hint="eastAsia" w:ascii="宋体" w:hAnsi="宋体" w:cs="宋体"/>
          <w:b w:val="0"/>
          <w:i w:val="0"/>
          <w:caps w:val="0"/>
          <w:color w:val="auto"/>
          <w:spacing w:val="0"/>
          <w:w w:val="100"/>
          <w:sz w:val="21"/>
          <w:szCs w:val="21"/>
          <w:u w:val="single" w:color="000000"/>
        </w:rPr>
        <w:t xml:space="preserve">     浙江中成建工集团有限公司    </w:t>
      </w:r>
      <w:r>
        <w:rPr>
          <w:rFonts w:hint="eastAsia" w:ascii="宋体" w:hAnsi="宋体" w:cs="宋体"/>
          <w:b w:val="0"/>
          <w:i w:val="0"/>
          <w:caps w:val="0"/>
          <w:color w:val="auto"/>
          <w:spacing w:val="0"/>
          <w:w w:val="100"/>
          <w:sz w:val="21"/>
          <w:szCs w:val="21"/>
        </w:rPr>
        <w:t>招标代理机构：</w:t>
      </w:r>
      <w:r>
        <w:rPr>
          <w:rFonts w:hint="eastAsia" w:ascii="宋体" w:hAnsi="宋体" w:cs="宋体"/>
          <w:b w:val="0"/>
          <w:i w:val="0"/>
          <w:caps w:val="0"/>
          <w:color w:val="auto"/>
          <w:spacing w:val="0"/>
          <w:w w:val="100"/>
          <w:sz w:val="21"/>
          <w:szCs w:val="21"/>
          <w:u w:val="single" w:color="000000"/>
        </w:rPr>
        <w:t xml:space="preserve"> 浙江翔实建设项目管理有限公司  </w:t>
      </w:r>
    </w:p>
    <w:p>
      <w:pPr>
        <w:widowControl/>
        <w:tabs>
          <w:tab w:val="left" w:pos="2694"/>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地    址：</w:t>
      </w:r>
      <w:r>
        <w:rPr>
          <w:rFonts w:hint="eastAsia" w:ascii="宋体" w:hAnsi="宋体" w:cs="宋体"/>
          <w:b w:val="0"/>
          <w:i w:val="0"/>
          <w:caps w:val="0"/>
          <w:color w:val="auto"/>
          <w:spacing w:val="0"/>
          <w:w w:val="100"/>
          <w:sz w:val="21"/>
          <w:szCs w:val="21"/>
          <w:u w:val="single" w:color="000000"/>
        </w:rPr>
        <w:t xml:space="preserve">    凤林西路123号中成大厦       </w:t>
      </w:r>
      <w:r>
        <w:rPr>
          <w:rFonts w:hint="eastAsia" w:ascii="宋体" w:hAnsi="宋体" w:cs="宋体"/>
          <w:b w:val="0"/>
          <w:i w:val="0"/>
          <w:caps w:val="0"/>
          <w:color w:val="auto"/>
          <w:spacing w:val="0"/>
          <w:w w:val="100"/>
          <w:sz w:val="21"/>
          <w:szCs w:val="21"/>
        </w:rPr>
        <w:t>地    址：</w:t>
      </w:r>
      <w:r>
        <w:rPr>
          <w:rFonts w:hint="eastAsia" w:ascii="宋体" w:hAnsi="宋体" w:cs="宋体"/>
          <w:b w:val="0"/>
          <w:i w:val="0"/>
          <w:caps w:val="0"/>
          <w:color w:val="auto"/>
          <w:spacing w:val="0"/>
          <w:w w:val="100"/>
          <w:sz w:val="21"/>
          <w:szCs w:val="21"/>
          <w:u w:val="single" w:color="000000"/>
        </w:rPr>
        <w:t xml:space="preserve">       绍兴市越城区阳明北路692号    </w:t>
      </w:r>
    </w:p>
    <w:p>
      <w:pPr>
        <w:widowControl/>
        <w:tabs>
          <w:tab w:val="left" w:pos="2694"/>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联 系 人：</w:t>
      </w:r>
      <w:r>
        <w:rPr>
          <w:rFonts w:hint="eastAsia" w:ascii="宋体" w:hAnsi="宋体" w:cs="宋体"/>
          <w:b w:val="0"/>
          <w:i w:val="0"/>
          <w:caps w:val="0"/>
          <w:color w:val="auto"/>
          <w:spacing w:val="0"/>
          <w:w w:val="100"/>
          <w:sz w:val="21"/>
          <w:szCs w:val="21"/>
          <w:u w:val="single" w:color="000000"/>
        </w:rPr>
        <w:t xml:space="preserve">             冯文君              </w:t>
      </w:r>
      <w:r>
        <w:rPr>
          <w:rFonts w:hint="eastAsia" w:ascii="宋体" w:hAnsi="宋体" w:cs="宋体"/>
          <w:b w:val="0"/>
          <w:i w:val="0"/>
          <w:caps w:val="0"/>
          <w:color w:val="auto"/>
          <w:spacing w:val="0"/>
          <w:w w:val="100"/>
          <w:sz w:val="21"/>
          <w:szCs w:val="21"/>
        </w:rPr>
        <w:t>联 系 人：</w:t>
      </w:r>
      <w:r>
        <w:rPr>
          <w:rFonts w:hint="eastAsia" w:ascii="宋体" w:hAnsi="宋体" w:cs="宋体"/>
          <w:b w:val="0"/>
          <w:i w:val="0"/>
          <w:caps w:val="0"/>
          <w:color w:val="auto"/>
          <w:spacing w:val="0"/>
          <w:w w:val="100"/>
          <w:sz w:val="21"/>
          <w:szCs w:val="21"/>
          <w:u w:val="single" w:color="000000"/>
        </w:rPr>
        <w:t xml:space="preserve">            金琴子                   </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电    话：</w:t>
      </w:r>
      <w:r>
        <w:rPr>
          <w:rFonts w:hint="eastAsia" w:ascii="宋体" w:hAnsi="宋体" w:cs="宋体"/>
          <w:b w:val="0"/>
          <w:i w:val="0"/>
          <w:caps w:val="0"/>
          <w:color w:val="auto"/>
          <w:spacing w:val="0"/>
          <w:w w:val="100"/>
          <w:sz w:val="21"/>
          <w:szCs w:val="21"/>
          <w:u w:val="single" w:color="000000"/>
        </w:rPr>
        <w:t xml:space="preserve">          15967559599            </w:t>
      </w:r>
      <w:r>
        <w:rPr>
          <w:rFonts w:hint="eastAsia" w:ascii="宋体" w:hAnsi="宋体" w:cs="宋体"/>
          <w:b w:val="0"/>
          <w:i w:val="0"/>
          <w:caps w:val="0"/>
          <w:color w:val="auto"/>
          <w:spacing w:val="0"/>
          <w:w w:val="100"/>
          <w:sz w:val="21"/>
          <w:szCs w:val="21"/>
        </w:rPr>
        <w:t>电    话：</w:t>
      </w:r>
      <w:r>
        <w:rPr>
          <w:rFonts w:hint="eastAsia" w:ascii="宋体" w:hAnsi="宋体" w:cs="宋体"/>
          <w:b w:val="0"/>
          <w:i w:val="0"/>
          <w:caps w:val="0"/>
          <w:color w:val="auto"/>
          <w:spacing w:val="0"/>
          <w:w w:val="100"/>
          <w:sz w:val="21"/>
          <w:szCs w:val="21"/>
          <w:u w:val="single" w:color="000000"/>
        </w:rPr>
        <w:t xml:space="preserve">      0575-88682895、18969515361   </w:t>
      </w:r>
    </w:p>
    <w:p>
      <w:pPr>
        <w:pStyle w:val="12"/>
        <w:snapToGrid w:val="0"/>
        <w:spacing w:before="0" w:beforeAutospacing="0" w:after="0" w:afterAutospacing="0" w:line="240" w:lineRule="auto"/>
        <w:jc w:val="both"/>
        <w:textAlignment w:val="baseline"/>
        <w:rPr>
          <w:rFonts w:ascii="Times New Roman" w:hAnsi="Times New Roman" w:eastAsia="宋体" w:cs="Times New Roman"/>
          <w:b w:val="0"/>
          <w:i w:val="0"/>
          <w:caps w:val="0"/>
          <w:color w:val="auto"/>
          <w:spacing w:val="0"/>
          <w:w w:val="100"/>
          <w:sz w:val="24"/>
        </w:rPr>
      </w:pPr>
    </w:p>
    <w:p>
      <w:pPr>
        <w:widowControl/>
        <w:snapToGrid w:val="0"/>
        <w:spacing w:before="0" w:beforeAutospacing="0" w:after="0" w:afterAutospacing="0" w:line="360" w:lineRule="exact"/>
        <w:ind w:left="4139" w:leftChars="1971" w:firstLine="420" w:firstLineChars="200"/>
        <w:jc w:val="right"/>
        <w:textAlignment w:val="baseline"/>
        <w:rPr>
          <w:rFonts w:ascii="宋体" w:hAnsi="宋体" w:cs="宋体"/>
          <w:b/>
          <w:i/>
          <w:caps w:val="0"/>
          <w:color w:val="auto"/>
          <w:spacing w:val="0"/>
          <w:w w:val="100"/>
          <w:sz w:val="20"/>
          <w:szCs w:val="21"/>
          <w:u w:val="single"/>
        </w:rPr>
      </w:pPr>
      <w:r>
        <w:rPr>
          <w:rFonts w:hint="eastAsia" w:ascii="宋体" w:hAnsi="宋体" w:cs="宋体"/>
          <w:b w:val="0"/>
          <w:i w:val="0"/>
          <w:caps w:val="0"/>
          <w:color w:val="auto"/>
          <w:spacing w:val="0"/>
          <w:w w:val="100"/>
          <w:sz w:val="21"/>
          <w:szCs w:val="21"/>
        </w:rPr>
        <w:t>招标人：</w:t>
      </w:r>
      <w:r>
        <w:rPr>
          <w:rFonts w:hint="eastAsia" w:ascii="宋体" w:hAnsi="宋体" w:cs="宋体"/>
          <w:b w:val="0"/>
          <w:i w:val="0"/>
          <w:caps w:val="0"/>
          <w:color w:val="auto"/>
          <w:spacing w:val="0"/>
          <w:w w:val="100"/>
          <w:sz w:val="21"/>
          <w:szCs w:val="21"/>
          <w:u w:val="single" w:color="000000"/>
        </w:rPr>
        <w:t>浙江中成建工集团有限公司</w:t>
      </w:r>
    </w:p>
    <w:p>
      <w:pPr>
        <w:widowControl/>
        <w:snapToGrid w:val="0"/>
        <w:spacing w:before="0" w:beforeAutospacing="0" w:after="0" w:afterAutospacing="0" w:line="360" w:lineRule="exact"/>
        <w:ind w:left="4139" w:leftChars="1971" w:firstLine="420" w:firstLineChars="200"/>
        <w:jc w:val="righ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招标代理机构：</w:t>
      </w:r>
      <w:r>
        <w:rPr>
          <w:rFonts w:hint="eastAsia" w:ascii="宋体" w:hAnsi="宋体" w:cs="宋体"/>
          <w:b w:val="0"/>
          <w:i w:val="0"/>
          <w:caps w:val="0"/>
          <w:color w:val="auto"/>
          <w:spacing w:val="0"/>
          <w:w w:val="100"/>
          <w:sz w:val="21"/>
          <w:szCs w:val="21"/>
          <w:u w:val="single" w:color="000000"/>
        </w:rPr>
        <w:t>浙江翔实建设项目管理有限公司</w:t>
      </w:r>
    </w:p>
    <w:p>
      <w:pPr>
        <w:widowControl/>
        <w:tabs>
          <w:tab w:val="left" w:pos="2694"/>
        </w:tabs>
        <w:snapToGrid w:val="0"/>
        <w:spacing w:before="0" w:beforeAutospacing="0" w:after="0" w:afterAutospacing="0" w:line="360" w:lineRule="exact"/>
        <w:ind w:right="-134" w:firstLine="7980" w:firstLineChars="38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 xml:space="preserve"> 2021</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w:t>
      </w:r>
    </w:p>
    <w:p>
      <w:pPr>
        <w:widowControl/>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p>
    <w:p>
      <w:pPr>
        <w:widowControl/>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p>
    <w:p>
      <w:pPr>
        <w:widowControl/>
        <w:snapToGrid w:val="0"/>
        <w:spacing w:before="0" w:beforeAutospacing="0" w:after="0" w:afterAutospacing="0" w:line="360" w:lineRule="exact"/>
        <w:ind w:firstLine="630" w:firstLineChars="3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招标管理机构意见：                                  绍兴市公共资源交易中心意见：</w:t>
      </w:r>
    </w:p>
    <w:p>
      <w:pPr>
        <w:widowControl/>
        <w:snapToGrid w:val="0"/>
        <w:spacing w:before="0" w:beforeAutospacing="0" w:after="0" w:afterAutospacing="0" w:line="360" w:lineRule="exact"/>
        <w:ind w:firstLine="600" w:firstLineChars="300"/>
        <w:jc w:val="both"/>
        <w:textAlignment w:val="baseline"/>
        <w:rPr>
          <w:rFonts w:ascii="宋体" w:hAnsi="宋体" w:cs="宋体"/>
          <w:b w:val="0"/>
          <w:i w:val="0"/>
          <w:caps w:val="0"/>
          <w:color w:val="auto"/>
          <w:spacing w:val="0"/>
          <w:w w:val="100"/>
          <w:sz w:val="20"/>
          <w:szCs w:val="21"/>
          <w:u w:val="single"/>
        </w:rPr>
      </w:pPr>
    </w:p>
    <w:p>
      <w:pPr>
        <w:widowControl/>
        <w:tabs>
          <w:tab w:val="left" w:pos="2694"/>
        </w:tabs>
        <w:snapToGrid w:val="0"/>
        <w:spacing w:before="0" w:beforeAutospacing="0" w:after="0" w:afterAutospacing="0" w:line="360" w:lineRule="exact"/>
        <w:ind w:right="-134" w:firstLine="840" w:firstLineChars="4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2021</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 xml:space="preserve">日                                           </w:t>
      </w:r>
      <w:r>
        <w:rPr>
          <w:rFonts w:hint="eastAsia" w:ascii="宋体" w:hAnsi="宋体" w:cs="宋体"/>
          <w:b w:val="0"/>
          <w:i w:val="0"/>
          <w:caps w:val="0"/>
          <w:color w:val="auto"/>
          <w:spacing w:val="0"/>
          <w:w w:val="100"/>
          <w:sz w:val="21"/>
          <w:szCs w:val="21"/>
          <w:u w:val="single" w:color="000000"/>
        </w:rPr>
        <w:t>2021</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w:t>
      </w:r>
    </w:p>
    <w:p>
      <w:pPr>
        <w:widowControl/>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备注：1、委托中介机构代理的，尚需提供工程建设项目招标代理业务承接情况表。</w:t>
      </w:r>
    </w:p>
    <w:p>
      <w:pPr>
        <w:snapToGrid w:val="0"/>
        <w:spacing w:before="0" w:beforeAutospacing="0" w:after="0" w:afterAutospacing="0" w:line="360" w:lineRule="exact"/>
        <w:ind w:firstLine="1050" w:firstLineChars="5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2、本表一式三份，招标人、招投标管理机构、中心各一份。</w:t>
      </w:r>
    </w:p>
    <w:p>
      <w:pPr>
        <w:pStyle w:val="3"/>
        <w:snapToGrid w:val="0"/>
        <w:spacing w:before="0" w:beforeAutospacing="0" w:after="0" w:afterAutospacing="0" w:line="360" w:lineRule="auto"/>
        <w:jc w:val="center"/>
        <w:textAlignment w:val="baseline"/>
        <w:rPr>
          <w:b/>
          <w:i w:val="0"/>
          <w:caps w:val="0"/>
          <w:color w:val="auto"/>
          <w:spacing w:val="0"/>
          <w:w w:val="100"/>
          <w:sz w:val="28"/>
        </w:rPr>
      </w:pPr>
      <w:r>
        <w:rPr>
          <w:rFonts w:hint="eastAsia" w:ascii="宋体" w:hAnsi="宋体"/>
          <w:b/>
          <w:i w:val="0"/>
          <w:caps w:val="0"/>
          <w:color w:val="auto"/>
          <w:spacing w:val="0"/>
          <w:w w:val="100"/>
          <w:kern w:val="0"/>
          <w:sz w:val="28"/>
          <w:szCs w:val="21"/>
        </w:rPr>
        <w:br w:type="page"/>
      </w:r>
    </w:p>
    <w:p>
      <w:pPr>
        <w:snapToGrid w:val="0"/>
        <w:spacing w:before="0" w:beforeAutospacing="0" w:after="0" w:afterAutospacing="0" w:line="360" w:lineRule="auto"/>
        <w:jc w:val="center"/>
        <w:textAlignment w:val="baseline"/>
        <w:rPr>
          <w:b/>
          <w:i w:val="0"/>
          <w:caps w:val="0"/>
          <w:color w:val="auto"/>
          <w:spacing w:val="0"/>
          <w:w w:val="100"/>
          <w:sz w:val="28"/>
        </w:rPr>
      </w:pPr>
      <w:bookmarkStart w:id="1" w:name="_Toc21875"/>
      <w:r>
        <w:rPr>
          <w:rFonts w:hint="eastAsia"/>
          <w:b/>
          <w:i w:val="0"/>
          <w:caps w:val="0"/>
          <w:color w:val="auto"/>
          <w:spacing w:val="0"/>
          <w:w w:val="100"/>
          <w:sz w:val="28"/>
        </w:rPr>
        <w:t>第二章 投标人须知</w:t>
      </w:r>
      <w:bookmarkEnd w:id="1"/>
    </w:p>
    <w:p>
      <w:pPr>
        <w:keepLines/>
        <w:snapToGrid w:val="0"/>
        <w:spacing w:before="0" w:beforeAutospacing="0" w:after="0" w:afterAutospacing="0" w:line="440" w:lineRule="auto"/>
        <w:jc w:val="center"/>
        <w:textAlignment w:val="baseline"/>
        <w:rPr>
          <w:b w:val="0"/>
          <w:i w:val="0"/>
          <w:caps w:val="0"/>
          <w:color w:val="auto"/>
          <w:spacing w:val="0"/>
          <w:w w:val="100"/>
          <w:sz w:val="24"/>
          <w:szCs w:val="24"/>
        </w:rPr>
      </w:pPr>
      <w:r>
        <w:rPr>
          <w:rFonts w:hint="eastAsia"/>
          <w:b/>
          <w:bCs/>
          <w:i w:val="0"/>
          <w:caps w:val="0"/>
          <w:color w:val="auto"/>
          <w:spacing w:val="0"/>
          <w:w w:val="100"/>
          <w:sz w:val="24"/>
          <w:szCs w:val="24"/>
        </w:rPr>
        <w:t>第一节 投标人须知前附表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982"/>
        <w:gridCol w:w="2076"/>
        <w:gridCol w:w="6715"/>
        <w:gridCol w:w="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05" w:hRule="atLeast"/>
          <w:jc w:val="center"/>
        </w:trPr>
        <w:tc>
          <w:tcPr>
            <w:tcW w:w="498" w:type="pct"/>
            <w:shd w:val="clear" w:color="000000" w:fill="FFFFFF"/>
            <w:tcMar>
              <w:left w:w="108" w:type="dxa"/>
              <w:right w:w="108" w:type="dxa"/>
            </w:tcMar>
            <w:vAlign w:val="center"/>
          </w:tcPr>
          <w:p>
            <w:pPr>
              <w:snapToGrid w:val="0"/>
              <w:spacing w:before="156"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条款号</w:t>
            </w:r>
          </w:p>
        </w:tc>
        <w:tc>
          <w:tcPr>
            <w:tcW w:w="1054" w:type="pct"/>
            <w:shd w:val="clear" w:color="000000" w:fill="FFFFFF"/>
            <w:tcMar>
              <w:left w:w="108" w:type="dxa"/>
              <w:right w:w="108" w:type="dxa"/>
            </w:tcMar>
            <w:vAlign w:val="center"/>
          </w:tcPr>
          <w:p>
            <w:pPr>
              <w:snapToGrid w:val="0"/>
              <w:spacing w:before="156"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条款名称</w:t>
            </w:r>
          </w:p>
        </w:tc>
        <w:tc>
          <w:tcPr>
            <w:tcW w:w="3448" w:type="pct"/>
            <w:gridSpan w:val="2"/>
            <w:shd w:val="clear" w:color="000000" w:fill="FFFFFF"/>
            <w:tcMar>
              <w:left w:w="108" w:type="dxa"/>
              <w:right w:w="108" w:type="dxa"/>
            </w:tcMar>
            <w:vAlign w:val="center"/>
          </w:tcPr>
          <w:p>
            <w:pPr>
              <w:snapToGrid w:val="0"/>
              <w:spacing w:before="156"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93" w:hRule="atLeast"/>
          <w:jc w:val="center"/>
        </w:trPr>
        <w:tc>
          <w:tcPr>
            <w:tcW w:w="498" w:type="pct"/>
            <w:shd w:val="clear" w:color="000000" w:fill="FFFFFF"/>
            <w:tcMar>
              <w:left w:w="108" w:type="dxa"/>
              <w:right w:w="108" w:type="dxa"/>
            </w:tcMar>
            <w:vAlign w:val="center"/>
          </w:tcPr>
          <w:p>
            <w:pPr>
              <w:pStyle w:val="60"/>
              <w:snapToGrid w:val="0"/>
              <w:spacing w:before="0" w:beforeAutospacing="0" w:after="0" w:afterAutospacing="0" w:line="0" w:lineRule="atLeast"/>
              <w:ind w:right="241"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1.1.2</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招标人</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名称：浙江中成建工集团有限公司</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地址：凤林西路123号中成大厦</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联系人：冯文君  电话：15967559599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57" w:hRule="atLeast"/>
          <w:jc w:val="center"/>
        </w:trPr>
        <w:tc>
          <w:tcPr>
            <w:tcW w:w="498" w:type="pct"/>
            <w:shd w:val="clear" w:color="000000" w:fill="FFFFFF"/>
            <w:tcMar>
              <w:left w:w="108" w:type="dxa"/>
              <w:right w:w="108" w:type="dxa"/>
            </w:tcMar>
            <w:vAlign w:val="center"/>
          </w:tcPr>
          <w:p>
            <w:pPr>
              <w:pStyle w:val="60"/>
              <w:snapToGrid w:val="0"/>
              <w:spacing w:before="0" w:beforeAutospacing="0" w:after="0" w:afterAutospacing="0" w:line="0" w:lineRule="atLeast"/>
              <w:ind w:right="241"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1.1.3</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招标代理机构</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名称：浙江翔实建设项目管理有限公司</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地址：绍兴市越城区阳明北路692号</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联系人：金琴子  电话：0575-88682895/18969515361</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电子邮箱：25164046@qq.com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42" w:hRule="atLeast"/>
          <w:jc w:val="center"/>
        </w:trPr>
        <w:tc>
          <w:tcPr>
            <w:tcW w:w="498" w:type="pct"/>
            <w:shd w:val="clear" w:color="000000" w:fill="FFFFFF"/>
            <w:tcMar>
              <w:left w:w="108" w:type="dxa"/>
              <w:right w:w="108" w:type="dxa"/>
            </w:tcMar>
            <w:vAlign w:val="center"/>
          </w:tcPr>
          <w:p>
            <w:pPr>
              <w:pStyle w:val="60"/>
              <w:snapToGrid w:val="0"/>
              <w:spacing w:before="0" w:beforeAutospacing="0" w:after="0" w:afterAutospacing="0" w:line="0" w:lineRule="atLeast"/>
              <w:ind w:right="241"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1.1.4</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项目名称</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绍兴市中医院改扩建工程EPC总承包内医疗物流系统项目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0"/>
              <w:snapToGrid w:val="0"/>
              <w:spacing w:before="0" w:beforeAutospacing="0" w:after="0" w:afterAutospacing="0" w:line="0" w:lineRule="atLeast"/>
              <w:ind w:right="241"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1.1.5</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建设地点</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bCs/>
                <w:i w:val="0"/>
                <w:caps w:val="0"/>
                <w:color w:val="auto"/>
                <w:spacing w:val="0"/>
                <w:w w:val="100"/>
                <w:sz w:val="21"/>
                <w:szCs w:val="21"/>
              </w:rPr>
              <w:t>项目位于越城区稽山路以东、环城东路及新世纪公寓以西、人民中路以北、东街以南地块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0" w:hRule="atLeast"/>
          <w:jc w:val="center"/>
        </w:trPr>
        <w:tc>
          <w:tcPr>
            <w:tcW w:w="498" w:type="pct"/>
            <w:shd w:val="clear" w:color="000000" w:fill="FFFFFF"/>
            <w:tcMar>
              <w:left w:w="108" w:type="dxa"/>
              <w:right w:w="108" w:type="dxa"/>
            </w:tcMar>
            <w:vAlign w:val="center"/>
          </w:tcPr>
          <w:p>
            <w:pPr>
              <w:pStyle w:val="60"/>
              <w:snapToGrid w:val="0"/>
              <w:spacing w:before="0" w:beforeAutospacing="0" w:after="0" w:afterAutospacing="0" w:line="0" w:lineRule="atLeast"/>
              <w:ind w:right="241"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1.2.1</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资金来源</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财政拨款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4" w:hRule="atLeast"/>
          <w:jc w:val="center"/>
        </w:trPr>
        <w:tc>
          <w:tcPr>
            <w:tcW w:w="498" w:type="pct"/>
            <w:shd w:val="clear" w:color="000000" w:fill="FFFFFF"/>
            <w:tcMar>
              <w:left w:w="108" w:type="dxa"/>
              <w:right w:w="108" w:type="dxa"/>
            </w:tcMar>
            <w:vAlign w:val="center"/>
          </w:tcPr>
          <w:p>
            <w:pPr>
              <w:pStyle w:val="60"/>
              <w:snapToGrid w:val="0"/>
              <w:spacing w:before="0" w:beforeAutospacing="0" w:after="0" w:afterAutospacing="0" w:line="0" w:lineRule="atLeast"/>
              <w:ind w:right="241"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1.2.2</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出资比例</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29" w:hRule="atLeast"/>
          <w:jc w:val="center"/>
        </w:trPr>
        <w:tc>
          <w:tcPr>
            <w:tcW w:w="498" w:type="pct"/>
            <w:shd w:val="clear" w:color="000000" w:fill="FFFFFF"/>
            <w:tcMar>
              <w:left w:w="108" w:type="dxa"/>
              <w:right w:w="108" w:type="dxa"/>
            </w:tcMar>
            <w:vAlign w:val="center"/>
          </w:tcPr>
          <w:p>
            <w:pPr>
              <w:pStyle w:val="60"/>
              <w:snapToGrid w:val="0"/>
              <w:spacing w:before="0" w:beforeAutospacing="0" w:after="0" w:afterAutospacing="0" w:line="0" w:lineRule="atLeast"/>
              <w:ind w:right="241"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1.2.3</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资金落实情况</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21"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1.3.1</w:t>
            </w:r>
          </w:p>
        </w:tc>
        <w:tc>
          <w:tcPr>
            <w:tcW w:w="1054"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招标范围</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本招标项目为交钥匙工程，包括绍兴市中医院改扩建工程内医疗物流的气动物流传输系统和中型箱式物流传输系统的深化设计及施工，具体内容包括但不限于：完成按业主需求的施工图和技术规范要求的全部内容，包括物流系统的设备材料供货、物流井道（含改扩建区的中型箱式物流土建的物流井道）、运输、卸货、保管、施工、安装调试、检测及设备机房内的装饰装修（含水电暖）等，如有图纸、清单不明确或缺项的内容须无条件按业主要求进行设计和施工，及对现有建筑物的物流管道等的结构补强加固（招标人提供结构参考图纸）、预留孔洞、设备基础、预埋构件、预埋管、套管及其封堵，并最终通过验收；同时负责技术服务与培训，提交相关完整的技术资料（含操作手册）、施工技术档案以及质保期内的维修保养（含质保期内的维保人员驻点服务）等内容。具体详见招标文件技术标准和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44"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1.3.2</w:t>
            </w:r>
          </w:p>
        </w:tc>
        <w:tc>
          <w:tcPr>
            <w:tcW w:w="1054" w:type="pct"/>
            <w:shd w:val="clear" w:color="000000" w:fill="FFFFFF"/>
            <w:tcMar>
              <w:left w:w="108" w:type="dxa"/>
              <w:right w:w="108" w:type="dxa"/>
            </w:tcMar>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工期要求</w:t>
            </w:r>
          </w:p>
        </w:tc>
        <w:tc>
          <w:tcPr>
            <w:tcW w:w="3448" w:type="pct"/>
            <w:gridSpan w:val="2"/>
            <w:shd w:val="clear" w:color="000000" w:fill="FFFFFF"/>
            <w:tcMar>
              <w:left w:w="108" w:type="dxa"/>
              <w:right w:w="108" w:type="dxa"/>
            </w:tcMar>
            <w:vAlign w:val="center"/>
          </w:tcPr>
          <w:p>
            <w:pPr>
              <w:snapToGrid w:val="0"/>
              <w:spacing w:before="0" w:beforeAutospacing="0" w:after="0" w:afterAutospacing="0" w:line="240" w:lineRule="auto"/>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扩建区120天（中标通知书发出之日起开始），改建区与改造工程施工进度同步。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7"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1.3.3</w:t>
            </w:r>
          </w:p>
        </w:tc>
        <w:tc>
          <w:tcPr>
            <w:tcW w:w="1054" w:type="pct"/>
            <w:shd w:val="clear" w:color="000000" w:fill="FFFFFF"/>
            <w:tcMar>
              <w:left w:w="108" w:type="dxa"/>
              <w:right w:w="108" w:type="dxa"/>
            </w:tcMar>
            <w:vAlign w:val="center"/>
          </w:tcPr>
          <w:p>
            <w:pPr>
              <w:snapToGrid w:val="0"/>
              <w:spacing w:before="0" w:beforeAutospacing="0" w:after="0" w:afterAutospacing="0" w:line="240" w:lineRule="auto"/>
              <w:ind w:firstLine="210" w:firstLineChars="100"/>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质量要求</w:t>
            </w:r>
          </w:p>
        </w:tc>
        <w:tc>
          <w:tcPr>
            <w:tcW w:w="3448" w:type="pct"/>
            <w:gridSpan w:val="2"/>
            <w:shd w:val="clear" w:color="000000" w:fill="FFFFFF"/>
            <w:tcMar>
              <w:left w:w="108" w:type="dxa"/>
              <w:right w:w="108" w:type="dxa"/>
            </w:tcMar>
            <w:vAlign w:val="center"/>
          </w:tcPr>
          <w:p>
            <w:pPr>
              <w:snapToGrid w:val="0"/>
              <w:spacing w:before="0" w:beforeAutospacing="0" w:after="0" w:afterAutospacing="0" w:line="240" w:lineRule="auto"/>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合格，并一次性通过相关机构检测</w:t>
            </w:r>
            <w:r>
              <w:rPr>
                <w:rFonts w:hint="eastAsia" w:ascii="宋体" w:hAnsi="宋体" w:cs="宋体"/>
                <w:b w:val="0"/>
                <w:i w:val="0"/>
                <w:caps w:val="0"/>
                <w:color w:val="auto"/>
                <w:spacing w:val="0"/>
                <w:w w:val="100"/>
                <w:sz w:val="21"/>
                <w:szCs w:val="21"/>
              </w:rPr>
              <w:t>。配合总承包单位争创钱江杯、鲁班奖。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84"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投标资格</w:t>
            </w:r>
          </w:p>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条件、要求</w:t>
            </w:r>
          </w:p>
        </w:tc>
        <w:tc>
          <w:tcPr>
            <w:tcW w:w="3448" w:type="pct"/>
            <w:gridSpan w:val="2"/>
            <w:shd w:val="clear" w:color="000000" w:fill="FFFFFF"/>
            <w:tcMar>
              <w:left w:w="108" w:type="dxa"/>
              <w:right w:w="108" w:type="dxa"/>
            </w:tcMar>
            <w:vAlign w:val="center"/>
          </w:tcPr>
          <w:p>
            <w:pPr>
              <w:snapToGrid w:val="0"/>
              <w:spacing w:before="0" w:beforeAutospacing="0" w:after="0" w:afterAutospacing="0" w:line="440" w:lineRule="auto"/>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33"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1.4.2</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是否接受</w:t>
            </w:r>
          </w:p>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联合体投标</w:t>
            </w:r>
          </w:p>
        </w:tc>
        <w:tc>
          <w:tcPr>
            <w:tcW w:w="3448" w:type="pct"/>
            <w:gridSpan w:val="2"/>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565"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1.9.1</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踏勘现场</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□不组织</w:t>
            </w:r>
          </w:p>
          <w:p>
            <w:pPr>
              <w:snapToGrid w:val="0"/>
              <w:spacing w:before="0" w:beforeAutospacing="0" w:after="0" w:afterAutospacing="0" w:line="360" w:lineRule="exact"/>
              <w:ind w:firstLine="420" w:firstLineChars="200"/>
              <w:jc w:val="both"/>
              <w:textAlignment w:val="baseline"/>
              <w:rPr>
                <w:rFonts w:ascii="宋体" w:hAnsi="宋体" w:cs="宋体"/>
                <w:b w:val="0"/>
                <w:bCs/>
                <w:i w:val="0"/>
                <w:caps w:val="0"/>
                <w:color w:val="auto"/>
                <w:spacing w:val="0"/>
                <w:w w:val="100"/>
                <w:sz w:val="20"/>
                <w:szCs w:val="21"/>
              </w:rPr>
            </w:pPr>
            <w:r>
              <w:rPr>
                <w:rFonts w:hint="eastAsia" w:ascii="宋体" w:hAnsi="宋体" w:cs="宋体"/>
                <w:b w:val="0"/>
                <w:i w:val="0"/>
                <w:caps w:val="0"/>
                <w:color w:val="auto"/>
                <w:spacing w:val="0"/>
                <w:w w:val="100"/>
                <w:sz w:val="21"/>
                <w:szCs w:val="21"/>
                <w:bdr w:val="single" w:color="auto" w:sz="4" w:space="0"/>
              </w:rPr>
              <w:t>√</w:t>
            </w:r>
            <w:r>
              <w:rPr>
                <w:rFonts w:hint="eastAsia" w:ascii="宋体" w:hAnsi="宋体" w:cs="宋体"/>
                <w:b w:val="0"/>
                <w:i w:val="0"/>
                <w:caps w:val="0"/>
                <w:color w:val="auto"/>
                <w:spacing w:val="0"/>
                <w:w w:val="100"/>
                <w:sz w:val="21"/>
                <w:szCs w:val="21"/>
              </w:rPr>
              <w:t>组织，踏勘截止时间：</w:t>
            </w:r>
            <w:r>
              <w:rPr>
                <w:rFonts w:hint="eastAsia" w:ascii="宋体" w:hAnsi="宋体" w:cs="宋体"/>
                <w:b w:val="0"/>
                <w:i w:val="0"/>
                <w:caps w:val="0"/>
                <w:color w:val="auto"/>
                <w:spacing w:val="0"/>
                <w:w w:val="100"/>
                <w:sz w:val="21"/>
                <w:szCs w:val="21"/>
                <w:u w:val="single" w:color="000000"/>
              </w:rPr>
              <w:t>投标截止时间前3天</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bCs/>
                <w:i w:val="0"/>
                <w:caps w:val="0"/>
                <w:color w:val="auto"/>
                <w:spacing w:val="0"/>
                <w:w w:val="100"/>
                <w:sz w:val="21"/>
                <w:szCs w:val="21"/>
              </w:rPr>
              <w:t xml:space="preserve">        踏勘集中地点：</w:t>
            </w:r>
            <w:r>
              <w:rPr>
                <w:rFonts w:hint="eastAsia" w:hAnsi="宋体" w:cs="宋体"/>
                <w:b w:val="0"/>
                <w:bCs/>
                <w:i w:val="0"/>
                <w:caps w:val="0"/>
                <w:color w:val="auto"/>
                <w:spacing w:val="0"/>
                <w:w w:val="100"/>
                <w:sz w:val="21"/>
                <w:szCs w:val="21"/>
                <w:u w:val="single" w:color="000000"/>
              </w:rPr>
              <w:t>工程项目部会议室，联系人：</w:t>
            </w:r>
            <w:r>
              <w:rPr>
                <w:rFonts w:hint="eastAsia" w:hAnsi="宋体" w:cs="宋体"/>
                <w:b w:val="0"/>
                <w:i w:val="0"/>
                <w:caps w:val="0"/>
                <w:color w:val="auto"/>
                <w:spacing w:val="0"/>
                <w:w w:val="100"/>
                <w:sz w:val="21"/>
                <w:szCs w:val="21"/>
                <w:u w:val="single" w:color="000000"/>
              </w:rPr>
              <w:t>冯文君，</w:t>
            </w:r>
            <w:r>
              <w:rPr>
                <w:rFonts w:hint="eastAsia" w:hAnsi="宋体" w:cs="宋体"/>
                <w:b w:val="0"/>
                <w:bCs/>
                <w:i w:val="0"/>
                <w:caps w:val="0"/>
                <w:color w:val="auto"/>
                <w:spacing w:val="0"/>
                <w:w w:val="100"/>
                <w:sz w:val="21"/>
                <w:szCs w:val="21"/>
                <w:u w:val="single" w:color="000000"/>
              </w:rPr>
              <w:t>联系电话：</w:t>
            </w:r>
            <w:r>
              <w:rPr>
                <w:rFonts w:hint="eastAsia" w:hAnsi="宋体" w:cs="宋体"/>
                <w:b w:val="0"/>
                <w:i w:val="0"/>
                <w:caps w:val="0"/>
                <w:color w:val="auto"/>
                <w:spacing w:val="0"/>
                <w:w w:val="100"/>
                <w:sz w:val="21"/>
                <w:szCs w:val="21"/>
                <w:u w:val="single" w:color="000000"/>
              </w:rPr>
              <w:t>15967559599</w:t>
            </w:r>
            <w:r>
              <w:rPr>
                <w:rFonts w:hint="eastAsia" w:hAnsi="宋体" w:cs="宋体"/>
                <w:b w:val="0"/>
                <w:bCs/>
                <w:i w:val="0"/>
                <w:caps w:val="0"/>
                <w:color w:val="auto"/>
                <w:spacing w:val="0"/>
                <w:w w:val="100"/>
                <w:sz w:val="21"/>
                <w:szCs w:val="21"/>
                <w:u w:val="single" w:color="000000"/>
              </w:rPr>
              <w:t>。因工程复杂，请潜在投标人参加现场踏勘，未按时参加者，招标人不再另行组织，由潜在投标人自行踏勘。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1.10.1</w:t>
            </w:r>
          </w:p>
        </w:tc>
        <w:tc>
          <w:tcPr>
            <w:tcW w:w="1054" w:type="pct"/>
            <w:shd w:val="clear" w:color="000000" w:fill="FFFFFF"/>
            <w:tcMar>
              <w:left w:w="108" w:type="dxa"/>
              <w:right w:w="108" w:type="dxa"/>
            </w:tcMar>
            <w:vAlign w:val="center"/>
          </w:tcPr>
          <w:p>
            <w:pPr>
              <w:pStyle w:val="60"/>
              <w:snapToGrid w:val="0"/>
              <w:spacing w:before="0" w:beforeAutospacing="0" w:after="0" w:afterAutospacing="0" w:line="0" w:lineRule="atLeas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投标预备会</w:t>
            </w:r>
          </w:p>
        </w:tc>
        <w:tc>
          <w:tcPr>
            <w:tcW w:w="3407" w:type="pct"/>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40"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1.10.2</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投标人提出问题的截止时间</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2021</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w:t>
            </w:r>
            <w:r>
              <w:rPr>
                <w:rFonts w:hint="eastAsia" w:ascii="宋体" w:hAnsi="宋体" w:cs="宋体"/>
                <w:b w:val="0"/>
                <w:i w:val="0"/>
                <w:caps w:val="0"/>
                <w:color w:val="auto"/>
                <w:spacing w:val="0"/>
                <w:w w:val="100"/>
                <w:sz w:val="21"/>
                <w:szCs w:val="21"/>
                <w:u w:val="single" w:color="000000"/>
              </w:rPr>
              <w:t xml:space="preserve">   </w:t>
            </w:r>
            <w:r>
              <w:rPr>
                <w:b w:val="0"/>
                <w:i w:val="0"/>
                <w:caps w:val="0"/>
                <w:color w:val="auto"/>
                <w:spacing w:val="0"/>
                <w:w w:val="100"/>
                <w:sz w:val="20"/>
              </w:rPr>
              <w:fldChar w:fldCharType="begin"/>
            </w:r>
            <w:r>
              <w:rPr>
                <w:b w:val="0"/>
                <w:i w:val="0"/>
                <w:caps w:val="0"/>
                <w:color w:val="auto"/>
                <w:spacing w:val="0"/>
                <w:w w:val="100"/>
                <w:sz w:val="20"/>
              </w:rPr>
              <w:instrText xml:space="preserve"> HYPERLINK "mailto:时前（北京时间），请将要求澄清内容加盖单位公章后将扫描件、WORD电子版发到229330322@qq.com。" </w:instrText>
            </w:r>
            <w:r>
              <w:rPr>
                <w:b w:val="0"/>
                <w:i w:val="0"/>
                <w:caps w:val="0"/>
                <w:color w:val="auto"/>
                <w:spacing w:val="0"/>
                <w:w w:val="100"/>
                <w:sz w:val="20"/>
              </w:rPr>
              <w:fldChar w:fldCharType="separate"/>
            </w:r>
            <w:r>
              <w:rPr>
                <w:rFonts w:hint="eastAsia" w:ascii="宋体" w:hAnsi="宋体" w:cs="宋体"/>
                <w:b w:val="0"/>
                <w:i w:val="0"/>
                <w:caps w:val="0"/>
                <w:color w:val="auto"/>
                <w:spacing w:val="0"/>
                <w:w w:val="100"/>
                <w:sz w:val="21"/>
                <w:szCs w:val="21"/>
              </w:rPr>
              <w:t>时前（北京时间），请将要求澄清内容加盖单位公章后将扫描件、WORD电子版发到25164046@qq.com。</w:t>
            </w:r>
            <w:r>
              <w:rPr>
                <w:rFonts w:hint="eastAsia" w:ascii="宋体" w:hAnsi="宋体" w:cs="宋体"/>
                <w:b w:val="0"/>
                <w:i w:val="0"/>
                <w:caps w:val="0"/>
                <w:color w:val="auto"/>
                <w:spacing w:val="0"/>
                <w:w w:val="100"/>
                <w:sz w:val="20"/>
                <w:szCs w:val="21"/>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3100"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1.10.3</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招标文件的澄清、补充、修改的时间以及澄清、补充、修改文件的下载网址</w:t>
            </w:r>
          </w:p>
        </w:tc>
        <w:tc>
          <w:tcPr>
            <w:tcW w:w="3407" w:type="pct"/>
            <w:shd w:val="clear" w:color="000000" w:fill="FFFFFF"/>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澄清、补充、修改的内容影响投标文件编制的，招标人将在投标截止时间15日前，以电子文件形式上传至交易平台供投标人下载，不足15天的，招标人将顺延递交投标文件的截止时间。</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澄清、补充、修改的内容不影响投标文件编制的，将在投标文件递交截止时间</w:t>
            </w:r>
            <w:r>
              <w:rPr>
                <w:rFonts w:hint="eastAsia" w:hAnsi="宋体" w:cs="宋体"/>
                <w:b w:val="0"/>
                <w:i w:val="0"/>
                <w:caps w:val="0"/>
                <w:color w:val="auto"/>
                <w:spacing w:val="0"/>
                <w:w w:val="100"/>
                <w:sz w:val="21"/>
                <w:szCs w:val="21"/>
                <w:u w:val="single" w:color="000000"/>
              </w:rPr>
              <w:t xml:space="preserve"> 7 </w:t>
            </w:r>
            <w:r>
              <w:rPr>
                <w:rFonts w:hint="eastAsia" w:hAnsi="宋体" w:cs="宋体"/>
                <w:b w:val="0"/>
                <w:i w:val="0"/>
                <w:caps w:val="0"/>
                <w:color w:val="auto"/>
                <w:spacing w:val="0"/>
                <w:w w:val="100"/>
                <w:sz w:val="21"/>
                <w:szCs w:val="21"/>
              </w:rPr>
              <w:t>天前，以上款相同的形式发布。</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下载网址：绍兴公共资源交易网</w:t>
            </w:r>
            <w:r>
              <w:rPr>
                <w:b w:val="0"/>
                <w:i w:val="0"/>
                <w:caps w:val="0"/>
                <w:color w:val="auto"/>
                <w:spacing w:val="0"/>
                <w:w w:val="100"/>
                <w:sz w:val="20"/>
              </w:rPr>
              <w:fldChar w:fldCharType="begin"/>
            </w:r>
            <w:r>
              <w:rPr>
                <w:b w:val="0"/>
                <w:i w:val="0"/>
                <w:caps w:val="0"/>
                <w:color w:val="auto"/>
                <w:spacing w:val="0"/>
                <w:w w:val="100"/>
                <w:sz w:val="20"/>
              </w:rPr>
              <w:instrText xml:space="preserve"> HYPERLINK "http://www.zmctc.com/" \h </w:instrText>
            </w:r>
            <w:r>
              <w:rPr>
                <w:b w:val="0"/>
                <w:i w:val="0"/>
                <w:caps w:val="0"/>
                <w:color w:val="auto"/>
                <w:spacing w:val="0"/>
                <w:w w:val="100"/>
                <w:sz w:val="20"/>
              </w:rPr>
              <w:fldChar w:fldCharType="separate"/>
            </w:r>
            <w:r>
              <w:rPr>
                <w:rFonts w:hint="eastAsia" w:hAnsi="宋体" w:cs="宋体"/>
                <w:b w:val="0"/>
                <w:i w:val="0"/>
                <w:caps w:val="0"/>
                <w:color w:val="auto"/>
                <w:spacing w:val="0"/>
                <w:w w:val="100"/>
                <w:sz w:val="21"/>
                <w:szCs w:val="21"/>
              </w:rPr>
              <w:t>（http://ggb.sx.gov.cn/</w:t>
            </w:r>
            <w:r>
              <w:rPr>
                <w:rFonts w:hint="eastAsia" w:hAnsi="宋体" w:cs="宋体"/>
                <w:b w:val="0"/>
                <w:i w:val="0"/>
                <w:caps w:val="0"/>
                <w:color w:val="auto"/>
                <w:spacing w:val="0"/>
                <w:w w:val="100"/>
                <w:sz w:val="21"/>
                <w:szCs w:val="21"/>
              </w:rPr>
              <w:fldChar w:fldCharType="end"/>
            </w:r>
            <w:r>
              <w:rPr>
                <w:rFonts w:hint="eastAsia" w:hAnsi="宋体" w:cs="宋体"/>
                <w:b w:val="0"/>
                <w:i w:val="0"/>
                <w:caps w:val="0"/>
                <w:color w:val="auto"/>
                <w:spacing w:val="0"/>
                <w:w w:val="100"/>
                <w:sz w:val="21"/>
                <w:szCs w:val="21"/>
              </w:rPr>
              <w:t>），投标人须使用用户名和密码登录交易平台后下载相关文件。</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注：潜在投标人应密切关注交易平台，如有补充文件，投标人必须下载最新补充文件</w:t>
            </w:r>
            <w:r>
              <w:rPr>
                <w:rFonts w:hint="eastAsia" w:hAnsi="宋体" w:cs="宋体"/>
                <w:b w:val="0"/>
                <w:i w:val="0"/>
                <w:caps w:val="0"/>
                <w:strike/>
                <w:color w:val="auto"/>
                <w:spacing w:val="0"/>
                <w:w w:val="100"/>
                <w:sz w:val="21"/>
                <w:szCs w:val="21"/>
              </w:rPr>
              <w:t>并导入投标文件制作工具，否则制作的电子投标文件将无法开标</w:t>
            </w:r>
            <w:r>
              <w:rPr>
                <w:rFonts w:hint="eastAsia" w:hAnsi="宋体" w:cs="宋体"/>
                <w:b w:val="0"/>
                <w:i w:val="0"/>
                <w:caps w:val="0"/>
                <w:color w:val="auto"/>
                <w:spacing w:val="0"/>
                <w:w w:val="1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2"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1.10.4</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投标人确认收到澄清、补充、修改文件的时间</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right="-136"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潜在投标人应自行关注绍兴公共资源交易网</w:t>
            </w:r>
            <w:r>
              <w:rPr>
                <w:b w:val="0"/>
                <w:i w:val="0"/>
                <w:caps w:val="0"/>
                <w:color w:val="auto"/>
                <w:spacing w:val="0"/>
                <w:w w:val="100"/>
                <w:sz w:val="20"/>
              </w:rPr>
              <w:fldChar w:fldCharType="begin"/>
            </w:r>
            <w:r>
              <w:rPr>
                <w:b w:val="0"/>
                <w:i w:val="0"/>
                <w:caps w:val="0"/>
                <w:color w:val="auto"/>
                <w:spacing w:val="0"/>
                <w:w w:val="100"/>
                <w:sz w:val="20"/>
              </w:rPr>
              <w:instrText xml:space="preserve"> HYPERLINK "http://www.zmctc.com/" \h </w:instrText>
            </w:r>
            <w:r>
              <w:rPr>
                <w:b w:val="0"/>
                <w:i w:val="0"/>
                <w:caps w:val="0"/>
                <w:color w:val="auto"/>
                <w:spacing w:val="0"/>
                <w:w w:val="100"/>
                <w:sz w:val="20"/>
              </w:rPr>
              <w:fldChar w:fldCharType="separate"/>
            </w:r>
            <w:r>
              <w:rPr>
                <w:rFonts w:hint="eastAsia" w:ascii="宋体" w:hAnsi="宋体" w:cs="宋体"/>
                <w:b w:val="0"/>
                <w:i w:val="0"/>
                <w:caps w:val="0"/>
                <w:color w:val="auto"/>
                <w:spacing w:val="-6"/>
                <w:w w:val="100"/>
                <w:sz w:val="21"/>
                <w:szCs w:val="21"/>
              </w:rPr>
              <w:t>（http://ggb.sx.gov.cn/</w:t>
            </w:r>
            <w:r>
              <w:rPr>
                <w:rFonts w:hint="eastAsia" w:ascii="宋体" w:hAnsi="宋体" w:cs="宋体"/>
                <w:b w:val="0"/>
                <w:i w:val="0"/>
                <w:caps w:val="0"/>
                <w:color w:val="auto"/>
                <w:spacing w:val="-6"/>
                <w:w w:val="100"/>
                <w:sz w:val="20"/>
                <w:szCs w:val="21"/>
              </w:rPr>
              <w:fldChar w:fldCharType="end"/>
            </w:r>
            <w:r>
              <w:rPr>
                <w:rFonts w:hint="eastAsia" w:ascii="宋体" w:hAnsi="宋体" w:cs="宋体"/>
                <w:b w:val="0"/>
                <w:i w:val="0"/>
                <w:caps w:val="0"/>
                <w:color w:val="auto"/>
                <w:spacing w:val="-6"/>
                <w:w w:val="100"/>
                <w:sz w:val="21"/>
                <w:szCs w:val="21"/>
              </w:rPr>
              <w:t>）的交易平台及短信通知</w:t>
            </w:r>
            <w:r>
              <w:rPr>
                <w:rFonts w:hint="eastAsia" w:ascii="宋体" w:hAnsi="宋体" w:cs="宋体"/>
                <w:b w:val="0"/>
                <w:i w:val="0"/>
                <w:caps w:val="0"/>
                <w:color w:val="auto"/>
                <w:spacing w:val="0"/>
                <w:w w:val="100"/>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63"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招标工程是否允许分包</w:t>
            </w:r>
          </w:p>
        </w:tc>
        <w:tc>
          <w:tcPr>
            <w:tcW w:w="3407" w:type="pct"/>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1.12</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偏离</w:t>
            </w:r>
          </w:p>
        </w:tc>
        <w:tc>
          <w:tcPr>
            <w:tcW w:w="3407" w:type="pct"/>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构成招标文件的其他资料</w:t>
            </w:r>
          </w:p>
        </w:tc>
        <w:tc>
          <w:tcPr>
            <w:tcW w:w="3407" w:type="pct"/>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投标人要求澄清招标文件的截止时间</w:t>
            </w:r>
          </w:p>
        </w:tc>
        <w:tc>
          <w:tcPr>
            <w:tcW w:w="3407" w:type="pct"/>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b w:val="0"/>
                <w:i w:val="0"/>
                <w:caps w:val="0"/>
                <w:color w:val="auto"/>
                <w:spacing w:val="0"/>
                <w:w w:val="100"/>
                <w:sz w:val="21"/>
                <w:szCs w:val="21"/>
                <w:u w:val="single" w:color="000000"/>
              </w:rPr>
              <w:t xml:space="preserve">     </w:t>
            </w:r>
            <w:r>
              <w:rPr>
                <w:rFonts w:hint="eastAsia" w:hAnsi="宋体"/>
                <w:b w:val="0"/>
                <w:i w:val="0"/>
                <w:caps w:val="0"/>
                <w:color w:val="auto"/>
                <w:spacing w:val="0"/>
                <w:w w:val="100"/>
                <w:sz w:val="21"/>
                <w:szCs w:val="21"/>
              </w:rPr>
              <w:t>年</w:t>
            </w:r>
            <w:r>
              <w:rPr>
                <w:rFonts w:hint="eastAsia" w:hAnsi="宋体"/>
                <w:b w:val="0"/>
                <w:i w:val="0"/>
                <w:caps w:val="0"/>
                <w:color w:val="auto"/>
                <w:spacing w:val="0"/>
                <w:w w:val="100"/>
                <w:sz w:val="21"/>
                <w:szCs w:val="21"/>
                <w:u w:val="single" w:color="000000"/>
              </w:rPr>
              <w:t xml:space="preserve">   </w:t>
            </w:r>
            <w:r>
              <w:rPr>
                <w:rFonts w:hint="eastAsia" w:hAnsi="宋体"/>
                <w:b w:val="0"/>
                <w:i w:val="0"/>
                <w:caps w:val="0"/>
                <w:color w:val="auto"/>
                <w:spacing w:val="0"/>
                <w:w w:val="100"/>
                <w:sz w:val="21"/>
                <w:szCs w:val="21"/>
              </w:rPr>
              <w:t>月</w:t>
            </w:r>
            <w:r>
              <w:rPr>
                <w:rFonts w:hint="eastAsia" w:hAnsi="宋体"/>
                <w:b w:val="0"/>
                <w:i w:val="0"/>
                <w:caps w:val="0"/>
                <w:color w:val="auto"/>
                <w:spacing w:val="0"/>
                <w:w w:val="100"/>
                <w:sz w:val="21"/>
                <w:szCs w:val="21"/>
                <w:u w:val="single" w:color="000000"/>
              </w:rPr>
              <w:t xml:space="preserve">   </w:t>
            </w:r>
            <w:r>
              <w:rPr>
                <w:rFonts w:hint="eastAsia" w:hAnsi="宋体"/>
                <w:b w:val="0"/>
                <w:i w:val="0"/>
                <w:caps w:val="0"/>
                <w:color w:val="auto"/>
                <w:spacing w:val="0"/>
                <w:w w:val="100"/>
                <w:sz w:val="21"/>
                <w:szCs w:val="21"/>
              </w:rPr>
              <w:t>日</w:t>
            </w:r>
            <w:r>
              <w:rPr>
                <w:rFonts w:hint="eastAsia" w:hAnsi="宋体"/>
                <w:b w:val="0"/>
                <w:i w:val="0"/>
                <w:caps w:val="0"/>
                <w:color w:val="auto"/>
                <w:spacing w:val="0"/>
                <w:w w:val="100"/>
                <w:sz w:val="21"/>
                <w:szCs w:val="21"/>
                <w:u w:val="single" w:color="000000"/>
              </w:rPr>
              <w:t xml:space="preserve">   </w:t>
            </w:r>
            <w:r>
              <w:rPr>
                <w:rFonts w:hint="eastAsia" w:hAnsi="宋体"/>
                <w:b w:val="0"/>
                <w:i w:val="0"/>
                <w:caps w:val="0"/>
                <w:color w:val="auto"/>
                <w:spacing w:val="0"/>
                <w:w w:val="100"/>
                <w:sz w:val="21"/>
                <w:szCs w:val="21"/>
              </w:rPr>
              <w:t>时</w:t>
            </w:r>
            <w:r>
              <w:rPr>
                <w:rFonts w:hint="eastAsia" w:hAnsi="宋体"/>
                <w:b w:val="0"/>
                <w:i w:val="0"/>
                <w:caps w:val="0"/>
                <w:color w:val="auto"/>
                <w:spacing w:val="0"/>
                <w:w w:val="100"/>
                <w:sz w:val="21"/>
                <w:szCs w:val="21"/>
                <w:u w:val="single" w:color="000000"/>
              </w:rPr>
              <w:t xml:space="preserve">   </w:t>
            </w:r>
            <w:r>
              <w:rPr>
                <w:rFonts w:hint="eastAsia" w:hAnsi="宋体"/>
                <w:b w:val="0"/>
                <w:i w:val="0"/>
                <w:caps w:val="0"/>
                <w:color w:val="auto"/>
                <w:spacing w:val="0"/>
                <w:w w:val="10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2.2.2</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投标截止时间</w:t>
            </w:r>
          </w:p>
        </w:tc>
        <w:tc>
          <w:tcPr>
            <w:tcW w:w="3407" w:type="pct"/>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2.2.3</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投标人确认收到招标文件澄清的时间</w:t>
            </w:r>
          </w:p>
        </w:tc>
        <w:tc>
          <w:tcPr>
            <w:tcW w:w="3407" w:type="pct"/>
            <w:shd w:val="clear" w:color="000000" w:fill="FFFFFF"/>
            <w:tcMar>
              <w:left w:w="108" w:type="dxa"/>
              <w:right w:w="108" w:type="dxa"/>
            </w:tcMar>
            <w:vAlign w:val="center"/>
          </w:tcPr>
          <w:p>
            <w:pPr>
              <w:pStyle w:val="60"/>
              <w:snapToGrid w:val="0"/>
              <w:spacing w:before="0" w:beforeAutospacing="0" w:after="0" w:afterAutospacing="0" w:line="360" w:lineRule="exact"/>
              <w:ind w:right="-136"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潜在投标人应自行关注绍兴公共资源交易网</w:t>
            </w:r>
            <w:r>
              <w:rPr>
                <w:b w:val="0"/>
                <w:i w:val="0"/>
                <w:caps w:val="0"/>
                <w:color w:val="auto"/>
                <w:spacing w:val="0"/>
                <w:w w:val="100"/>
                <w:sz w:val="20"/>
              </w:rPr>
              <w:fldChar w:fldCharType="begin"/>
            </w:r>
            <w:r>
              <w:rPr>
                <w:b w:val="0"/>
                <w:i w:val="0"/>
                <w:caps w:val="0"/>
                <w:color w:val="auto"/>
                <w:spacing w:val="0"/>
                <w:w w:val="100"/>
                <w:sz w:val="20"/>
              </w:rPr>
              <w:instrText xml:space="preserve"> HYPERLINK "http://www.zmctc.com/" \h </w:instrText>
            </w:r>
            <w:r>
              <w:rPr>
                <w:b w:val="0"/>
                <w:i w:val="0"/>
                <w:caps w:val="0"/>
                <w:color w:val="auto"/>
                <w:spacing w:val="0"/>
                <w:w w:val="100"/>
                <w:sz w:val="20"/>
              </w:rPr>
              <w:fldChar w:fldCharType="separate"/>
            </w:r>
            <w:r>
              <w:rPr>
                <w:rFonts w:hint="eastAsia" w:hAnsi="宋体" w:cs="宋体"/>
                <w:b w:val="0"/>
                <w:i w:val="0"/>
                <w:caps w:val="0"/>
                <w:color w:val="auto"/>
                <w:spacing w:val="0"/>
                <w:w w:val="100"/>
                <w:sz w:val="21"/>
                <w:szCs w:val="21"/>
              </w:rPr>
              <w:t>（http://ggb.sx.gov.cn/</w:t>
            </w:r>
            <w:r>
              <w:rPr>
                <w:rFonts w:hint="eastAsia" w:hAnsi="宋体" w:cs="宋体"/>
                <w:b w:val="0"/>
                <w:i w:val="0"/>
                <w:caps w:val="0"/>
                <w:color w:val="auto"/>
                <w:spacing w:val="0"/>
                <w:w w:val="100"/>
                <w:sz w:val="21"/>
                <w:szCs w:val="21"/>
              </w:rPr>
              <w:fldChar w:fldCharType="end"/>
            </w:r>
            <w:r>
              <w:rPr>
                <w:rFonts w:hint="eastAsia" w:hAnsi="宋体" w:cs="宋体"/>
                <w:b w:val="0"/>
                <w:i w:val="0"/>
                <w:caps w:val="0"/>
                <w:color w:val="auto"/>
                <w:spacing w:val="0"/>
                <w:w w:val="100"/>
                <w:sz w:val="21"/>
                <w:szCs w:val="21"/>
              </w:rPr>
              <w:t>）</w:t>
            </w:r>
            <w:r>
              <w:rPr>
                <w:rFonts w:hint="eastAsia" w:hAnsi="宋体" w:cs="宋体"/>
                <w:b w:val="0"/>
                <w:i w:val="0"/>
                <w:caps w:val="0"/>
                <w:color w:val="auto"/>
                <w:spacing w:val="-6"/>
                <w:w w:val="100"/>
                <w:sz w:val="21"/>
                <w:szCs w:val="21"/>
              </w:rPr>
              <w:t>的交易平台及短信通知</w:t>
            </w:r>
            <w:r>
              <w:rPr>
                <w:rFonts w:hint="eastAsia" w:hAnsi="宋体" w:cs="宋体"/>
                <w:b w:val="0"/>
                <w:i w:val="0"/>
                <w:caps w:val="0"/>
                <w:color w:val="auto"/>
                <w:spacing w:val="0"/>
                <w:w w:val="100"/>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2.3.2</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投标人确认收到招标文件修改的时间</w:t>
            </w:r>
          </w:p>
        </w:tc>
        <w:tc>
          <w:tcPr>
            <w:tcW w:w="3407" w:type="pct"/>
            <w:shd w:val="clear" w:color="000000" w:fill="FFFFFF"/>
            <w:tcMar>
              <w:left w:w="108" w:type="dxa"/>
              <w:right w:w="108" w:type="dxa"/>
            </w:tcMar>
            <w:vAlign w:val="center"/>
          </w:tcPr>
          <w:p>
            <w:pPr>
              <w:pStyle w:val="60"/>
              <w:snapToGrid w:val="0"/>
              <w:spacing w:before="0" w:beforeAutospacing="0" w:after="0" w:afterAutospacing="0" w:line="360" w:lineRule="exact"/>
              <w:ind w:right="-136"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潜在投标人应自行关注绍兴公共资源交易网</w:t>
            </w:r>
            <w:r>
              <w:rPr>
                <w:b w:val="0"/>
                <w:i w:val="0"/>
                <w:caps w:val="0"/>
                <w:color w:val="auto"/>
                <w:spacing w:val="0"/>
                <w:w w:val="100"/>
                <w:sz w:val="20"/>
              </w:rPr>
              <w:fldChar w:fldCharType="begin"/>
            </w:r>
            <w:r>
              <w:rPr>
                <w:b w:val="0"/>
                <w:i w:val="0"/>
                <w:caps w:val="0"/>
                <w:color w:val="auto"/>
                <w:spacing w:val="0"/>
                <w:w w:val="100"/>
                <w:sz w:val="20"/>
              </w:rPr>
              <w:instrText xml:space="preserve"> HYPERLINK "http://www.zmctc.com/" \h </w:instrText>
            </w:r>
            <w:r>
              <w:rPr>
                <w:b w:val="0"/>
                <w:i w:val="0"/>
                <w:caps w:val="0"/>
                <w:color w:val="auto"/>
                <w:spacing w:val="0"/>
                <w:w w:val="100"/>
                <w:sz w:val="20"/>
              </w:rPr>
              <w:fldChar w:fldCharType="separate"/>
            </w:r>
            <w:r>
              <w:rPr>
                <w:rFonts w:hint="eastAsia" w:hAnsi="宋体" w:cs="宋体"/>
                <w:b w:val="0"/>
                <w:i w:val="0"/>
                <w:caps w:val="0"/>
                <w:color w:val="auto"/>
                <w:spacing w:val="0"/>
                <w:w w:val="100"/>
                <w:sz w:val="21"/>
                <w:szCs w:val="21"/>
              </w:rPr>
              <w:t>（http://ggb.sx.gov.cn/</w:t>
            </w:r>
            <w:r>
              <w:rPr>
                <w:rFonts w:hint="eastAsia" w:hAnsi="宋体" w:cs="宋体"/>
                <w:b w:val="0"/>
                <w:i w:val="0"/>
                <w:caps w:val="0"/>
                <w:color w:val="auto"/>
                <w:spacing w:val="0"/>
                <w:w w:val="100"/>
                <w:sz w:val="21"/>
                <w:szCs w:val="21"/>
              </w:rPr>
              <w:fldChar w:fldCharType="end"/>
            </w:r>
            <w:r>
              <w:rPr>
                <w:rFonts w:hint="eastAsia" w:hAnsi="宋体" w:cs="宋体"/>
                <w:b w:val="0"/>
                <w:i w:val="0"/>
                <w:caps w:val="0"/>
                <w:color w:val="auto"/>
                <w:spacing w:val="0"/>
                <w:w w:val="100"/>
                <w:sz w:val="21"/>
                <w:szCs w:val="21"/>
              </w:rPr>
              <w:t>）</w:t>
            </w:r>
            <w:r>
              <w:rPr>
                <w:rFonts w:hint="eastAsia" w:hAnsi="宋体" w:cs="宋体"/>
                <w:b w:val="0"/>
                <w:i w:val="0"/>
                <w:caps w:val="0"/>
                <w:color w:val="auto"/>
                <w:spacing w:val="-6"/>
                <w:w w:val="100"/>
                <w:sz w:val="21"/>
                <w:szCs w:val="21"/>
              </w:rPr>
              <w:t>的交易平台及短信通知</w:t>
            </w:r>
            <w:r>
              <w:rPr>
                <w:rFonts w:hint="eastAsia" w:hAnsi="宋体" w:cs="宋体"/>
                <w:b w:val="0"/>
                <w:i w:val="0"/>
                <w:caps w:val="0"/>
                <w:color w:val="auto"/>
                <w:spacing w:val="0"/>
                <w:w w:val="100"/>
                <w:sz w:val="21"/>
                <w:szCs w:val="21"/>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构成投标文件的其他资料</w:t>
            </w:r>
          </w:p>
        </w:tc>
        <w:tc>
          <w:tcPr>
            <w:tcW w:w="3407" w:type="pct"/>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3.2.3</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最高投标限价或其计算方法</w:t>
            </w:r>
          </w:p>
        </w:tc>
        <w:tc>
          <w:tcPr>
            <w:tcW w:w="3407" w:type="pct"/>
            <w:shd w:val="clear" w:color="000000" w:fill="FFFFFF"/>
            <w:tcMar>
              <w:left w:w="108" w:type="dxa"/>
              <w:right w:w="108" w:type="dxa"/>
            </w:tcMar>
            <w:vAlign w:val="center"/>
          </w:tcPr>
          <w:p>
            <w:pPr>
              <w:pStyle w:val="60"/>
              <w:snapToGrid w:val="0"/>
              <w:spacing w:before="0" w:beforeAutospacing="0" w:after="0" w:afterAutospacing="0" w:line="0" w:lineRule="atLeas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本次招标最高投标限价为：1500万元。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0"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3.2.4</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投标报价的其他要求</w:t>
            </w:r>
          </w:p>
        </w:tc>
        <w:tc>
          <w:tcPr>
            <w:tcW w:w="3407" w:type="pct"/>
            <w:shd w:val="clear" w:color="000000" w:fill="FFFFFF"/>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1、投标报价为投标人的投标文件中提出的</w:t>
            </w:r>
            <w:r>
              <w:rPr>
                <w:rFonts w:hint="eastAsia" w:hAnsi="宋体" w:cs="宋体"/>
                <w:b/>
                <w:bCs/>
                <w:i w:val="0"/>
                <w:caps w:val="0"/>
                <w:color w:val="auto"/>
                <w:spacing w:val="0"/>
                <w:w w:val="100"/>
                <w:sz w:val="21"/>
                <w:szCs w:val="21"/>
                <w:u w:val="single" w:color="000000"/>
              </w:rPr>
              <w:t>招标范围内</w:t>
            </w:r>
            <w:r>
              <w:rPr>
                <w:rFonts w:hint="eastAsia" w:hAnsi="宋体" w:cs="宋体"/>
                <w:b w:val="0"/>
                <w:i w:val="0"/>
                <w:caps w:val="0"/>
                <w:color w:val="auto"/>
                <w:spacing w:val="0"/>
                <w:w w:val="100"/>
                <w:sz w:val="21"/>
                <w:szCs w:val="21"/>
              </w:rPr>
              <w:t>各项支付金额的总和。</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2、技术标中明确或招标文件、设计图纸确定的相应技术规范要求的费用应包括在投标报价中，否则视同投标优惠。</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3、合同的交货和安装地点为本须知前附表第1.1.5项所述，除非合同中另有规定，投标人在投标总价中的价格均包括完成该工程的设备和材料供应、安装、调试开通、利润、税金、风险等所有费用,但投标报价不得超过本投标人须知前附表第3.2.3条所规定的上限，否则作废标处理。</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4、投标人应先到项目现场踏勘以充分了解现场位置、情况、道路、储存空间、装卸限制及任何其它足以影响报价的情况，任何因忽视或误解工地情况而导致的索赔或工期延长申请将不获批准。</w:t>
            </w:r>
          </w:p>
          <w:p>
            <w:pPr>
              <w:pStyle w:val="47"/>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5、投标人的投标报价包括但不限于：①按照本工程招标人提供的图纸、货物清单以及本项目技术要求所进行的进一步深化设计费（包括如遇到图纸、货物清单不明确或缺项的内容须无条件满足招标方要求进行的设计）；②设备费、运输保险费、卸货费、保管费、仓储费、工程施工费、设备安装费、安装调试费、检测费、技术服务与培训费、试运行费用、验收费、备品备件（含专用工具）费、质保期内的维修保养费（含质保期内的维保人员驻点服务）、规费、税金、政策性文件规定及合同包含的所有风险、责任等，并通过验收合格的所有费用；③深化设计增加的工程施工费用；④工程施工过程中的开孔和工程完工后的填补、修复（</w:t>
            </w:r>
            <w:r>
              <w:rPr>
                <w:rFonts w:hint="eastAsia" w:ascii="宋体" w:hAnsi="宋体" w:cs="宋体"/>
                <w:b w:val="0"/>
                <w:i w:val="0"/>
                <w:caps w:val="0"/>
                <w:color w:val="auto"/>
                <w:spacing w:val="0"/>
                <w:w w:val="100"/>
                <w:sz w:val="21"/>
                <w:szCs w:val="21"/>
                <w:lang w:val="en-US"/>
              </w:rPr>
              <w:t>符合消防验收规范</w:t>
            </w:r>
            <w:r>
              <w:rPr>
                <w:rFonts w:hint="eastAsia" w:ascii="宋体" w:hAnsi="宋体" w:cs="宋体"/>
                <w:b w:val="0"/>
                <w:i w:val="0"/>
                <w:caps w:val="0"/>
                <w:color w:val="auto"/>
                <w:spacing w:val="0"/>
                <w:w w:val="100"/>
                <w:sz w:val="21"/>
                <w:szCs w:val="21"/>
              </w:rPr>
              <w:t>）与清理工作（如用水泥砂浆、砼材料填实设备、框架及建筑结构之间的缝隙；外露的电线、管道修补、批灰、面层修饰等工作）等等费用；⑤</w:t>
            </w:r>
            <w:r>
              <w:rPr>
                <w:rStyle w:val="80"/>
                <w:rFonts w:hint="eastAsia" w:ascii="宋体" w:hAnsi="宋体" w:cs="宋体"/>
                <w:b w:val="0"/>
                <w:i w:val="0"/>
                <w:caps w:val="0"/>
                <w:color w:val="auto"/>
                <w:spacing w:val="0"/>
                <w:w w:val="100"/>
                <w:kern w:val="2"/>
                <w:sz w:val="21"/>
                <w:szCs w:val="21"/>
              </w:rPr>
              <w:t>设备机房内的装饰装修费用（含水电暖），对现有建筑物的物流管道等的结构补强加固（招标人提供结构参考图纸）、预留孔洞、设备基础、预埋构件、预埋管、套管及其封堵所产生的费用；⑥</w:t>
            </w:r>
            <w:r>
              <w:rPr>
                <w:rStyle w:val="43"/>
                <w:rFonts w:hint="eastAsia" w:ascii="宋体" w:hAnsi="宋体" w:cs="宋体"/>
                <w:b w:val="0"/>
                <w:i w:val="0"/>
                <w:caps w:val="0"/>
                <w:color w:val="auto"/>
                <w:spacing w:val="0"/>
                <w:w w:val="100"/>
                <w:sz w:val="21"/>
                <w:szCs w:val="21"/>
              </w:rPr>
              <w:t>不可预见费（不可预见费为招标范围之外或招标人、中医院有特殊功能要求增加的费用。费率为</w:t>
            </w:r>
            <w:r>
              <w:rPr>
                <w:rStyle w:val="43"/>
                <w:rFonts w:hint="eastAsia" w:ascii="宋体" w:hAnsi="宋体" w:cs="宋体"/>
                <w:b w:val="0"/>
                <w:i w:val="0"/>
                <w:caps w:val="0"/>
                <w:color w:val="auto"/>
                <w:spacing w:val="0"/>
                <w:w w:val="100"/>
                <w:sz w:val="21"/>
                <w:lang w:val="en-US"/>
              </w:rPr>
              <w:t>3%</w:t>
            </w:r>
            <w:r>
              <w:rPr>
                <w:rStyle w:val="43"/>
                <w:rFonts w:hint="eastAsia" w:ascii="宋体" w:hAnsi="宋体" w:cs="宋体"/>
                <w:b w:val="0"/>
                <w:i w:val="0"/>
                <w:caps w:val="0"/>
                <w:color w:val="auto"/>
                <w:spacing w:val="0"/>
                <w:w w:val="100"/>
                <w:sz w:val="21"/>
              </w:rPr>
              <w:t>）；</w:t>
            </w:r>
            <w:r>
              <w:rPr>
                <w:rStyle w:val="80"/>
                <w:rFonts w:hint="eastAsia" w:ascii="宋体" w:hAnsi="宋体" w:cs="宋体"/>
                <w:b w:val="0"/>
                <w:i w:val="0"/>
                <w:caps w:val="0"/>
                <w:color w:val="auto"/>
                <w:spacing w:val="0"/>
                <w:w w:val="100"/>
                <w:kern w:val="2"/>
                <w:sz w:val="21"/>
                <w:szCs w:val="21"/>
              </w:rPr>
              <w:t>⑦本条款中第7点内容</w:t>
            </w:r>
            <w:r>
              <w:rPr>
                <w:rFonts w:hint="eastAsia" w:ascii="宋体" w:hAnsi="宋体" w:cs="宋体"/>
                <w:b w:val="0"/>
                <w:i w:val="0"/>
                <w:caps w:val="0"/>
                <w:color w:val="auto"/>
                <w:spacing w:val="0"/>
                <w:w w:val="100"/>
                <w:sz w:val="21"/>
                <w:szCs w:val="21"/>
              </w:rPr>
              <w:t>等。请各投标人综合分析并充分考虑后全部组价计入本次报价中，中标后对上述方面的费用增加将不予调整。</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并全部包含在本次投标总价中，中标后一律不予调整。</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6、本项目风险控制价为最高限价的60％，若中标人低于该风险控制价中标的，中标人必须额外补交中标价净值与风险控制价之差额，中标人不提交的视为放弃中标。在风险控制价的基础上，每下降1％缴纳差额保证金壹万元(不足1％按1％计算)，以此类推。差额保证金待项目履约完成后7个工作日内无息退还。(差额保证金应在中标通知书发出后7个工作日内交至招标人，以网上银行、电汇、转账等方式交纳)。同时本项目也不接受招标项目范围内的捐赠。</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7、在施工过程中必须会发生且须支付给总包单位的费用（费率为4%，低于费率4%作无效标处理），投标人应</w:t>
            </w:r>
            <w:r>
              <w:rPr>
                <w:rStyle w:val="43"/>
                <w:rFonts w:hint="eastAsia" w:hAnsi="宋体" w:cs="宋体"/>
                <w:b w:val="0"/>
                <w:i w:val="0"/>
                <w:caps w:val="0"/>
                <w:color w:val="auto"/>
                <w:spacing w:val="0"/>
                <w:w w:val="100"/>
                <w:sz w:val="21"/>
              </w:rPr>
              <w:t>在投标总价中</w:t>
            </w:r>
            <w:r>
              <w:rPr>
                <w:rFonts w:hint="eastAsia" w:hAnsi="宋体" w:cs="宋体"/>
                <w:b w:val="0"/>
                <w:i w:val="0"/>
                <w:caps w:val="0"/>
                <w:color w:val="auto"/>
                <w:spacing w:val="0"/>
                <w:w w:val="100"/>
                <w:sz w:val="21"/>
                <w:szCs w:val="21"/>
              </w:rPr>
              <w:t>单独列报，但该费用不足部分请投标人综合考虑后计入投标总价内，中标后一律不予调整。</w:t>
            </w:r>
            <w:r>
              <w:rPr>
                <w:rStyle w:val="43"/>
                <w:rFonts w:hint="eastAsia" w:hAnsi="宋体" w:cs="宋体"/>
                <w:b w:val="0"/>
                <w:i w:val="0"/>
                <w:caps w:val="0"/>
                <w:color w:val="auto"/>
                <w:spacing w:val="0"/>
                <w:w w:val="100"/>
                <w:sz w:val="21"/>
              </w:rPr>
              <w:t>现场必须发生费用具体包括：安全文明施工费、</w:t>
            </w:r>
            <w:r>
              <w:rPr>
                <w:rFonts w:hint="eastAsia" w:hAnsi="宋体" w:cs="宋体"/>
                <w:b w:val="0"/>
                <w:i w:val="0"/>
                <w:caps w:val="0"/>
                <w:color w:val="auto"/>
                <w:spacing w:val="0"/>
                <w:w w:val="100"/>
                <w:sz w:val="21"/>
                <w:szCs w:val="21"/>
              </w:rPr>
              <w:t>垂直运输费、场地使用费、防疫措施费等等，均</w:t>
            </w:r>
            <w:r>
              <w:rPr>
                <w:rStyle w:val="43"/>
                <w:rFonts w:hint="eastAsia" w:hAnsi="宋体" w:cs="宋体"/>
                <w:b w:val="0"/>
                <w:i w:val="0"/>
                <w:caps w:val="0"/>
                <w:color w:val="auto"/>
                <w:spacing w:val="0"/>
                <w:w w:val="100"/>
                <w:sz w:val="21"/>
              </w:rPr>
              <w:t>由总包方负责实施。</w:t>
            </w:r>
            <w:r>
              <w:rPr>
                <w:rFonts w:hint="eastAsia" w:hAnsi="宋体" w:cs="宋体"/>
                <w:b w:val="0"/>
                <w:i w:val="0"/>
                <w:caps w:val="0"/>
                <w:color w:val="auto"/>
                <w:spacing w:val="0"/>
                <w:w w:val="100"/>
                <w:sz w:val="21"/>
                <w:szCs w:val="21"/>
              </w:rPr>
              <w:t>同时须满足下列要求：</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①投标人进场后须与总包签订总包管理协议，服从总包管理要求。</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②投标人的安装进场时间不应晚于监理、业主审批的施工总进度计划进场时间。</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③投标人进场前，图纸须齐全，以免影响后续施工进度（投标人须对图纸进行深化设计）。</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④进入施工现场后，设备及材料堆放场地须按照总包要求进行布设，满足标准化工地要求。</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⑤投标人应做好自身安全管理工作，加强对所属人员的安全管理和交底教育工作，对自身安全承担全部责任，若因其发生安全事故造成对第三方的损失（包括荣誉损失）均由投标人负责。</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⑥除以上内容外，施工现场其余直接发生费用，则由双方自行协商解决。</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8、鉴于目前总包施工现状，室外脚手架搭建情况，请投标人自行考虑设备运输事宜并承担运输费用，并充分考虑综合进入投标总价，中标后不予调整。</w:t>
            </w:r>
          </w:p>
          <w:p>
            <w:pPr>
              <w:pStyle w:val="13"/>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9、投标人按照上述要求编制投标报价。一旦确认某一投标人中标，除合同规定可调整内容外，中标人不得要求追加任何费用。</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3.3.1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投标有效期</w:t>
            </w:r>
          </w:p>
        </w:tc>
        <w:tc>
          <w:tcPr>
            <w:tcW w:w="3407" w:type="pct"/>
            <w:shd w:val="clear" w:color="000000" w:fill="FFFFFF"/>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不少于90个日历天（从投标截止之日起算）。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投标保证金</w:t>
            </w:r>
          </w:p>
        </w:tc>
        <w:tc>
          <w:tcPr>
            <w:tcW w:w="3407" w:type="pct"/>
            <w:shd w:val="clear" w:color="000000" w:fill="FFFFFF"/>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形式：见招标公告</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金额：见招标公告</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递交方式：见招标公告</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投标保证金不予退还的情形：</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1.投标人在投标有效期内撤销或修改其投标文件。</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2.中标人无正当理由不与招标人订立合同，或在签订合同时向招标人提出附加条件，或未按招标文件要求提交履约保证金的。</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3.经查实，投标人在投标过程中串通投标或弄虚作假的。</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strike/>
                <w:color w:val="auto"/>
                <w:spacing w:val="0"/>
                <w:w w:val="100"/>
                <w:sz w:val="21"/>
                <w:szCs w:val="21"/>
              </w:rPr>
            </w:pPr>
            <w:r>
              <w:rPr>
                <w:rFonts w:hint="eastAsia" w:hAnsi="宋体" w:cs="宋体"/>
                <w:b w:val="0"/>
                <w:i w:val="0"/>
                <w:caps w:val="0"/>
                <w:strike/>
                <w:color w:val="auto"/>
                <w:spacing w:val="0"/>
                <w:w w:val="100"/>
                <w:sz w:val="21"/>
                <w:szCs w:val="21"/>
              </w:rPr>
              <w:t>4.拟派项目负责人在投标截止日有在其他在建合同工程上担任项目负责人的情形。</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出现上述不予退还情形的，招标人告知交易中心登记后，平台将自动划转其投标保证金</w:t>
            </w:r>
            <w:r>
              <w:rPr>
                <w:rFonts w:hint="eastAsia" w:hAnsi="宋体" w:cs="宋体"/>
                <w:b w:val="0"/>
                <w:i w:val="0"/>
                <w:caps w:val="0"/>
                <w:strike/>
                <w:color w:val="auto"/>
                <w:spacing w:val="0"/>
                <w:w w:val="100"/>
                <w:sz w:val="21"/>
                <w:szCs w:val="21"/>
              </w:rPr>
              <w:t>及银行同期存款利息</w:t>
            </w:r>
            <w:r>
              <w:rPr>
                <w:rFonts w:hint="eastAsia" w:hAnsi="宋体" w:cs="宋体"/>
                <w:b w:val="0"/>
                <w:i w:val="0"/>
                <w:caps w:val="0"/>
                <w:color w:val="auto"/>
                <w:spacing w:val="0"/>
                <w:w w:val="100"/>
                <w:sz w:val="21"/>
                <w:szCs w:val="21"/>
              </w:rPr>
              <w:t>至招标人指定账户，不再退还给投标人。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3.5</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资格审查资料</w:t>
            </w:r>
          </w:p>
        </w:tc>
        <w:tc>
          <w:tcPr>
            <w:tcW w:w="3407" w:type="pct"/>
            <w:shd w:val="clear" w:color="000000" w:fill="FFFFFF"/>
            <w:tcMar>
              <w:left w:w="108" w:type="dxa"/>
              <w:right w:w="108" w:type="dxa"/>
            </w:tcMa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1.企业法人营业执照复印件；</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r>
              <w:rPr>
                <w:rFonts w:hint="eastAsia" w:ascii="宋体" w:hAnsi="宋体" w:cs="宋体"/>
                <w:b w:val="0"/>
                <w:bCs/>
                <w:i w:val="0"/>
                <w:caps w:val="0"/>
                <w:color w:val="auto"/>
                <w:spacing w:val="0"/>
                <w:w w:val="100"/>
                <w:sz w:val="21"/>
                <w:szCs w:val="21"/>
              </w:rPr>
              <w:t>自</w:t>
            </w:r>
            <w:r>
              <w:rPr>
                <w:rFonts w:hint="eastAsia" w:ascii="宋体" w:hAnsi="宋体" w:cs="宋体"/>
                <w:b w:val="0"/>
                <w:bCs/>
                <w:i w:val="0"/>
                <w:caps w:val="0"/>
                <w:color w:val="auto"/>
                <w:spacing w:val="0"/>
                <w:w w:val="100"/>
                <w:sz w:val="21"/>
                <w:szCs w:val="21"/>
              </w:rPr>
              <w:t>2016</w:t>
            </w:r>
            <w:r>
              <w:rPr>
                <w:rFonts w:hint="eastAsia" w:ascii="宋体" w:hAnsi="宋体" w:cs="宋体"/>
                <w:b w:val="0"/>
                <w:bCs/>
                <w:i w:val="0"/>
                <w:caps w:val="0"/>
                <w:color w:val="auto"/>
                <w:spacing w:val="0"/>
                <w:w w:val="100"/>
                <w:sz w:val="21"/>
                <w:szCs w:val="21"/>
              </w:rPr>
              <w:t>年1月1日以来【以合同签订时间为准】，投标人所投的品牌具有合同金额在700万元及以上国内物流系统的类似业绩。</w:t>
            </w:r>
            <w:r>
              <w:rPr>
                <w:rFonts w:hint="eastAsia" w:ascii="宋体" w:hAnsi="宋体" w:cs="宋体"/>
                <w:b w:val="0"/>
                <w:i w:val="0"/>
                <w:caps w:val="0"/>
                <w:color w:val="auto"/>
                <w:spacing w:val="0"/>
                <w:w w:val="100"/>
                <w:sz w:val="21"/>
                <w:szCs w:val="21"/>
              </w:rPr>
              <w:t>业绩证明材料为供货合同的复印件</w:t>
            </w:r>
            <w:r>
              <w:rPr>
                <w:rFonts w:hint="eastAsia" w:ascii="宋体" w:hAnsi="宋体" w:cs="宋体"/>
                <w:b w:val="0"/>
                <w:i w:val="0"/>
                <w:caps w:val="0"/>
                <w:color w:val="auto"/>
                <w:spacing w:val="0"/>
                <w:w w:val="100"/>
                <w:sz w:val="21"/>
                <w:szCs w:val="21"/>
              </w:rPr>
              <w:t>；</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r>
              <w:rPr>
                <w:rFonts w:hint="eastAsia" w:ascii="宋体" w:hAnsi="宋体"/>
                <w:b/>
                <w:i w:val="0"/>
                <w:caps w:val="0"/>
                <w:color w:val="auto"/>
                <w:spacing w:val="0"/>
                <w:w w:val="100"/>
                <w:sz w:val="21"/>
                <w:szCs w:val="21"/>
              </w:rPr>
              <w:t>承诺书</w:t>
            </w:r>
            <w:r>
              <w:rPr>
                <w:rFonts w:hint="eastAsia" w:ascii="宋体" w:hAnsi="宋体"/>
                <w:b w:val="0"/>
                <w:i w:val="0"/>
                <w:caps w:val="0"/>
                <w:color w:val="auto"/>
                <w:spacing w:val="0"/>
                <w:w w:val="100"/>
                <w:sz w:val="21"/>
                <w:szCs w:val="21"/>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b w:val="0"/>
                <w:i w:val="0"/>
                <w:caps w:val="0"/>
                <w:color w:val="auto"/>
                <w:spacing w:val="0"/>
                <w:w w:val="100"/>
                <w:sz w:val="21"/>
                <w:szCs w:val="21"/>
              </w:rPr>
              <w:t>企业和项目负责人近 5年内无行贿犯罪记录</w:t>
            </w:r>
            <w:r>
              <w:rPr>
                <w:rFonts w:hint="eastAsia" w:ascii="宋体" w:hAnsi="宋体"/>
                <w:b w:val="0"/>
                <w:i w:val="0"/>
                <w:caps w:val="0"/>
                <w:color w:val="auto"/>
                <w:spacing w:val="0"/>
                <w:w w:val="100"/>
                <w:sz w:val="21"/>
                <w:szCs w:val="21"/>
              </w:rPr>
              <w:t>；3、</w:t>
            </w:r>
            <w:r>
              <w:rPr>
                <w:rFonts w:hint="eastAsia"/>
                <w:b w:val="0"/>
                <w:i w:val="0"/>
                <w:caps w:val="0"/>
                <w:color w:val="auto"/>
                <w:spacing w:val="0"/>
                <w:w w:val="100"/>
                <w:sz w:val="21"/>
                <w:szCs w:val="21"/>
              </w:rPr>
              <w:t>投标人如为代理商需承诺：中标后提供所投品牌制造商的唯一授权书</w:t>
            </w:r>
            <w:r>
              <w:rPr>
                <w:rFonts w:hint="eastAsia" w:ascii="宋体" w:hAnsi="宋体" w:cs="宋体"/>
                <w:b w:val="0"/>
                <w:i w:val="0"/>
                <w:caps w:val="0"/>
                <w:color w:val="auto"/>
                <w:spacing w:val="0"/>
                <w:w w:val="100"/>
                <w:sz w:val="21"/>
                <w:szCs w:val="21"/>
              </w:rPr>
              <w:t>。</w:t>
            </w:r>
            <w:r>
              <w:rPr>
                <w:rFonts w:hint="eastAsia" w:ascii="宋体" w:hAnsi="宋体"/>
                <w:b w:val="0"/>
                <w:i w:val="0"/>
                <w:caps w:val="0"/>
                <w:color w:val="auto"/>
                <w:spacing w:val="0"/>
                <w:w w:val="100"/>
                <w:sz w:val="21"/>
                <w:szCs w:val="21"/>
              </w:rPr>
              <w:t>），格式自拟，加盖投标人公章。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3.5.2</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近年财务状况的年份要求</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3.5.3</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近年完成的类似项目的年份要求</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详见投标人资格要求和技术标评审标准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3.5.5</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近年发生的重大诉讼及仲裁情况的年份要求</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3.6</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是否允许递交备选投标方案</w:t>
            </w:r>
          </w:p>
        </w:tc>
        <w:tc>
          <w:tcPr>
            <w:tcW w:w="3407" w:type="pct"/>
            <w:shd w:val="clear" w:color="000000" w:fill="FFFFFF"/>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976" w:hRule="atLeast"/>
          <w:jc w:val="center"/>
        </w:trPr>
        <w:tc>
          <w:tcPr>
            <w:tcW w:w="498" w:type="pct"/>
            <w:shd w:val="clear" w:color="auto" w:fill="auto"/>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3.7.3</w:t>
            </w:r>
          </w:p>
        </w:tc>
        <w:tc>
          <w:tcPr>
            <w:tcW w:w="1054" w:type="pct"/>
            <w:shd w:val="clear" w:color="auto" w:fill="auto"/>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签字或盖章要求</w:t>
            </w:r>
          </w:p>
        </w:tc>
        <w:tc>
          <w:tcPr>
            <w:tcW w:w="3407" w:type="pct"/>
            <w:shd w:val="clear" w:color="auto" w:fill="auto"/>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strike/>
                <w:color w:val="auto"/>
                <w:spacing w:val="0"/>
                <w:w w:val="100"/>
                <w:sz w:val="21"/>
                <w:szCs w:val="21"/>
              </w:rPr>
            </w:pPr>
            <w:r>
              <w:rPr>
                <w:rFonts w:hint="eastAsia" w:hAnsi="宋体" w:cs="宋体"/>
                <w:b w:val="0"/>
                <w:i w:val="0"/>
                <w:caps w:val="0"/>
                <w:strike/>
                <w:color w:val="auto"/>
                <w:spacing w:val="0"/>
                <w:w w:val="100"/>
                <w:sz w:val="21"/>
                <w:szCs w:val="21"/>
              </w:rPr>
              <w:t>一、电子投标文件签字或盖章要求：在招标文件格式规定的签字处，投标人必须加盖法定代表人电子章；在招标文件格式规定的盖章处加盖单位电子公章。</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strike/>
                <w:color w:val="auto"/>
                <w:spacing w:val="0"/>
                <w:w w:val="100"/>
                <w:sz w:val="21"/>
                <w:szCs w:val="21"/>
              </w:rPr>
            </w:pPr>
            <w:r>
              <w:rPr>
                <w:rFonts w:hint="eastAsia" w:hAnsi="宋体" w:cs="宋体"/>
                <w:b w:val="0"/>
                <w:i w:val="0"/>
                <w:caps w:val="0"/>
                <w:strike/>
                <w:color w:val="auto"/>
                <w:spacing w:val="0"/>
                <w:w w:val="100"/>
                <w:sz w:val="21"/>
                <w:szCs w:val="21"/>
              </w:rPr>
              <w:t>其它要求：无</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二、纸质投标文件签字或盖章要求详见招标文件格式</w:t>
            </w:r>
            <w:r>
              <w:rPr>
                <w:rFonts w:hint="eastAsia" w:hAnsi="宋体" w:cs="宋体"/>
                <w:b w:val="0"/>
                <w:i w:val="0"/>
                <w:caps w:val="0"/>
                <w:strike/>
                <w:color w:val="auto"/>
                <w:spacing w:val="0"/>
                <w:w w:val="100"/>
                <w:sz w:val="21"/>
                <w:szCs w:val="21"/>
              </w:rPr>
              <w:t>（联合体投标的，投标文件中除联合体协议书须联合体双方盖章外，其余内容只需联合体牵头人盖章）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jc w:val="center"/>
        </w:trPr>
        <w:tc>
          <w:tcPr>
            <w:tcW w:w="498" w:type="pct"/>
            <w:shd w:val="clear" w:color="auto" w:fill="auto"/>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3.7.4</w:t>
            </w:r>
          </w:p>
        </w:tc>
        <w:tc>
          <w:tcPr>
            <w:tcW w:w="1054" w:type="pct"/>
            <w:shd w:val="clear" w:color="auto" w:fill="auto"/>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投标文件</w:t>
            </w:r>
          </w:p>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份数</w:t>
            </w:r>
          </w:p>
        </w:tc>
        <w:tc>
          <w:tcPr>
            <w:tcW w:w="3407" w:type="pct"/>
            <w:shd w:val="clear" w:color="auto" w:fill="auto"/>
            <w:tcMar>
              <w:left w:w="108" w:type="dxa"/>
              <w:right w:w="108" w:type="dxa"/>
            </w:tcMar>
            <w:vAlign w:val="center"/>
          </w:tcPr>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资格审查资料：正本一份，副本陆份；</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技 术 标：正本一份，副本陆份；</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商 务 标：正本一份，副本陆份。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03" w:hRule="atLeast"/>
          <w:jc w:val="center"/>
        </w:trPr>
        <w:tc>
          <w:tcPr>
            <w:tcW w:w="498" w:type="pct"/>
            <w:shd w:val="clear" w:color="auto" w:fill="auto"/>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3.7.5</w:t>
            </w:r>
          </w:p>
        </w:tc>
        <w:tc>
          <w:tcPr>
            <w:tcW w:w="1054" w:type="pct"/>
            <w:shd w:val="clear" w:color="auto" w:fill="auto"/>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装订要求</w:t>
            </w:r>
          </w:p>
        </w:tc>
        <w:tc>
          <w:tcPr>
            <w:tcW w:w="3407" w:type="pct"/>
            <w:shd w:val="clear" w:color="auto" w:fill="auto"/>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应装订成册，不得采用活页夹，</w:t>
            </w:r>
            <w:r>
              <w:rPr>
                <w:rFonts w:hint="eastAsia" w:ascii="宋体" w:hAnsi="宋体" w:cs="宋体"/>
                <w:b w:val="0"/>
                <w:i w:val="0"/>
                <w:caps w:val="0"/>
                <w:color w:val="auto"/>
                <w:spacing w:val="0"/>
                <w:w w:val="100"/>
                <w:sz w:val="21"/>
                <w:szCs w:val="21"/>
              </w:rPr>
              <w:t>建议</w:t>
            </w:r>
            <w:r>
              <w:rPr>
                <w:rFonts w:hint="eastAsia" w:ascii="宋体" w:hAnsi="宋体" w:cs="宋体"/>
                <w:b w:val="0"/>
                <w:i w:val="0"/>
                <w:caps w:val="0"/>
                <w:color w:val="auto"/>
                <w:spacing w:val="0"/>
                <w:w w:val="100"/>
                <w:sz w:val="21"/>
                <w:szCs w:val="21"/>
              </w:rPr>
              <w:t>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266"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bCs/>
                <w:i w:val="0"/>
                <w:iCs/>
                <w:caps w:val="0"/>
                <w:color w:val="auto"/>
                <w:spacing w:val="0"/>
                <w:w w:val="100"/>
                <w:kern w:val="2"/>
                <w:sz w:val="21"/>
                <w:szCs w:val="21"/>
              </w:rPr>
              <w:t>投标文件的外包装和密封要求</w:t>
            </w:r>
          </w:p>
        </w:tc>
        <w:tc>
          <w:tcPr>
            <w:tcW w:w="3407" w:type="pct"/>
            <w:shd w:val="clear" w:color="000000" w:fill="FFFFFF"/>
            <w:tcMar>
              <w:left w:w="108" w:type="dxa"/>
              <w:right w:w="108" w:type="dxa"/>
            </w:tcMar>
            <w:vAlign w:val="center"/>
          </w:tcPr>
          <w:p>
            <w:pPr>
              <w:pStyle w:val="60"/>
              <w:snapToGrid w:val="0"/>
              <w:spacing w:before="0" w:beforeAutospacing="0" w:after="0" w:afterAutospacing="0" w:line="360" w:lineRule="exact"/>
              <w:ind w:firstLine="422" w:firstLineChars="200"/>
              <w:jc w:val="both"/>
              <w:textAlignment w:val="bottom"/>
              <w:rPr>
                <w:rFonts w:hAnsi="宋体" w:cs="宋体"/>
                <w:b w:val="0"/>
                <w:i w:val="0"/>
                <w:caps w:val="0"/>
                <w:color w:val="auto"/>
                <w:spacing w:val="0"/>
                <w:w w:val="100"/>
                <w:sz w:val="21"/>
                <w:szCs w:val="21"/>
              </w:rPr>
            </w:pPr>
            <w:r>
              <w:rPr>
                <w:rFonts w:hint="eastAsia" w:hAnsi="宋体" w:cs="宋体"/>
                <w:b/>
                <w:i w:val="0"/>
                <w:iCs/>
                <w:caps w:val="0"/>
                <w:color w:val="auto"/>
                <w:spacing w:val="0"/>
                <w:w w:val="100"/>
                <w:kern w:val="2"/>
                <w:sz w:val="21"/>
                <w:szCs w:val="21"/>
              </w:rPr>
              <w:t>投标文件的正本副本统一包装在一个密封袋内，</w:t>
            </w:r>
            <w:r>
              <w:rPr>
                <w:rFonts w:hint="eastAsia" w:hAnsi="宋体" w:cs="宋体"/>
                <w:b w:val="0"/>
                <w:i w:val="0"/>
                <w:caps w:val="0"/>
                <w:color w:val="auto"/>
                <w:spacing w:val="0"/>
                <w:w w:val="100"/>
                <w:sz w:val="21"/>
                <w:szCs w:val="21"/>
              </w:rPr>
              <w:t>资格审查资料、技术标、商务标分别密封包装，</w:t>
            </w:r>
            <w:r>
              <w:rPr>
                <w:rFonts w:hint="eastAsia" w:hAnsi="宋体" w:cs="宋体"/>
                <w:b/>
                <w:i w:val="0"/>
                <w:iCs/>
                <w:caps w:val="0"/>
                <w:color w:val="auto"/>
                <w:spacing w:val="0"/>
                <w:w w:val="100"/>
                <w:kern w:val="2"/>
                <w:sz w:val="21"/>
                <w:szCs w:val="21"/>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750"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4.1.2</w:t>
            </w:r>
          </w:p>
        </w:tc>
        <w:tc>
          <w:tcPr>
            <w:tcW w:w="1054" w:type="pct"/>
            <w:shd w:val="clear" w:color="000000" w:fill="FFFFFF"/>
            <w:tcMar>
              <w:left w:w="108" w:type="dxa"/>
              <w:right w:w="108" w:type="dxa"/>
            </w:tcMar>
            <w:vAlign w:val="center"/>
          </w:tcPr>
          <w:p>
            <w:pPr>
              <w:tabs>
                <w:tab w:val="left" w:pos="0"/>
                <w:tab w:val="right" w:leader="dot" w:pos="8280"/>
              </w:tabs>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封套上写明</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招标人地址：</w:t>
            </w:r>
            <w:r>
              <w:rPr>
                <w:rFonts w:hint="eastAsia" w:ascii="宋体" w:hAnsi="宋体" w:cs="宋体"/>
                <w:b/>
                <w:i w:val="0"/>
                <w:caps w:val="0"/>
                <w:color w:val="auto"/>
                <w:spacing w:val="0"/>
                <w:w w:val="100"/>
                <w:sz w:val="21"/>
                <w:szCs w:val="21"/>
                <w:u w:val="single" w:color="000000"/>
              </w:rPr>
              <w:t>凤林西路123号中成大厦</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招标人名称：</w:t>
            </w:r>
            <w:r>
              <w:rPr>
                <w:rFonts w:hint="eastAsia" w:ascii="宋体" w:hAnsi="宋体" w:cs="宋体"/>
                <w:b/>
                <w:i w:val="0"/>
                <w:caps w:val="0"/>
                <w:color w:val="auto"/>
                <w:spacing w:val="0"/>
                <w:w w:val="100"/>
                <w:sz w:val="21"/>
                <w:szCs w:val="21"/>
                <w:u w:val="single" w:color="000000"/>
              </w:rPr>
              <w:t>浙江中成建工集团有限公司</w:t>
            </w:r>
          </w:p>
          <w:p>
            <w:pPr>
              <w:snapToGrid w:val="0"/>
              <w:spacing w:before="0" w:beforeAutospacing="0" w:after="0" w:afterAutospacing="0" w:line="360" w:lineRule="exact"/>
              <w:ind w:firstLine="422"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u w:val="single" w:color="000000"/>
              </w:rPr>
              <w:t>绍兴市中医院改扩建工程EPC总承包内医疗物流系统项目</w:t>
            </w:r>
            <w:r>
              <w:rPr>
                <w:rFonts w:hint="eastAsia" w:ascii="宋体" w:hAnsi="宋体" w:cs="宋体"/>
                <w:b w:val="0"/>
                <w:i w:val="0"/>
                <w:caps w:val="0"/>
                <w:color w:val="auto"/>
                <w:spacing w:val="0"/>
                <w:w w:val="100"/>
                <w:sz w:val="21"/>
                <w:szCs w:val="21"/>
              </w:rPr>
              <w:t>投标文件，在2021年  月  日  时  分前不得开启。</w:t>
            </w:r>
          </w:p>
          <w:p>
            <w:pPr>
              <w:pStyle w:val="2"/>
              <w:snapToGrid w:val="0"/>
              <w:spacing w:before="0" w:beforeAutospacing="0" w:after="0" w:afterAutospacing="0" w:line="360" w:lineRule="exact"/>
              <w:ind w:firstLine="411" w:firstLineChars="195"/>
              <w:jc w:val="both"/>
              <w:textAlignment w:val="baseline"/>
              <w:rPr>
                <w:rFonts w:ascii="Arial" w:hAnsi="Arial"/>
                <w:b/>
                <w:i w:val="0"/>
                <w:caps w:val="0"/>
                <w:color w:val="auto"/>
                <w:spacing w:val="0"/>
                <w:w w:val="100"/>
                <w:sz w:val="21"/>
                <w:szCs w:val="21"/>
              </w:rPr>
            </w:pPr>
            <w:r>
              <w:rPr>
                <w:rFonts w:hint="eastAsia"/>
                <w:b/>
                <w:i w:val="0"/>
                <w:caps w:val="0"/>
                <w:color w:val="auto"/>
                <w:spacing w:val="0"/>
                <w:w w:val="100"/>
                <w:sz w:val="21"/>
                <w:szCs w:val="21"/>
              </w:rPr>
              <w:t>在包封上注明“资格审查资料”或“技术标”或“商务标”字样。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7290"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4.2.2</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递交投标文件方式和地点</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本项目采用“不见面”开标方式，不强制要求投标人参加现场开标会。</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b w:val="0"/>
                <w:i w:val="0"/>
                <w:caps w:val="0"/>
                <w:color w:val="auto"/>
                <w:spacing w:val="0"/>
                <w:w w:val="100"/>
                <w:sz w:val="20"/>
              </w:rPr>
              <w:fldChar w:fldCharType="begin"/>
            </w:r>
            <w:r>
              <w:rPr>
                <w:b w:val="0"/>
                <w:i w:val="0"/>
                <w:caps w:val="0"/>
                <w:color w:val="auto"/>
                <w:spacing w:val="0"/>
                <w:w w:val="100"/>
                <w:sz w:val="20"/>
              </w:rPr>
              <w:instrText xml:space="preserve"> HYPERLINK "http://www.sxztb.gov.cn/sxweb/ReadAttachFile.aspx?AttachID=37f9b03b-ad6a-42af-b0e6-b5a96971394e" \t "_blank" </w:instrText>
            </w:r>
            <w:r>
              <w:rPr>
                <w:b w:val="0"/>
                <w:i w:val="0"/>
                <w:caps w:val="0"/>
                <w:color w:val="auto"/>
                <w:spacing w:val="0"/>
                <w:w w:val="100"/>
                <w:sz w:val="20"/>
              </w:rPr>
              <w:fldChar w:fldCharType="separate"/>
            </w:r>
            <w:r>
              <w:rPr>
                <w:rFonts w:hint="eastAsia" w:ascii="宋体" w:hAnsi="宋体" w:cs="宋体"/>
                <w:b w:val="0"/>
                <w:i w:val="0"/>
                <w:caps w:val="0"/>
                <w:color w:val="auto"/>
                <w:spacing w:val="0"/>
                <w:w w:val="100"/>
                <w:sz w:val="21"/>
                <w:szCs w:val="21"/>
              </w:rPr>
              <w:t>绍兴市迪荡新城惠利街20号鼎盛时代大厦</w:t>
            </w:r>
            <w:r>
              <w:rPr>
                <w:rFonts w:hint="eastAsia" w:ascii="宋体" w:hAnsi="宋体" w:cs="宋体"/>
                <w:b w:val="0"/>
                <w:i w:val="0"/>
                <w:caps w:val="0"/>
                <w:color w:val="auto"/>
                <w:spacing w:val="0"/>
                <w:w w:val="100"/>
                <w:sz w:val="20"/>
                <w:szCs w:val="21"/>
              </w:rPr>
              <w:fldChar w:fldCharType="end"/>
            </w:r>
            <w:r>
              <w:rPr>
                <w:rFonts w:hint="eastAsia" w:ascii="宋体" w:hAnsi="宋体" w:cs="宋体"/>
                <w:b w:val="0"/>
                <w:i w:val="0"/>
                <w:caps w:val="0"/>
                <w:color w:val="auto"/>
                <w:spacing w:val="0"/>
                <w:w w:val="100"/>
                <w:sz w:val="21"/>
                <w:szCs w:val="21"/>
              </w:rPr>
              <w:t>绍兴市公共资源交易中心四楼，收件人：陈振宇，电话0575-88307031，建议采用邮政EMS邮寄）。投标人在开标现场不需要书面签字确认等有关操作。</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18"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4.2.3</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是否退还投标文件</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626"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4.2.5</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投标文件的拒收情形</w:t>
            </w:r>
          </w:p>
        </w:tc>
        <w:tc>
          <w:tcPr>
            <w:tcW w:w="3407" w:type="pct"/>
            <w:shd w:val="clear" w:color="000000" w:fill="FFFFFF"/>
            <w:tcMar>
              <w:left w:w="108" w:type="dxa"/>
              <w:right w:w="108" w:type="dxa"/>
            </w:tcMar>
            <w:vAlign w:val="center"/>
          </w:tcPr>
          <w:p>
            <w:pPr>
              <w:pStyle w:val="60"/>
              <w:numPr>
                <w:ilvl w:val="0"/>
                <w:numId w:val="2"/>
              </w:numPr>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未按要求密封的投标文件。</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二、逾期送达的或者未送达指定地点的投标文件。</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strike/>
                <w:color w:val="auto"/>
                <w:spacing w:val="0"/>
                <w:w w:val="100"/>
                <w:sz w:val="21"/>
                <w:szCs w:val="21"/>
              </w:rPr>
            </w:pPr>
            <w:r>
              <w:rPr>
                <w:rFonts w:hint="eastAsia" w:hAnsi="宋体" w:cs="宋体"/>
                <w:b w:val="0"/>
                <w:i w:val="0"/>
                <w:caps w:val="0"/>
                <w:strike/>
                <w:color w:val="auto"/>
                <w:spacing w:val="0"/>
                <w:w w:val="100"/>
                <w:sz w:val="21"/>
                <w:szCs w:val="21"/>
              </w:rPr>
              <w:t>三、保证金未与所投标段关联的。</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strike/>
                <w:color w:val="auto"/>
                <w:spacing w:val="0"/>
                <w:w w:val="100"/>
                <w:sz w:val="21"/>
                <w:szCs w:val="21"/>
              </w:rPr>
            </w:pPr>
            <w:r>
              <w:rPr>
                <w:rFonts w:hint="eastAsia" w:hAnsi="宋体" w:cs="宋体"/>
                <w:b w:val="0"/>
                <w:i w:val="0"/>
                <w:caps w:val="0"/>
                <w:strike/>
                <w:color w:val="auto"/>
                <w:spacing w:val="0"/>
                <w:w w:val="100"/>
                <w:sz w:val="21"/>
                <w:szCs w:val="21"/>
              </w:rPr>
              <w:t>四、未按规定缴纳招标文件工本费的。</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833"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开标时间、开标地点、参加开标会议的要求</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一、开标时间：同投标截止时间。</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二、开标地点：绍兴市公共资源交易中心指定开标室。</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117"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5.2</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开标</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（1）密封情况检查：由公证处公证人员检查。</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（2）开标顺序：按获取招标文件顺序依次开标。</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（为确保开评标现场的疫情防控安全，到现场参与开评标的各类人员应出示健康码。为减少人员聚集程度及滞留时间，投标人不需在开标现场。）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84"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6.1.1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评标委员会的组建</w:t>
            </w:r>
          </w:p>
        </w:tc>
        <w:tc>
          <w:tcPr>
            <w:tcW w:w="3407" w:type="pct"/>
            <w:shd w:val="clear" w:color="000000" w:fill="FFFFFF"/>
            <w:tcMar>
              <w:left w:w="108" w:type="dxa"/>
              <w:right w:w="108" w:type="dxa"/>
            </w:tcMar>
            <w:vAlign w:val="center"/>
          </w:tcPr>
          <w:p>
            <w:pPr>
              <w:shd w:val="clear" w:color="auto" w:fill="FFFFFF"/>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评标委员会构成：</w:t>
            </w:r>
            <w:r>
              <w:rPr>
                <w:rFonts w:hint="eastAsia" w:ascii="宋体" w:hAnsi="宋体" w:cs="宋体"/>
                <w:b w:val="0"/>
                <w:i w:val="0"/>
                <w:caps w:val="0"/>
                <w:color w:val="auto"/>
                <w:spacing w:val="0"/>
                <w:w w:val="100"/>
                <w:sz w:val="21"/>
                <w:szCs w:val="21"/>
                <w:u w:val="single" w:color="000000"/>
              </w:rPr>
              <w:t xml:space="preserve">  按规定   </w:t>
            </w:r>
            <w:r>
              <w:rPr>
                <w:rFonts w:hint="eastAsia" w:ascii="宋体" w:hAnsi="宋体" w:cs="宋体"/>
                <w:b w:val="0"/>
                <w:i w:val="0"/>
                <w:caps w:val="0"/>
                <w:color w:val="auto"/>
                <w:spacing w:val="0"/>
                <w:w w:val="100"/>
                <w:sz w:val="21"/>
                <w:szCs w:val="21"/>
              </w:rPr>
              <w:t>；</w:t>
            </w:r>
          </w:p>
          <w:p>
            <w:pPr>
              <w:pStyle w:val="60"/>
              <w:snapToGrid w:val="0"/>
              <w:spacing w:before="0" w:beforeAutospacing="0" w:after="0" w:afterAutospacing="0" w:line="360" w:lineRule="exact"/>
              <w:ind w:firstLine="420" w:firstLineChars="200"/>
              <w:jc w:val="both"/>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评标专家确定方式：</w:t>
            </w:r>
            <w:r>
              <w:rPr>
                <w:rFonts w:hint="eastAsia" w:hAnsi="宋体" w:cs="宋体"/>
                <w:b w:val="0"/>
                <w:i w:val="0"/>
                <w:caps w:val="0"/>
                <w:color w:val="auto"/>
                <w:spacing w:val="0"/>
                <w:w w:val="100"/>
                <w:sz w:val="21"/>
                <w:szCs w:val="21"/>
                <w:u w:val="single" w:color="000000"/>
              </w:rPr>
              <w:t xml:space="preserve">  按规定   </w:t>
            </w:r>
            <w:r>
              <w:rPr>
                <w:rFonts w:hint="eastAsia" w:hAnsi="宋体" w:cs="宋体"/>
                <w:b w:val="0"/>
                <w:i w:val="0"/>
                <w:caps w:val="0"/>
                <w:color w:val="auto"/>
                <w:spacing w:val="0"/>
                <w:w w:val="1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698"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6．3</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评标方法</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r>
              <w:rPr>
                <w:b w:val="0"/>
                <w:i w:val="0"/>
                <w:caps w:val="0"/>
                <w:color w:val="auto"/>
                <w:spacing w:val="0"/>
                <w:w w:val="100"/>
                <w:sz w:val="20"/>
              </w:rPr>
              <w:fldChar w:fldCharType="begin"/>
            </w:r>
            <w:r>
              <w:rPr>
                <w:b w:val="0"/>
                <w:i w:val="0"/>
                <w:caps w:val="0"/>
                <w:color w:val="auto"/>
                <w:spacing w:val="0"/>
                <w:w w:val="100"/>
                <w:sz w:val="20"/>
              </w:rPr>
              <w:instrText xml:space="preserve"> HYPERLINK "http://218.108.28.22/zjgcjy/infodetail/?infoid=3561d4c5-1965-4914-8d10-bfd371957ee6&amp;siteid=1&amp;categoryNum=032003" \t "_blank" \o "浙江省重点建设工程施工招标资格后审综合评标示范办法（信用报告）" </w:instrText>
            </w:r>
            <w:r>
              <w:rPr>
                <w:b w:val="0"/>
                <w:i w:val="0"/>
                <w:caps w:val="0"/>
                <w:color w:val="auto"/>
                <w:spacing w:val="0"/>
                <w:w w:val="100"/>
                <w:sz w:val="20"/>
              </w:rPr>
              <w:fldChar w:fldCharType="separate"/>
            </w:r>
            <w:r>
              <w:rPr>
                <w:rFonts w:hint="eastAsia" w:ascii="宋体" w:hAnsi="宋体" w:cs="宋体"/>
                <w:b w:val="0"/>
                <w:i w:val="0"/>
                <w:caps w:val="0"/>
                <w:color w:val="auto"/>
                <w:spacing w:val="0"/>
                <w:w w:val="100"/>
                <w:sz w:val="21"/>
                <w:szCs w:val="21"/>
              </w:rPr>
              <w:t>综合评估法</w:t>
            </w:r>
            <w:r>
              <w:rPr>
                <w:rFonts w:hint="eastAsia" w:ascii="宋体" w:hAnsi="宋体" w:cs="宋体"/>
                <w:b w:val="0"/>
                <w:i w:val="0"/>
                <w:caps w:val="0"/>
                <w:color w:val="auto"/>
                <w:spacing w:val="0"/>
                <w:w w:val="100"/>
                <w:sz w:val="20"/>
                <w:szCs w:val="21"/>
              </w:rPr>
              <w:fldChar w:fldCharType="end"/>
            </w:r>
            <w:r>
              <w:rPr>
                <w:rFonts w:hint="eastAsia" w:ascii="宋体" w:hAnsi="宋体" w:cs="宋体"/>
                <w:b w:val="0"/>
                <w:i w:val="0"/>
                <w:caps w:val="0"/>
                <w:color w:val="auto"/>
                <w:spacing w:val="0"/>
                <w:w w:val="1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2820"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中标候选人公示</w:t>
            </w:r>
          </w:p>
        </w:tc>
        <w:tc>
          <w:tcPr>
            <w:tcW w:w="3407" w:type="pct"/>
            <w:shd w:val="clear" w:color="000000" w:fill="FFFFFF"/>
            <w:tcMar>
              <w:left w:w="108" w:type="dxa"/>
              <w:right w:w="108" w:type="dxa"/>
            </w:tcMar>
            <w:vAlign w:val="center"/>
          </w:tcPr>
          <w:p>
            <w:pPr>
              <w:pStyle w:val="47"/>
              <w:snapToGrid w:val="0"/>
              <w:spacing w:before="0" w:beforeAutospacing="0" w:after="0" w:afterAutospacing="0" w:line="34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在中标公示前</w:t>
            </w:r>
            <w:r>
              <w:rPr>
                <w:rFonts w:hint="eastAsia" w:ascii="宋体" w:hAnsi="宋体" w:cs="宋体"/>
                <w:b w:val="0"/>
                <w:i w:val="0"/>
                <w:caps w:val="0"/>
                <w:color w:val="auto"/>
                <w:spacing w:val="0"/>
                <w:w w:val="100"/>
                <w:sz w:val="21"/>
                <w:szCs w:val="21"/>
                <w:lang w:val="en-US"/>
              </w:rPr>
              <w:t>，</w:t>
            </w:r>
            <w:r>
              <w:rPr>
                <w:rFonts w:hint="eastAsia" w:ascii="宋体" w:hAnsi="宋体" w:cs="宋体"/>
                <w:b w:val="0"/>
                <w:i w:val="0"/>
                <w:caps w:val="0"/>
                <w:color w:val="auto"/>
                <w:spacing w:val="0"/>
                <w:w w:val="100"/>
                <w:sz w:val="21"/>
                <w:szCs w:val="21"/>
              </w:rPr>
              <w:t>招标人通过中国裁判文书网</w:t>
            </w:r>
            <w:r>
              <w:rPr>
                <w:rFonts w:hint="eastAsia" w:ascii="宋体" w:hAnsi="宋体" w:cs="宋体"/>
                <w:b w:val="0"/>
                <w:i w:val="0"/>
                <w:caps w:val="0"/>
                <w:color w:val="auto"/>
                <w:spacing w:val="0"/>
                <w:w w:val="100"/>
                <w:sz w:val="21"/>
                <w:szCs w:val="21"/>
                <w:lang w:val="en-US"/>
              </w:rPr>
              <w:t>（</w:t>
            </w:r>
            <w:r>
              <w:rPr>
                <w:rFonts w:hint="eastAsia" w:ascii="宋体" w:hAnsi="宋体" w:cs="宋体"/>
                <w:b w:val="0"/>
                <w:i w:val="0"/>
                <w:caps w:val="0"/>
                <w:color w:val="auto"/>
                <w:spacing w:val="-11"/>
                <w:w w:val="100"/>
                <w:sz w:val="21"/>
                <w:szCs w:val="21"/>
                <w:lang w:val="en-US"/>
              </w:rPr>
              <w:t>https：//wenshu.court.gov.cn/</w:t>
            </w:r>
            <w:r>
              <w:rPr>
                <w:rFonts w:hint="eastAsia" w:ascii="宋体" w:hAnsi="宋体" w:cs="宋体"/>
                <w:b w:val="0"/>
                <w:i w:val="0"/>
                <w:caps w:val="0"/>
                <w:color w:val="auto"/>
                <w:spacing w:val="0"/>
                <w:w w:val="100"/>
                <w:sz w:val="21"/>
                <w:szCs w:val="21"/>
                <w:lang w:val="en-US"/>
              </w:rPr>
              <w:t>）</w:t>
            </w:r>
            <w:r>
              <w:rPr>
                <w:rFonts w:hint="eastAsia" w:ascii="宋体" w:hAnsi="宋体" w:cs="宋体"/>
                <w:b w:val="0"/>
                <w:i w:val="0"/>
                <w:caps w:val="0"/>
                <w:color w:val="auto"/>
                <w:spacing w:val="0"/>
                <w:w w:val="100"/>
                <w:sz w:val="21"/>
                <w:szCs w:val="21"/>
              </w:rPr>
              <w:t>按照招标文件约定对拟中标单位及其拟派项目负责人的行贿犯罪记录进行查询</w:t>
            </w:r>
            <w:r>
              <w:rPr>
                <w:rFonts w:hint="eastAsia" w:ascii="宋体" w:hAnsi="宋体" w:cs="宋体"/>
                <w:b w:val="0"/>
                <w:i w:val="0"/>
                <w:caps w:val="0"/>
                <w:color w:val="auto"/>
                <w:spacing w:val="0"/>
                <w:w w:val="100"/>
                <w:sz w:val="21"/>
                <w:szCs w:val="21"/>
                <w:lang w:val="en-US"/>
              </w:rPr>
              <w:t>，</w:t>
            </w:r>
            <w:r>
              <w:rPr>
                <w:rFonts w:hint="eastAsia" w:ascii="宋体" w:hAnsi="宋体" w:cs="宋体"/>
                <w:b w:val="0"/>
                <w:i w:val="0"/>
                <w:caps w:val="0"/>
                <w:color w:val="auto"/>
                <w:spacing w:val="0"/>
                <w:w w:val="100"/>
                <w:sz w:val="21"/>
                <w:szCs w:val="21"/>
              </w:rPr>
              <w:t>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3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37"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是否授权评标委员会确定中标人</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□是</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MS Mincho" w:hAnsi="MS Mincho" w:eastAsia="MS Mincho" w:cs="MS Mincho"/>
                <w:b w:val="0"/>
                <w:i w:val="0"/>
                <w:caps w:val="0"/>
                <w:color w:val="auto"/>
                <w:spacing w:val="0"/>
                <w:w w:val="100"/>
                <w:sz w:val="21"/>
                <w:szCs w:val="21"/>
              </w:rPr>
              <w:t>☑</w:t>
            </w:r>
            <w:r>
              <w:rPr>
                <w:rFonts w:hint="eastAsia" w:ascii="宋体" w:hAnsi="宋体" w:cs="宋体"/>
                <w:b w:val="0"/>
                <w:i w:val="0"/>
                <w:caps w:val="0"/>
                <w:color w:val="auto"/>
                <w:spacing w:val="0"/>
                <w:w w:val="100"/>
                <w:sz w:val="21"/>
                <w:szCs w:val="21"/>
              </w:rPr>
              <w:t>否，推荐的中标候选人数量：</w:t>
            </w:r>
            <w:r>
              <w:rPr>
                <w:rFonts w:hint="eastAsia" w:ascii="宋体" w:hAnsi="宋体" w:cs="宋体"/>
                <w:b w:val="0"/>
                <w:i w:val="0"/>
                <w:caps w:val="0"/>
                <w:color w:val="auto"/>
                <w:spacing w:val="0"/>
                <w:w w:val="100"/>
                <w:sz w:val="21"/>
                <w:szCs w:val="21"/>
                <w:u w:val="single" w:color="000000"/>
              </w:rPr>
              <w:t xml:space="preserve"> 1 </w:t>
            </w:r>
            <w:r>
              <w:rPr>
                <w:rFonts w:hint="eastAsia" w:ascii="宋体" w:hAnsi="宋体" w:cs="宋体"/>
                <w:b w:val="0"/>
                <w:i w:val="0"/>
                <w:caps w:val="0"/>
                <w:color w:val="auto"/>
                <w:spacing w:val="0"/>
                <w:w w:val="100"/>
                <w:sz w:val="21"/>
                <w:szCs w:val="21"/>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419"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7.3.1</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履约保证金</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履约保证金的形式：银行保函、保险公司保函或融资担保公司保函。</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履约保证金的金额：合同总价的2%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166"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8．2</w:t>
            </w:r>
          </w:p>
        </w:tc>
        <w:tc>
          <w:tcPr>
            <w:tcW w:w="1054" w:type="pct"/>
            <w:shd w:val="clear" w:color="000000" w:fill="FFFFFF"/>
            <w:tcMar>
              <w:left w:w="108" w:type="dxa"/>
              <w:right w:w="108" w:type="dxa"/>
            </w:tcMar>
            <w:vAlign w:val="center"/>
          </w:tcPr>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不再招标</w:t>
            </w:r>
          </w:p>
          <w:p>
            <w:pPr>
              <w:pStyle w:val="60"/>
              <w:snapToGrid w:val="0"/>
              <w:spacing w:before="0" w:beforeAutospacing="0" w:after="0" w:afterAutospacing="0" w:line="360" w:lineRule="exact"/>
              <w:ind w:firstLine="0" w:firstLineChars="0"/>
              <w:jc w:val="center"/>
              <w:textAlignment w:val="bottom"/>
              <w:rPr>
                <w:rFonts w:hAnsi="宋体" w:cs="宋体"/>
                <w:b w:val="0"/>
                <w:i w:val="0"/>
                <w:caps w:val="0"/>
                <w:color w:val="auto"/>
                <w:spacing w:val="0"/>
                <w:w w:val="100"/>
                <w:sz w:val="21"/>
                <w:szCs w:val="21"/>
              </w:rPr>
            </w:pPr>
            <w:r>
              <w:rPr>
                <w:rFonts w:hint="eastAsia" w:hAnsi="宋体" w:cs="宋体"/>
                <w:b w:val="0"/>
                <w:i w:val="0"/>
                <w:caps w:val="0"/>
                <w:color w:val="auto"/>
                <w:spacing w:val="0"/>
                <w:w w:val="100"/>
                <w:sz w:val="21"/>
                <w:szCs w:val="21"/>
              </w:rPr>
              <w:t>的情形</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10.1</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否决投标的情形</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p>
        </w:tc>
        <w:tc>
          <w:tcPr>
            <w:tcW w:w="3407" w:type="pct"/>
            <w:shd w:val="clear" w:color="000000" w:fill="FFFFFF"/>
            <w:tcMar>
              <w:left w:w="108" w:type="dxa"/>
              <w:right w:w="108" w:type="dxa"/>
            </w:tcMar>
            <w:vAlign w:val="center"/>
          </w:tcPr>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w:t>
            </w:r>
            <w:r>
              <w:rPr>
                <w:rFonts w:hint="eastAsia" w:ascii="宋体" w:hAnsi="宋体" w:cs="宋体"/>
                <w:b w:val="0"/>
                <w:i w:val="0"/>
                <w:caps w:val="0"/>
                <w:color w:val="auto"/>
                <w:spacing w:val="0"/>
                <w:w w:val="100"/>
                <w:sz w:val="21"/>
                <w:szCs w:val="21"/>
                <w:shd w:val="clear" w:color="auto" w:fill="FFFFFF"/>
              </w:rPr>
              <w:t>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二、投标文件存在以下情形之一的，由评标委员会审核并经过询标程序，其投标文件将被否决：</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（一）符合性内容</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1.资格审查资料不符合要求；</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2.未按招标文件的要求加盖单位印章，或投标人的法定代表人（或其委托代理人）未按招标文件要求签字或盖章的，或委托代理人签字盖章但无有效的委托授权书的；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3.投标人存在投标人须知第1.4.3规定的不得存在的情形之一的；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4.投标函</w:t>
            </w:r>
            <w:r>
              <w:rPr>
                <w:rFonts w:hint="eastAsia" w:ascii="宋体" w:hAnsi="宋体" w:cs="宋体"/>
                <w:b w:val="0"/>
                <w:i w:val="0"/>
                <w:caps w:val="0"/>
                <w:strike/>
                <w:color w:val="auto"/>
                <w:spacing w:val="0"/>
                <w:w w:val="100"/>
                <w:sz w:val="21"/>
                <w:szCs w:val="21"/>
                <w:shd w:val="clear" w:color="auto" w:fill="FFFFFF"/>
              </w:rPr>
              <w:t>及投标函附录</w:t>
            </w:r>
            <w:r>
              <w:rPr>
                <w:rFonts w:hint="eastAsia" w:ascii="宋体" w:hAnsi="宋体" w:cs="宋体"/>
                <w:b w:val="0"/>
                <w:i w:val="0"/>
                <w:caps w:val="0"/>
                <w:color w:val="auto"/>
                <w:spacing w:val="0"/>
                <w:w w:val="100"/>
                <w:sz w:val="21"/>
                <w:szCs w:val="21"/>
                <w:shd w:val="clear" w:color="auto" w:fill="FFFFFF"/>
              </w:rPr>
              <w:t>载明的交货期不响应招标文件要求的；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5.投标人不以自己的名义或未按招标文件要求提供投标保证金，或提供的投标保证金有缺陷而不能接受的；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6.投标报价高于招标文件设定的最高投标限价的；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7.改变招标人提供的货物清单内容的（货物名称、单位、数量）；</w:t>
            </w:r>
          </w:p>
          <w:p>
            <w:pPr>
              <w:snapToGrid w:val="0"/>
              <w:spacing w:before="0" w:beforeAutospacing="0" w:after="0" w:afterAutospacing="0" w:line="350" w:lineRule="exact"/>
              <w:ind w:firstLine="422" w:firstLineChars="200"/>
              <w:jc w:val="both"/>
              <w:textAlignment w:val="baseline"/>
              <w:rPr>
                <w:rFonts w:ascii="宋体" w:hAnsi="宋体" w:cs="宋体"/>
                <w:b/>
                <w:bCs/>
                <w:i w:val="0"/>
                <w:caps w:val="0"/>
                <w:color w:val="auto"/>
                <w:spacing w:val="0"/>
                <w:w w:val="100"/>
                <w:sz w:val="20"/>
                <w:szCs w:val="21"/>
                <w:shd w:val="clear" w:color="auto" w:fill="FFFFFF"/>
              </w:rPr>
            </w:pPr>
            <w:r>
              <w:rPr>
                <w:rFonts w:hint="eastAsia" w:ascii="宋体" w:hAnsi="宋体" w:cs="宋体"/>
                <w:b/>
                <w:bCs/>
                <w:i w:val="0"/>
                <w:caps w:val="0"/>
                <w:color w:val="auto"/>
                <w:spacing w:val="0"/>
                <w:w w:val="100"/>
                <w:sz w:val="21"/>
                <w:szCs w:val="21"/>
                <w:shd w:val="clear" w:color="auto" w:fill="FFFFFF"/>
              </w:rPr>
              <w:t>8. 投标人及其法定代表人控股的其他公司，不得同时参加同一标段投标。否则，均按否决投标处理；</w:t>
            </w:r>
          </w:p>
          <w:p>
            <w:pPr>
              <w:pStyle w:val="47"/>
              <w:snapToGrid w:val="0"/>
              <w:spacing w:before="0" w:beforeAutospacing="0" w:after="0" w:afterAutospacing="0" w:line="350" w:lineRule="exact"/>
              <w:ind w:firstLine="422" w:firstLineChars="200"/>
              <w:jc w:val="both"/>
              <w:textAlignment w:val="baseline"/>
              <w:rPr>
                <w:rFonts w:ascii="Times New Roman" w:hAnsi="Times New Roman" w:eastAsia="宋体" w:cs="Times New Roman"/>
                <w:b/>
                <w:bCs/>
                <w:i w:val="0"/>
                <w:caps w:val="0"/>
                <w:strike/>
                <w:color w:val="auto"/>
                <w:spacing w:val="0"/>
                <w:w w:val="100"/>
                <w:sz w:val="24"/>
                <w:lang w:val="en-US"/>
              </w:rPr>
            </w:pPr>
            <w:r>
              <w:rPr>
                <w:rFonts w:hint="eastAsia" w:ascii="宋体" w:hAnsi="宋体" w:cs="宋体"/>
                <w:b/>
                <w:bCs/>
                <w:i w:val="0"/>
                <w:caps w:val="0"/>
                <w:strike/>
                <w:color w:val="auto"/>
                <w:spacing w:val="0"/>
                <w:w w:val="100"/>
                <w:sz w:val="21"/>
                <w:szCs w:val="21"/>
                <w:shd w:val="clear" w:color="auto" w:fill="FFFFFF"/>
                <w:lang w:val="en-US"/>
              </w:rPr>
              <w:t>9.</w:t>
            </w:r>
            <w:r>
              <w:rPr>
                <w:rFonts w:hint="eastAsia" w:ascii="宋体" w:hAnsi="宋体" w:cs="宋体"/>
                <w:b/>
                <w:bCs/>
                <w:i w:val="0"/>
                <w:caps w:val="0"/>
                <w:strike/>
                <w:color w:val="auto"/>
                <w:spacing w:val="0"/>
                <w:w w:val="100"/>
                <w:sz w:val="21"/>
                <w:szCs w:val="21"/>
              </w:rPr>
              <w:t>一个制造商对同一品牌同一型号的货物，仅能委托一个代理商参加投标，否则按否决投标处理。</w:t>
            </w:r>
          </w:p>
          <w:p>
            <w:pPr>
              <w:pStyle w:val="47"/>
              <w:snapToGrid w:val="0"/>
              <w:spacing w:before="0" w:beforeAutospacing="0" w:after="0" w:afterAutospacing="0" w:line="350" w:lineRule="exact"/>
              <w:ind w:firstLine="420" w:firstLineChars="200"/>
              <w:jc w:val="both"/>
              <w:textAlignment w:val="baseline"/>
              <w:rPr>
                <w:rFonts w:ascii="Times New Roman" w:hAnsi="Times New Roman" w:eastAsia="宋体" w:cs="Times New Roman"/>
                <w:b w:val="0"/>
                <w:i w:val="0"/>
                <w:caps w:val="0"/>
                <w:strike/>
                <w:color w:val="auto"/>
                <w:spacing w:val="0"/>
                <w:w w:val="100"/>
                <w:sz w:val="24"/>
                <w:lang w:val="en-US"/>
              </w:rPr>
            </w:pPr>
            <w:r>
              <w:rPr>
                <w:rFonts w:hint="eastAsia" w:ascii="宋体" w:hAnsi="宋体" w:cs="宋体"/>
                <w:b w:val="0"/>
                <w:i w:val="0"/>
                <w:caps w:val="0"/>
                <w:strike/>
                <w:color w:val="auto"/>
                <w:spacing w:val="0"/>
                <w:w w:val="100"/>
                <w:sz w:val="21"/>
                <w:szCs w:val="21"/>
              </w:rPr>
              <w:sym w:font="Wingdings 2" w:char="00A3"/>
            </w:r>
            <w:r>
              <w:rPr>
                <w:rFonts w:hint="eastAsia" w:ascii="宋体" w:hAnsi="宋体" w:cs="宋体"/>
                <w:b w:val="0"/>
                <w:i w:val="0"/>
                <w:caps w:val="0"/>
                <w:strike/>
                <w:color w:val="auto"/>
                <w:spacing w:val="0"/>
                <w:w w:val="100"/>
                <w:sz w:val="21"/>
                <w:szCs w:val="21"/>
                <w:shd w:val="clear" w:color="auto" w:fill="FFFFFF"/>
                <w:lang w:val="en-US"/>
              </w:rPr>
              <w:t>10.投标人被省发展改革委列入招标投标失信黑名单，且在披露期内的；</w:t>
            </w:r>
          </w:p>
          <w:p>
            <w:pPr>
              <w:pStyle w:val="47"/>
              <w:snapToGrid w:val="0"/>
              <w:spacing w:before="0" w:beforeAutospacing="0" w:after="0" w:afterAutospacing="0" w:line="350" w:lineRule="exact"/>
              <w:ind w:firstLine="420" w:firstLineChars="200"/>
              <w:jc w:val="both"/>
              <w:textAlignment w:val="baseline"/>
              <w:rPr>
                <w:rFonts w:ascii="宋体" w:hAnsi="宋体" w:cs="宋体"/>
                <w:b w:val="0"/>
                <w:i w:val="0"/>
                <w:caps w:val="0"/>
                <w:strike/>
                <w:color w:val="auto"/>
                <w:spacing w:val="0"/>
                <w:w w:val="100"/>
                <w:sz w:val="21"/>
                <w:szCs w:val="21"/>
                <w:shd w:val="clear" w:color="auto" w:fill="FFFFFF"/>
                <w:lang w:val="en-US"/>
              </w:rPr>
            </w:pPr>
            <w:r>
              <w:rPr>
                <w:rFonts w:hint="eastAsia" w:ascii="宋体" w:hAnsi="宋体" w:cs="宋体"/>
                <w:b w:val="0"/>
                <w:i w:val="0"/>
                <w:caps w:val="0"/>
                <w:strike/>
                <w:color w:val="auto"/>
                <w:spacing w:val="0"/>
                <w:w w:val="100"/>
                <w:sz w:val="21"/>
                <w:szCs w:val="21"/>
                <w:shd w:val="clear" w:color="auto" w:fill="FFFFFF"/>
                <w:lang w:val="en-US"/>
              </w:rPr>
              <w:t>11.投标人在“信用中国”网站上，被列为失信被执行人的；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12.存在法律、法规、规章规定的其它无效投标情况的。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（二）技术标内容</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1.采用的验收标准和方法、主要技术指标达不到国家强制性标准的或要求的；</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2.不符合以下技术规格、标准或性能指标的（招标人认为需要增加的，无则删除本条）：</w:t>
            </w:r>
            <w:r>
              <w:rPr>
                <w:rFonts w:hint="eastAsia" w:ascii="宋体" w:hAnsi="宋体" w:cs="宋体"/>
                <w:b w:val="0"/>
                <w:i w:val="0"/>
                <w:caps w:val="0"/>
                <w:color w:val="auto"/>
                <w:spacing w:val="0"/>
                <w:w w:val="100"/>
                <w:sz w:val="21"/>
                <w:szCs w:val="21"/>
                <w:u w:val="single" w:color="FF0000"/>
                <w:shd w:val="clear" w:color="auto" w:fill="FFFFFF"/>
              </w:rPr>
              <w:t xml:space="preserve"> /</w:t>
            </w:r>
            <w:r>
              <w:rPr>
                <w:rFonts w:hint="eastAsia" w:ascii="宋体" w:hAnsi="宋体" w:cs="宋体"/>
                <w:b w:val="0"/>
                <w:i w:val="0"/>
                <w:caps w:val="0"/>
                <w:color w:val="auto"/>
                <w:spacing w:val="0"/>
                <w:w w:val="100"/>
                <w:sz w:val="21"/>
                <w:szCs w:val="21"/>
                <w:shd w:val="clear" w:color="auto" w:fill="FFFFFF"/>
              </w:rPr>
              <w:t xml:space="preserve">。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（三）商务标内容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1.同一投标人提交两个以上不同的投标文件或者投标报价的；</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2.报价评审时，投标人拒绝按以下条款修正的：</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评标委员会认为投标人需要修正的投标内容；</w:t>
            </w:r>
          </w:p>
          <w:p>
            <w:pPr>
              <w:numPr>
                <w:ilvl w:val="0"/>
                <w:numId w:val="3"/>
              </w:numPr>
              <w:snapToGrid w:val="0"/>
              <w:spacing w:before="0" w:beforeAutospacing="0" w:after="0" w:afterAutospacing="0" w:line="360" w:lineRule="exact"/>
              <w:ind w:left="220" w:firstLine="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投标函</w:t>
            </w:r>
            <w:r>
              <w:rPr>
                <w:rFonts w:hint="eastAsia" w:ascii="宋体" w:hAnsi="宋体" w:cs="宋体"/>
                <w:b w:val="0"/>
                <w:i w:val="0"/>
                <w:caps w:val="0"/>
                <w:strike/>
                <w:color w:val="auto"/>
                <w:spacing w:val="0"/>
                <w:w w:val="100"/>
                <w:sz w:val="21"/>
                <w:szCs w:val="21"/>
                <w:shd w:val="clear" w:color="auto" w:fill="FFFFFF"/>
              </w:rPr>
              <w:t>及投标函附录</w:t>
            </w:r>
            <w:r>
              <w:rPr>
                <w:rFonts w:hint="eastAsia" w:ascii="宋体" w:hAnsi="宋体" w:cs="宋体"/>
                <w:b w:val="0"/>
                <w:i w:val="0"/>
                <w:caps w:val="0"/>
                <w:color w:val="auto"/>
                <w:spacing w:val="0"/>
                <w:w w:val="100"/>
                <w:sz w:val="21"/>
                <w:szCs w:val="21"/>
                <w:shd w:val="clear" w:color="auto" w:fill="FFFFFF"/>
              </w:rPr>
              <w:t>载明的投标报价或其它关键内容字迹模糊或无法辨认的；</w:t>
            </w:r>
          </w:p>
          <w:p>
            <w:pPr>
              <w:pStyle w:val="12"/>
              <w:numPr>
                <w:ilvl w:val="0"/>
                <w:numId w:val="3"/>
              </w:numPr>
              <w:snapToGrid w:val="0"/>
              <w:spacing w:before="0" w:beforeAutospacing="0" w:after="0" w:afterAutospacing="0" w:line="360" w:lineRule="exact"/>
              <w:ind w:firstLine="480"/>
              <w:jc w:val="both"/>
              <w:textAlignment w:val="baseline"/>
              <w:rPr>
                <w:rFonts w:ascii="Times New Roman" w:hAnsi="Times New Roman" w:eastAsia="宋体" w:cs="Times New Roman"/>
                <w:b w:val="0"/>
                <w:i w:val="0"/>
                <w:caps w:val="0"/>
                <w:color w:val="auto"/>
                <w:spacing w:val="0"/>
                <w:w w:val="100"/>
                <w:sz w:val="21"/>
                <w:szCs w:val="21"/>
                <w:u w:val="single"/>
              </w:rPr>
            </w:pPr>
            <w:r>
              <w:rPr>
                <w:rFonts w:hint="eastAsia"/>
                <w:b w:val="0"/>
                <w:i w:val="0"/>
                <w:caps w:val="0"/>
                <w:color w:val="auto"/>
                <w:spacing w:val="0"/>
                <w:w w:val="100"/>
                <w:sz w:val="21"/>
                <w:szCs w:val="21"/>
              </w:rPr>
              <w:t>未按以下要求进行报价的：</w:t>
            </w:r>
            <w:r>
              <w:rPr>
                <w:rFonts w:hint="eastAsia"/>
                <w:b w:val="0"/>
                <w:i w:val="0"/>
                <w:caps w:val="0"/>
                <w:color w:val="auto"/>
                <w:spacing w:val="0"/>
                <w:w w:val="100"/>
                <w:sz w:val="21"/>
                <w:szCs w:val="21"/>
                <w:u w:val="single" w:color="000000"/>
              </w:rPr>
              <w:t>详见投标人须知前附表第3.2.4条款中第7点内容。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除上述规定以外，还包括招标文件中其他条款有明确无效标情形的内容。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8207"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10.2</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异议与投诉</w:t>
            </w:r>
          </w:p>
        </w:tc>
        <w:tc>
          <w:tcPr>
            <w:tcW w:w="3407" w:type="pct"/>
            <w:shd w:val="clear" w:color="000000" w:fill="FFFFFF"/>
            <w:tcMar>
              <w:left w:w="108" w:type="dxa"/>
              <w:right w:w="108" w:type="dxa"/>
            </w:tcMar>
            <w:vAlign w:val="center"/>
          </w:tcPr>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一、异议</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一）潜在投标人或者其他利害关系人对招标文件有异议的，应当在投标截止时间10日前以书面形式向招标人或招标代理公司提出。招标人将在收到异议之日起3个日内作出书面答复；作出答复前，暂停招标投标活动。</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（三）投标人及其他利害关系人对评标结果有异议的，应当在中标候选人公示期内以书面形式向招标人或招标代理公司提出。招标人将在收</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到异议之日起3个日内作出书面答复；作出答复前，暂停招标投标活动。</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（四）对招标文件、评标结果的异议，提出和答复的形式只采用书面形式。</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二、投诉</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snapToGrid w:val="0"/>
              <w:spacing w:before="0" w:beforeAutospacing="0" w:after="0" w:afterAutospacing="0" w:line="35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1692"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10.3</w:t>
            </w:r>
          </w:p>
        </w:tc>
        <w:tc>
          <w:tcPr>
            <w:tcW w:w="1054"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定标</w:t>
            </w:r>
          </w:p>
        </w:tc>
        <w:tc>
          <w:tcPr>
            <w:tcW w:w="3407" w:type="pct"/>
            <w:shd w:val="clear" w:color="000000" w:fill="FFFFFF"/>
            <w:tcMar>
              <w:left w:w="108" w:type="dxa"/>
              <w:right w:w="108" w:type="dxa"/>
            </w:tcMar>
            <w:vAlign w:val="center"/>
          </w:tcPr>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bookmarkStart w:id="2" w:name="_Toc29615"/>
            <w:r>
              <w:rPr>
                <w:rFonts w:hint="eastAsia" w:ascii="宋体" w:hAnsi="宋体" w:cs="宋体"/>
                <w:b w:val="0"/>
                <w:i w:val="0"/>
                <w:caps w:val="0"/>
                <w:color w:val="auto"/>
                <w:spacing w:val="0"/>
                <w:w w:val="100"/>
                <w:sz w:val="21"/>
                <w:szCs w:val="21"/>
              </w:rPr>
              <w:t>10.4</w:t>
            </w:r>
          </w:p>
        </w:tc>
        <w:tc>
          <w:tcPr>
            <w:tcW w:w="1054" w:type="pct"/>
            <w:shd w:val="clear" w:color="000000" w:fill="FFFFFF"/>
            <w:tcMar>
              <w:left w:w="108" w:type="dxa"/>
              <w:right w:w="108" w:type="dxa"/>
            </w:tcMar>
            <w:vAlign w:val="center"/>
          </w:tcPr>
          <w:p>
            <w:pPr>
              <w:pStyle w:val="29"/>
              <w:snapToGrid w:val="0"/>
              <w:spacing w:before="0" w:beforeAutospacing="0" w:after="0" w:afterAutospacing="0" w:line="360" w:lineRule="exact"/>
              <w:ind w:firstLine="0" w:firstLineChars="0"/>
              <w:jc w:val="center"/>
              <w:textAlignment w:val="baseline"/>
              <w:rPr>
                <w:rFonts w:ascii="宋体" w:hAnsi="宋体" w:cs="宋体"/>
                <w:b w:val="0"/>
                <w:i w:val="0"/>
                <w:caps w:val="0"/>
                <w:color w:val="auto"/>
                <w:spacing w:val="0"/>
                <w:w w:val="100"/>
                <w:sz w:val="21"/>
                <w:szCs w:val="21"/>
                <w:shd w:val="clear" w:color="auto" w:fill="FFFFFF"/>
              </w:rPr>
            </w:pPr>
            <w:r>
              <w:rPr>
                <w:rFonts w:hint="eastAsia" w:ascii="宋体" w:hAnsi="宋体" w:cs="宋体"/>
                <w:b w:val="0"/>
                <w:i w:val="0"/>
                <w:caps w:val="0"/>
                <w:color w:val="auto"/>
                <w:spacing w:val="0"/>
                <w:w w:val="100"/>
                <w:sz w:val="21"/>
                <w:szCs w:val="21"/>
                <w:shd w:val="clear" w:color="auto" w:fill="FFFFFF"/>
              </w:rPr>
              <w:t>招标人补充的其他</w:t>
            </w:r>
          </w:p>
          <w:p>
            <w:pPr>
              <w:pStyle w:val="29"/>
              <w:snapToGrid w:val="0"/>
              <w:spacing w:before="0" w:beforeAutospacing="0" w:after="0" w:afterAutospacing="0" w:line="360" w:lineRule="exact"/>
              <w:ind w:firstLine="0" w:firstLineChars="0"/>
              <w:jc w:val="center"/>
              <w:textAlignment w:val="baseline"/>
              <w:rPr>
                <w:rFonts w:ascii="宋体" w:hAnsi="宋体" w:cs="宋体"/>
                <w:b w:val="0"/>
                <w:i w:val="0"/>
                <w:caps w:val="0"/>
                <w:color w:val="auto"/>
                <w:spacing w:val="0"/>
                <w:w w:val="100"/>
                <w:sz w:val="21"/>
                <w:szCs w:val="21"/>
                <w:shd w:val="clear" w:color="auto" w:fill="FFFFFF"/>
              </w:rPr>
            </w:pPr>
            <w:r>
              <w:rPr>
                <w:rFonts w:hint="eastAsia" w:ascii="宋体" w:hAnsi="宋体" w:cs="宋体"/>
                <w:b w:val="0"/>
                <w:i w:val="0"/>
                <w:caps w:val="0"/>
                <w:color w:val="auto"/>
                <w:spacing w:val="0"/>
                <w:w w:val="100"/>
                <w:sz w:val="21"/>
                <w:szCs w:val="21"/>
                <w:shd w:val="clear" w:color="auto" w:fill="FFFFFF"/>
              </w:rPr>
              <w:t>内容</w:t>
            </w:r>
          </w:p>
        </w:tc>
        <w:tc>
          <w:tcPr>
            <w:tcW w:w="3407" w:type="pct"/>
            <w:shd w:val="clear" w:color="000000" w:fill="FFFFFF"/>
            <w:tcMar>
              <w:left w:w="108" w:type="dxa"/>
              <w:right w:w="108" w:type="dxa"/>
            </w:tcMar>
            <w:vAlign w:val="center"/>
          </w:tcPr>
          <w:p>
            <w:pPr>
              <w:shd w:val="clear" w:color="auto" w:fill="FFFFFF"/>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shd w:val="clear" w:color="auto" w:fill="FFFFFF"/>
              </w:rPr>
              <w:t>本招标项目由</w:t>
            </w:r>
            <w:r>
              <w:rPr>
                <w:rFonts w:hint="eastAsia" w:ascii="宋体" w:hAnsi="宋体" w:cs="宋体"/>
                <w:b/>
                <w:bCs/>
                <w:i w:val="0"/>
                <w:caps w:val="0"/>
                <w:color w:val="auto"/>
                <w:spacing w:val="0"/>
                <w:w w:val="100"/>
                <w:sz w:val="21"/>
                <w:szCs w:val="21"/>
                <w:u w:val="single" w:color="000000"/>
                <w:shd w:val="clear" w:color="auto" w:fill="FFFFFF"/>
              </w:rPr>
              <w:t>绍兴市越城区公管办</w:t>
            </w:r>
            <w:r>
              <w:rPr>
                <w:rFonts w:hint="eastAsia" w:ascii="宋体" w:hAnsi="宋体" w:cs="宋体"/>
                <w:b w:val="0"/>
                <w:i w:val="0"/>
                <w:caps w:val="0"/>
                <w:color w:val="auto"/>
                <w:spacing w:val="0"/>
                <w:w w:val="100"/>
                <w:sz w:val="21"/>
                <w:szCs w:val="21"/>
                <w:shd w:val="clear" w:color="auto" w:fill="FFFFFF"/>
              </w:rPr>
              <w:t>参与监督，并请</w:t>
            </w:r>
            <w:r>
              <w:rPr>
                <w:rFonts w:hint="eastAsia" w:ascii="宋体" w:hAnsi="宋体" w:cs="宋体"/>
                <w:b/>
                <w:bCs/>
                <w:i w:val="0"/>
                <w:caps w:val="0"/>
                <w:color w:val="auto"/>
                <w:spacing w:val="0"/>
                <w:w w:val="100"/>
                <w:sz w:val="21"/>
                <w:szCs w:val="21"/>
                <w:u w:val="single" w:color="000000"/>
                <w:shd w:val="clear" w:color="auto" w:fill="FFFFFF"/>
              </w:rPr>
              <w:t>绍兴市国信公证处</w:t>
            </w:r>
            <w:r>
              <w:rPr>
                <w:rFonts w:hint="eastAsia" w:ascii="宋体" w:hAnsi="宋体" w:cs="宋体"/>
                <w:b w:val="0"/>
                <w:i w:val="0"/>
                <w:caps w:val="0"/>
                <w:color w:val="auto"/>
                <w:spacing w:val="0"/>
                <w:w w:val="100"/>
                <w:sz w:val="21"/>
                <w:szCs w:val="21"/>
                <w:shd w:val="clear" w:color="auto" w:fill="FFFFFF"/>
              </w:rPr>
              <w:t>予以公证。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gridAfter w:val="1"/>
          <w:wAfter w:w="41" w:type="pct"/>
          <w:trHeight w:val="957" w:hRule="atLeast"/>
          <w:jc w:val="center"/>
        </w:trPr>
        <w:tc>
          <w:tcPr>
            <w:tcW w:w="498" w:type="pct"/>
            <w:shd w:val="clear" w:color="000000" w:fill="FFFFFF"/>
            <w:tcMar>
              <w:left w:w="108" w:type="dxa"/>
              <w:right w:w="108" w:type="dxa"/>
            </w:tcMar>
            <w:vAlign w:val="center"/>
          </w:tcPr>
          <w:p>
            <w:pPr>
              <w:snapToGrid w:val="0"/>
              <w:spacing w:before="0" w:beforeAutospacing="0" w:after="0" w:afterAutospacing="0" w:line="4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10.5</w:t>
            </w:r>
          </w:p>
        </w:tc>
        <w:tc>
          <w:tcPr>
            <w:tcW w:w="1054" w:type="pct"/>
            <w:shd w:val="clear" w:color="000000" w:fill="FFFFFF"/>
            <w:tcMar>
              <w:left w:w="108" w:type="dxa"/>
              <w:right w:w="108" w:type="dxa"/>
            </w:tcMar>
            <w:vAlign w:val="center"/>
          </w:tcPr>
          <w:p>
            <w:pPr>
              <w:pStyle w:val="29"/>
              <w:snapToGrid w:val="0"/>
              <w:spacing w:before="0" w:beforeAutospacing="0" w:after="0" w:afterAutospacing="0" w:line="360" w:lineRule="exact"/>
              <w:ind w:firstLine="0" w:firstLineChars="0"/>
              <w:jc w:val="center"/>
              <w:textAlignment w:val="baseline"/>
              <w:rPr>
                <w:rFonts w:ascii="宋体" w:hAnsi="宋体" w:cs="宋体"/>
                <w:b w:val="0"/>
                <w:i w:val="0"/>
                <w:caps w:val="0"/>
                <w:color w:val="auto"/>
                <w:spacing w:val="0"/>
                <w:w w:val="100"/>
                <w:sz w:val="21"/>
                <w:szCs w:val="21"/>
                <w:shd w:val="clear" w:color="auto" w:fill="FFFFFF"/>
              </w:rPr>
            </w:pPr>
            <w:r>
              <w:rPr>
                <w:rFonts w:hint="eastAsia" w:ascii="宋体" w:hAnsi="宋体" w:cs="宋体"/>
                <w:b w:val="0"/>
                <w:i w:val="0"/>
                <w:caps w:val="0"/>
                <w:color w:val="auto"/>
                <w:spacing w:val="0"/>
                <w:w w:val="100"/>
                <w:sz w:val="21"/>
                <w:szCs w:val="21"/>
                <w:shd w:val="clear" w:color="auto" w:fill="FFFFFF"/>
              </w:rPr>
              <w:t>特别提醒</w:t>
            </w:r>
          </w:p>
        </w:tc>
        <w:tc>
          <w:tcPr>
            <w:tcW w:w="3407" w:type="pct"/>
            <w:shd w:val="clear" w:color="000000" w:fill="FFFFFF"/>
            <w:tcMar>
              <w:left w:w="108" w:type="dxa"/>
              <w:right w:w="108" w:type="dxa"/>
            </w:tcMar>
            <w:vAlign w:val="center"/>
          </w:tcPr>
          <w:p>
            <w:pPr>
              <w:shd w:val="clear" w:color="auto" w:fill="FFFFFF"/>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shd w:val="clear" w:color="auto" w:fill="FFFFFF"/>
              </w:rPr>
              <w:t>投标人在投标过程中应认真审阅相关医疗专项图纸，原则按图施工，如发现图纸有原则性错误或不符合现行国家规范或标准，请投标人在要求</w:t>
            </w:r>
            <w:r>
              <w:rPr>
                <w:rFonts w:hint="eastAsia" w:ascii="宋体" w:hAnsi="宋体" w:cs="宋体"/>
                <w:b w:val="0"/>
                <w:i w:val="0"/>
                <w:caps w:val="0"/>
                <w:color w:val="auto"/>
                <w:spacing w:val="0"/>
                <w:w w:val="100"/>
                <w:sz w:val="21"/>
                <w:szCs w:val="21"/>
              </w:rPr>
              <w:t>提出问题的截止时间前（具体时间详见前附表第2.2.1条款）提交。</w:t>
            </w:r>
          </w:p>
          <w:p>
            <w:pPr>
              <w:shd w:val="clear" w:color="auto" w:fill="FFFFFF"/>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clear" w:color="auto" w:fill="FFFFFF"/>
              </w:rPr>
            </w:pPr>
            <w:r>
              <w:rPr>
                <w:rFonts w:hint="eastAsia" w:ascii="宋体" w:hAnsi="宋体" w:cs="宋体"/>
                <w:b w:val="0"/>
                <w:i w:val="0"/>
                <w:caps w:val="0"/>
                <w:color w:val="auto"/>
                <w:spacing w:val="0"/>
                <w:w w:val="100"/>
                <w:sz w:val="21"/>
                <w:szCs w:val="21"/>
              </w:rPr>
              <w:t>如发现清单中未包括交钥匙工程所须的全部内容，即有缺项漏项的，请在投标报价表中“其他清单”中补充完善，并列出详细的细目单。</w:t>
            </w:r>
          </w:p>
        </w:tc>
      </w:tr>
    </w:tbl>
    <w:p>
      <w:pPr>
        <w:pStyle w:val="3"/>
        <w:snapToGrid w:val="0"/>
        <w:spacing w:before="0" w:beforeAutospacing="0" w:after="0" w:afterAutospacing="0" w:line="360" w:lineRule="auto"/>
        <w:jc w:val="center"/>
        <w:textAlignment w:val="baseline"/>
        <w:rPr>
          <w:b/>
          <w:i w:val="0"/>
          <w:caps w:val="0"/>
          <w:color w:val="auto"/>
          <w:spacing w:val="0"/>
          <w:w w:val="100"/>
          <w:sz w:val="28"/>
        </w:rPr>
      </w:pPr>
      <w:r>
        <w:rPr>
          <w:rFonts w:hint="eastAsia"/>
          <w:b/>
          <w:i w:val="0"/>
          <w:caps w:val="0"/>
          <w:color w:val="auto"/>
          <w:spacing w:val="0"/>
          <w:w w:val="100"/>
          <w:sz w:val="28"/>
        </w:rPr>
        <w:br w:type="page"/>
      </w:r>
    </w:p>
    <w:p>
      <w:pPr>
        <w:snapToGrid w:val="0"/>
        <w:spacing w:before="0" w:beforeAutospacing="0" w:after="0" w:afterAutospacing="0" w:line="360" w:lineRule="auto"/>
        <w:jc w:val="center"/>
        <w:textAlignment w:val="baseline"/>
        <w:rPr>
          <w:b/>
          <w:i w:val="0"/>
          <w:caps w:val="0"/>
          <w:color w:val="auto"/>
          <w:spacing w:val="0"/>
          <w:w w:val="100"/>
          <w:sz w:val="28"/>
        </w:rPr>
      </w:pPr>
      <w:r>
        <w:rPr>
          <w:rFonts w:hint="eastAsia"/>
          <w:b/>
          <w:i w:val="0"/>
          <w:caps w:val="0"/>
          <w:color w:val="auto"/>
          <w:spacing w:val="0"/>
          <w:w w:val="100"/>
          <w:kern w:val="0"/>
          <w:sz w:val="24"/>
          <w:szCs w:val="24"/>
        </w:rPr>
        <w:t>第二节 投标人须知</w:t>
      </w:r>
      <w:bookmarkEnd w:id="2"/>
    </w:p>
    <w:p>
      <w:pPr>
        <w:pStyle w:val="48"/>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bookmarkStart w:id="3" w:name="_Toc392345909"/>
      <w:bookmarkStart w:id="4" w:name="_Toc11269"/>
      <w:r>
        <w:rPr>
          <w:rFonts w:hint="eastAsia" w:ascii="宋体" w:hAnsi="宋体" w:eastAsia="宋体"/>
          <w:b w:val="0"/>
          <w:i w:val="0"/>
          <w:caps w:val="0"/>
          <w:color w:val="auto"/>
          <w:spacing w:val="0"/>
          <w:w w:val="100"/>
          <w:sz w:val="21"/>
          <w:szCs w:val="21"/>
        </w:rPr>
        <w:t>1. 总则</w:t>
      </w:r>
      <w:bookmarkEnd w:id="3"/>
      <w:bookmarkEnd w:id="4"/>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5" w:name="_Toc9106"/>
      <w:bookmarkStart w:id="6" w:name="_Toc152042306"/>
      <w:bookmarkStart w:id="7" w:name="_Toc152045530"/>
      <w:bookmarkStart w:id="8" w:name="_Toc144974498"/>
      <w:bookmarkStart w:id="9" w:name="_Toc229646712"/>
      <w:bookmarkStart w:id="10" w:name="_Toc392345910"/>
      <w:r>
        <w:rPr>
          <w:rFonts w:hint="eastAsia" w:ascii="宋体" w:hAnsi="宋体" w:eastAsia="宋体"/>
          <w:b/>
          <w:i w:val="0"/>
          <w:caps w:val="0"/>
          <w:color w:val="auto"/>
          <w:spacing w:val="0"/>
          <w:w w:val="100"/>
          <w:sz w:val="21"/>
          <w:szCs w:val="21"/>
        </w:rPr>
        <w:t>1.1 项目概况</w:t>
      </w:r>
      <w:bookmarkEnd w:id="5"/>
      <w:bookmarkEnd w:id="6"/>
      <w:bookmarkEnd w:id="7"/>
      <w:bookmarkEnd w:id="8"/>
      <w:bookmarkEnd w:id="9"/>
      <w:bookmarkEnd w:id="10"/>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1.1.2 本招标项目招标人：见投标人须知前附表。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1.1.3 本招标项目招标代理机构：见投标人须知前附表。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1.1.4 本招标项目名称：见投标人须知前附表。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1.1.5 本招标项目建设地点：见投标人须知前附表。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1" w:name="_Toc152042307"/>
      <w:bookmarkStart w:id="12" w:name="_Toc392345911"/>
      <w:bookmarkStart w:id="13" w:name="_Toc3629"/>
      <w:bookmarkStart w:id="14" w:name="_Toc152045531"/>
      <w:bookmarkStart w:id="15" w:name="_Toc144974499"/>
      <w:bookmarkStart w:id="16" w:name="_Toc229646713"/>
      <w:r>
        <w:rPr>
          <w:rFonts w:hint="eastAsia" w:ascii="宋体" w:hAnsi="宋体" w:eastAsia="宋体"/>
          <w:b/>
          <w:i w:val="0"/>
          <w:caps w:val="0"/>
          <w:color w:val="auto"/>
          <w:spacing w:val="0"/>
          <w:w w:val="100"/>
          <w:sz w:val="21"/>
          <w:szCs w:val="21"/>
        </w:rPr>
        <w:t>1.2 资金来源和落实情况</w:t>
      </w:r>
      <w:bookmarkEnd w:id="11"/>
      <w:bookmarkEnd w:id="12"/>
      <w:bookmarkEnd w:id="13"/>
      <w:bookmarkEnd w:id="14"/>
      <w:bookmarkEnd w:id="15"/>
      <w:bookmarkEnd w:id="16"/>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1.2.1 本招标项目的资金来源及出资比例：见投标人须知前附表。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1.2.2本招标项目的资金落实情况：见投标人须知前附表。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7" w:name="_Toc152042308"/>
      <w:bookmarkStart w:id="18" w:name="_Toc460"/>
      <w:bookmarkStart w:id="19" w:name="_Toc229646714"/>
      <w:bookmarkStart w:id="20" w:name="_Toc392345912"/>
      <w:bookmarkStart w:id="21" w:name="_Toc152045532"/>
      <w:bookmarkStart w:id="22" w:name="_Toc144974500"/>
      <w:r>
        <w:rPr>
          <w:rFonts w:hint="eastAsia" w:ascii="宋体" w:hAnsi="宋体" w:eastAsia="宋体"/>
          <w:b/>
          <w:i w:val="0"/>
          <w:caps w:val="0"/>
          <w:color w:val="auto"/>
          <w:spacing w:val="0"/>
          <w:w w:val="100"/>
          <w:sz w:val="21"/>
          <w:szCs w:val="21"/>
        </w:rPr>
        <w:t>1.3 招标范围及计划服务期</w:t>
      </w:r>
      <w:bookmarkEnd w:id="17"/>
      <w:bookmarkEnd w:id="18"/>
      <w:bookmarkEnd w:id="19"/>
      <w:bookmarkEnd w:id="20"/>
      <w:bookmarkEnd w:id="21"/>
      <w:bookmarkEnd w:id="22"/>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1.3.1 本次招标范围：见投标人须知前附表。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1.3.2 本招标项目的计划服务期：见投标人须知前附表。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3" w:name="_Toc229646715"/>
      <w:bookmarkStart w:id="24" w:name="_Toc22287"/>
      <w:bookmarkStart w:id="25" w:name="_Toc152045534"/>
      <w:bookmarkStart w:id="26" w:name="_Toc144974502"/>
      <w:bookmarkStart w:id="27" w:name="_Toc152042310"/>
      <w:bookmarkStart w:id="28" w:name="_Toc392345913"/>
      <w:r>
        <w:rPr>
          <w:rFonts w:hint="eastAsia" w:ascii="宋体" w:hAnsi="宋体" w:eastAsia="宋体"/>
          <w:b/>
          <w:i w:val="0"/>
          <w:caps w:val="0"/>
          <w:color w:val="auto"/>
          <w:spacing w:val="0"/>
          <w:w w:val="100"/>
          <w:sz w:val="21"/>
          <w:szCs w:val="21"/>
        </w:rPr>
        <w:t>1.4 投标人资格要求</w:t>
      </w:r>
      <w:bookmarkEnd w:id="23"/>
      <w:bookmarkEnd w:id="24"/>
      <w:bookmarkEnd w:id="25"/>
      <w:bookmarkEnd w:id="26"/>
      <w:bookmarkEnd w:id="27"/>
      <w:bookmarkEnd w:id="28"/>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1.4.1投标人应具备承担本标段服务的资格条件、要求。</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（1）资质条件：见投标人须知前附表；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（2）业绩要求：见投标人须知前附表；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（3）信誉要求：见投标人须知前附表；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（4）其他要求：见投标人须知前附表。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29" w:name="_Toc144974503"/>
      <w:bookmarkStart w:id="30" w:name="_Toc152045535"/>
      <w:bookmarkStart w:id="31" w:name="_Toc229646716"/>
      <w:bookmarkStart w:id="32" w:name="_Toc152042311"/>
      <w:r>
        <w:rPr>
          <w:rFonts w:hint="eastAsia" w:ascii="宋体" w:hAnsi="宋体" w:cs="宋体"/>
          <w:b w:val="0"/>
          <w:i w:val="0"/>
          <w:caps w:val="0"/>
          <w:color w:val="auto"/>
          <w:spacing w:val="0"/>
          <w:w w:val="100"/>
          <w:sz w:val="21"/>
          <w:szCs w:val="21"/>
        </w:rPr>
        <w:t>1.4.2投标人须知前附表规定接受联合体投标的，除应符合本章第1.4.1项和投标人须知前附表的要求外，还应遵守以下规定：</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（1）联合体各方应按招标文件提供的格式签订联合体协议书，明确联合体牵头人和各方权利义务；</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（2）由同一专业的单位组成的联合体，按照资质等级较低的单位确定资质等级；</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（3）联合体各方不得再以自己名次单独或参加其他联合体在同一标段中投标。</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1.4.3投标人不得存在下列情形之一：</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（1）为招标人不具有独立法人资格的附属机构（单位）； </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（2）为本标段的代建人；</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（3）为本标段提供招标代理服务的；</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（4）单位负责人为同一人或者存在控股、管理关系的不同单位，同时参加本标段投标的；</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（5）投标人及其法定代表人控股的其他公司，同时参加本标段投标的；</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（6）与招标人存在利害关系可能影响招标公正性的法人、其他组织或者个人参加投标的；</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（7）被责令停业的；</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（8）被暂停或取消投标资格的；</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（9）财产被接管或冻结的。</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33" w:name="_Toc392345914"/>
      <w:bookmarkStart w:id="34" w:name="_Toc10130"/>
      <w:r>
        <w:rPr>
          <w:rFonts w:hint="eastAsia" w:ascii="宋体" w:hAnsi="宋体" w:eastAsia="宋体"/>
          <w:b/>
          <w:i w:val="0"/>
          <w:caps w:val="0"/>
          <w:color w:val="auto"/>
          <w:spacing w:val="0"/>
          <w:w w:val="100"/>
          <w:sz w:val="21"/>
          <w:szCs w:val="21"/>
        </w:rPr>
        <w:t>1.5 费用承担</w:t>
      </w:r>
      <w:bookmarkEnd w:id="29"/>
      <w:bookmarkEnd w:id="30"/>
      <w:bookmarkEnd w:id="31"/>
      <w:bookmarkEnd w:id="32"/>
      <w:bookmarkEnd w:id="33"/>
      <w:bookmarkEnd w:id="34"/>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投标人准备和参加投标活动发生的费用自理。</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35" w:name="_Toc245036603"/>
      <w:bookmarkStart w:id="36" w:name="_Toc323711750"/>
      <w:bookmarkStart w:id="37" w:name="_Toc392345915"/>
      <w:bookmarkStart w:id="38" w:name="_Toc322615398"/>
      <w:bookmarkStart w:id="39" w:name="_Toc152042312"/>
      <w:bookmarkStart w:id="40" w:name="_Toc319407837"/>
      <w:bookmarkStart w:id="41" w:name="_Toc152045536"/>
      <w:bookmarkStart w:id="42" w:name="_Toc25357"/>
      <w:bookmarkStart w:id="43" w:name="_Toc144974504"/>
      <w:bookmarkStart w:id="44" w:name="_Toc319408072"/>
      <w:r>
        <w:rPr>
          <w:rFonts w:hint="eastAsia" w:ascii="宋体" w:hAnsi="宋体" w:eastAsia="宋体"/>
          <w:b/>
          <w:i w:val="0"/>
          <w:caps w:val="0"/>
          <w:color w:val="auto"/>
          <w:spacing w:val="0"/>
          <w:w w:val="100"/>
          <w:sz w:val="21"/>
          <w:szCs w:val="21"/>
        </w:rPr>
        <w:t>1.6 保密</w:t>
      </w:r>
      <w:bookmarkEnd w:id="35"/>
      <w:bookmarkEnd w:id="36"/>
      <w:bookmarkEnd w:id="37"/>
      <w:bookmarkEnd w:id="38"/>
      <w:bookmarkEnd w:id="39"/>
      <w:bookmarkEnd w:id="40"/>
      <w:bookmarkEnd w:id="41"/>
      <w:bookmarkEnd w:id="42"/>
      <w:bookmarkEnd w:id="43"/>
      <w:bookmarkEnd w:id="44"/>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参与招标投标活动的各方应对招标文件和投标文件中的商业和技术等秘密保密，违者应对由此造成的后果承担法律责任。 </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45" w:name="_Toc144974505"/>
      <w:bookmarkStart w:id="46" w:name="_Toc152045537"/>
      <w:bookmarkStart w:id="47" w:name="_Toc319408073"/>
      <w:bookmarkStart w:id="48" w:name="_Toc4033"/>
      <w:bookmarkStart w:id="49" w:name="_Toc392345916"/>
      <w:bookmarkStart w:id="50" w:name="_Toc152042313"/>
      <w:bookmarkStart w:id="51" w:name="_Toc245036604"/>
      <w:bookmarkStart w:id="52" w:name="_Toc319407838"/>
      <w:bookmarkStart w:id="53" w:name="_Toc323711751"/>
      <w:bookmarkStart w:id="54" w:name="_Toc322615399"/>
      <w:r>
        <w:rPr>
          <w:rFonts w:hint="eastAsia" w:ascii="宋体" w:hAnsi="宋体" w:eastAsia="宋体"/>
          <w:b/>
          <w:i w:val="0"/>
          <w:caps w:val="0"/>
          <w:color w:val="auto"/>
          <w:spacing w:val="0"/>
          <w:w w:val="100"/>
          <w:sz w:val="21"/>
          <w:szCs w:val="21"/>
        </w:rPr>
        <w:t>1.7 语言</w:t>
      </w:r>
      <w:bookmarkEnd w:id="45"/>
      <w:r>
        <w:rPr>
          <w:rFonts w:hint="eastAsia" w:ascii="宋体" w:hAnsi="宋体" w:eastAsia="宋体"/>
          <w:b/>
          <w:i w:val="0"/>
          <w:caps w:val="0"/>
          <w:color w:val="auto"/>
          <w:spacing w:val="0"/>
          <w:w w:val="100"/>
          <w:sz w:val="21"/>
          <w:szCs w:val="21"/>
        </w:rPr>
        <w:t>文字</w:t>
      </w:r>
      <w:bookmarkEnd w:id="46"/>
      <w:bookmarkEnd w:id="47"/>
      <w:bookmarkEnd w:id="48"/>
      <w:bookmarkEnd w:id="49"/>
      <w:bookmarkEnd w:id="50"/>
      <w:bookmarkEnd w:id="51"/>
      <w:bookmarkEnd w:id="52"/>
      <w:bookmarkEnd w:id="53"/>
      <w:bookmarkEnd w:id="54"/>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除专用术语外，与招标投标有关的语言均使用中文。必要时专用术语应附有中文注释。</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55" w:name="_Toc323711752"/>
      <w:bookmarkStart w:id="56" w:name="_Toc144974506"/>
      <w:bookmarkStart w:id="57" w:name="_Toc319408074"/>
      <w:bookmarkStart w:id="58" w:name="_Toc322615400"/>
      <w:bookmarkStart w:id="59" w:name="_Toc152042314"/>
      <w:bookmarkStart w:id="60" w:name="_Toc392345917"/>
      <w:bookmarkStart w:id="61" w:name="_Toc31144"/>
      <w:bookmarkStart w:id="62" w:name="_Toc152045538"/>
      <w:bookmarkStart w:id="63" w:name="_Toc319407839"/>
      <w:bookmarkStart w:id="64" w:name="_Toc245036605"/>
      <w:r>
        <w:rPr>
          <w:rFonts w:hint="eastAsia" w:ascii="宋体" w:hAnsi="宋体" w:eastAsia="宋体"/>
          <w:b/>
          <w:i w:val="0"/>
          <w:caps w:val="0"/>
          <w:color w:val="auto"/>
          <w:spacing w:val="0"/>
          <w:w w:val="100"/>
          <w:sz w:val="21"/>
          <w:szCs w:val="21"/>
        </w:rPr>
        <w:t>1.8 计量单位</w:t>
      </w:r>
      <w:bookmarkEnd w:id="55"/>
      <w:bookmarkEnd w:id="56"/>
      <w:bookmarkEnd w:id="57"/>
      <w:bookmarkEnd w:id="58"/>
      <w:bookmarkEnd w:id="59"/>
      <w:bookmarkEnd w:id="60"/>
      <w:bookmarkEnd w:id="61"/>
      <w:bookmarkEnd w:id="62"/>
      <w:bookmarkEnd w:id="63"/>
      <w:bookmarkEnd w:id="64"/>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所有计量均采用中华人民共和国法定计量单位。</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65" w:name="_Toc152042315"/>
      <w:bookmarkStart w:id="66" w:name="_Toc322615401"/>
      <w:bookmarkStart w:id="67" w:name="_Toc319408075"/>
      <w:bookmarkStart w:id="68" w:name="_Toc323711753"/>
      <w:bookmarkStart w:id="69" w:name="_Toc152045539"/>
      <w:bookmarkStart w:id="70" w:name="_Toc245036606"/>
      <w:bookmarkStart w:id="71" w:name="_Toc926"/>
      <w:bookmarkStart w:id="72" w:name="_Toc319407840"/>
      <w:bookmarkStart w:id="73" w:name="_Toc144974507"/>
      <w:bookmarkStart w:id="74" w:name="_Toc392345918"/>
      <w:r>
        <w:rPr>
          <w:rFonts w:hint="eastAsia" w:ascii="宋体" w:hAnsi="宋体" w:eastAsia="宋体"/>
          <w:b/>
          <w:i w:val="0"/>
          <w:caps w:val="0"/>
          <w:color w:val="auto"/>
          <w:spacing w:val="0"/>
          <w:w w:val="100"/>
          <w:sz w:val="21"/>
          <w:szCs w:val="21"/>
        </w:rPr>
        <w:t>1.9 踏勘现场</w:t>
      </w:r>
      <w:bookmarkEnd w:id="65"/>
      <w:bookmarkEnd w:id="66"/>
      <w:bookmarkEnd w:id="67"/>
      <w:bookmarkEnd w:id="68"/>
      <w:bookmarkEnd w:id="69"/>
      <w:bookmarkEnd w:id="70"/>
      <w:bookmarkEnd w:id="71"/>
      <w:bookmarkEnd w:id="72"/>
      <w:bookmarkEnd w:id="73"/>
      <w:bookmarkEnd w:id="74"/>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1.9.1 投标人须知前附表规定组织踏勘现场的，招标人按投标人须知前附表规定的时间、地点组织投标人踏勘项目现场。 </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1.9.2 投标人踏勘现场发生的费用自理。</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1.9.3 除招标人的原因外，投标人自行负责在踏勘现场中所发生的人员伤亡和财产损失。</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1.9.4 招标人在踏勘现场中介绍的工程场地和相关的周边环境情况，供投标人在编制投标文件时参考，招标人不对投标人据此作出的判断和决策负责。</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1.9.5 招标人提供的本工程的相关参考资料，并不构成合同文件的组成部分，投标人应对上述资料的解释、推论和应用负责，招标人不对投标人据此作出的判断和决策承担任何责任。</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75" w:name="_Toc152045540"/>
      <w:bookmarkStart w:id="76" w:name="_Toc322615402"/>
      <w:bookmarkStart w:id="77" w:name="_Toc323711754"/>
      <w:bookmarkStart w:id="78" w:name="_Toc144974508"/>
      <w:bookmarkStart w:id="79" w:name="_Toc245036607"/>
      <w:bookmarkStart w:id="80" w:name="_Toc152042316"/>
      <w:bookmarkStart w:id="81" w:name="_Toc392345919"/>
      <w:bookmarkStart w:id="82" w:name="_Toc319407841"/>
      <w:bookmarkStart w:id="83" w:name="_Toc319408076"/>
      <w:bookmarkStart w:id="84" w:name="_Toc1967"/>
      <w:r>
        <w:rPr>
          <w:rFonts w:hint="eastAsia" w:ascii="宋体" w:hAnsi="宋体" w:eastAsia="宋体"/>
          <w:b/>
          <w:i w:val="0"/>
          <w:caps w:val="0"/>
          <w:color w:val="auto"/>
          <w:spacing w:val="0"/>
          <w:w w:val="100"/>
          <w:sz w:val="21"/>
          <w:szCs w:val="21"/>
        </w:rPr>
        <w:t xml:space="preserve">1.10 </w:t>
      </w:r>
      <w:bookmarkEnd w:id="75"/>
      <w:bookmarkEnd w:id="76"/>
      <w:bookmarkEnd w:id="77"/>
      <w:bookmarkEnd w:id="78"/>
      <w:bookmarkEnd w:id="79"/>
      <w:bookmarkEnd w:id="80"/>
      <w:bookmarkEnd w:id="81"/>
      <w:bookmarkEnd w:id="82"/>
      <w:bookmarkEnd w:id="83"/>
      <w:r>
        <w:rPr>
          <w:rFonts w:hint="eastAsia" w:ascii="宋体" w:hAnsi="宋体" w:eastAsia="宋体"/>
          <w:b/>
          <w:i w:val="0"/>
          <w:caps w:val="0"/>
          <w:color w:val="auto"/>
          <w:spacing w:val="0"/>
          <w:w w:val="100"/>
          <w:sz w:val="21"/>
          <w:szCs w:val="21"/>
        </w:rPr>
        <w:t>投标预备会</w:t>
      </w:r>
      <w:bookmarkEnd w:id="84"/>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1.10.1投标人须知前附表规定召开投标预备会的，招标人按投标人须知前附表规定的时间和地点召开投标预备会，澄清投标人提出的问题。</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1.10.2投标人应在投标人须知前附表规定的时间前，以电子邮件的形式（可匿名）将提出的问题发至招标人的电子邮箱。</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1.10.3招标人在投标人须知前附表规定的时间内，将对投标人所提问题进行澄清和对招标文件的补充、修改，并在投标人须知前附表1.10.4指定的网站上公开发布。该澄清内容为招标文件的组成部分。</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1.10.4上传疑问邮箱，下载澄清、修改、补充文件网址见投标人须知前附表。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85" w:name="_Toc27344"/>
      <w:r>
        <w:rPr>
          <w:rFonts w:hint="eastAsia" w:ascii="宋体" w:hAnsi="宋体" w:eastAsia="宋体"/>
          <w:b/>
          <w:i w:val="0"/>
          <w:caps w:val="0"/>
          <w:color w:val="auto"/>
          <w:spacing w:val="0"/>
          <w:w w:val="100"/>
          <w:sz w:val="21"/>
          <w:szCs w:val="21"/>
        </w:rPr>
        <w:t>1.11分包</w:t>
      </w:r>
      <w:bookmarkEnd w:id="85"/>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投标人拟在中标后将中标项目的部分非主体、非关键性工作进行分包的，应符合投标人须知前附表规定的分包内容、分包金额和资质要求等限制性条件。</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86" w:name="_Toc13279"/>
      <w:r>
        <w:rPr>
          <w:rFonts w:hint="eastAsia" w:ascii="宋体" w:hAnsi="宋体" w:eastAsia="宋体"/>
          <w:b/>
          <w:i w:val="0"/>
          <w:caps w:val="0"/>
          <w:color w:val="auto"/>
          <w:spacing w:val="0"/>
          <w:w w:val="100"/>
          <w:sz w:val="21"/>
          <w:szCs w:val="21"/>
        </w:rPr>
        <w:t>1.12偏离</w:t>
      </w:r>
      <w:bookmarkEnd w:id="86"/>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投标人须知前附表允许投标文件偏离招标文件某些要求的，偏离应当符合招标文件规定的偏离范围和幅度。</w:t>
      </w:r>
    </w:p>
    <w:p>
      <w:pPr>
        <w:pStyle w:val="48"/>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bookmarkStart w:id="87" w:name="_Toc392345920"/>
      <w:bookmarkStart w:id="88" w:name="_Toc17"/>
      <w:bookmarkStart w:id="89" w:name="_Toc323711757"/>
      <w:bookmarkStart w:id="90" w:name="_Toc245036610"/>
      <w:bookmarkStart w:id="91" w:name="_Toc144974514"/>
      <w:bookmarkStart w:id="92" w:name="_Toc152042322"/>
      <w:bookmarkStart w:id="93" w:name="_Toc229646728"/>
      <w:bookmarkStart w:id="94" w:name="_Toc152045546"/>
      <w:bookmarkStart w:id="95" w:name="_Toc152042324"/>
      <w:bookmarkStart w:id="96" w:name="_Toc152045548"/>
      <w:bookmarkStart w:id="97" w:name="_Toc229646730"/>
      <w:bookmarkStart w:id="98" w:name="_Toc144974516"/>
      <w:r>
        <w:rPr>
          <w:rFonts w:hint="eastAsia" w:ascii="宋体" w:hAnsi="宋体" w:eastAsia="宋体"/>
          <w:b w:val="0"/>
          <w:i w:val="0"/>
          <w:caps w:val="0"/>
          <w:color w:val="auto"/>
          <w:spacing w:val="0"/>
          <w:w w:val="100"/>
          <w:sz w:val="21"/>
          <w:szCs w:val="21"/>
        </w:rPr>
        <w:t>2. 招标文件</w:t>
      </w:r>
      <w:bookmarkEnd w:id="87"/>
      <w:bookmarkEnd w:id="88"/>
      <w:bookmarkEnd w:id="89"/>
      <w:bookmarkEnd w:id="90"/>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99" w:name="_Toc144974511"/>
      <w:bookmarkStart w:id="100" w:name="_Toc322615406"/>
      <w:bookmarkStart w:id="101" w:name="_Toc319407845"/>
      <w:bookmarkStart w:id="102" w:name="_Toc152042319"/>
      <w:bookmarkStart w:id="103" w:name="_Toc319408080"/>
      <w:bookmarkStart w:id="104" w:name="_Toc26955"/>
      <w:bookmarkStart w:id="105" w:name="_Toc152045543"/>
      <w:bookmarkStart w:id="106" w:name="_Toc323711758"/>
      <w:bookmarkStart w:id="107" w:name="_Toc245036611"/>
      <w:bookmarkStart w:id="108" w:name="_Toc392345921"/>
      <w:r>
        <w:rPr>
          <w:rFonts w:hint="eastAsia" w:ascii="宋体" w:hAnsi="宋体" w:eastAsia="宋体"/>
          <w:b/>
          <w:i w:val="0"/>
          <w:caps w:val="0"/>
          <w:color w:val="auto"/>
          <w:spacing w:val="0"/>
          <w:w w:val="100"/>
          <w:sz w:val="21"/>
          <w:szCs w:val="21"/>
        </w:rPr>
        <w:t>2.1 招标文件的组成</w:t>
      </w:r>
      <w:bookmarkEnd w:id="99"/>
      <w:bookmarkEnd w:id="100"/>
      <w:bookmarkEnd w:id="101"/>
      <w:bookmarkEnd w:id="102"/>
      <w:bookmarkEnd w:id="103"/>
      <w:bookmarkEnd w:id="104"/>
      <w:bookmarkEnd w:id="105"/>
      <w:bookmarkEnd w:id="106"/>
      <w:bookmarkEnd w:id="107"/>
      <w:bookmarkEnd w:id="108"/>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本招标文件包括：</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（1）招标公告；</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（2）投标人须知；</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（3）评标办法；</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（4）合同条款及格式；</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（5）招标内容和技术要求； </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（6）投标文件格式；</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（7）投标人须知前附表规定的其他材料。</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根据本章第1.10款、第2.2款对招标文件所作的澄清、修改，构成招标文件的组成部分。</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招标文件、招标文件的澄清或修改等在同一内容的表述上不一致时，以最后发出的书面文件为准。</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0"/>
        </w:rPr>
      </w:pPr>
      <w:bookmarkStart w:id="109" w:name="_Toc152042320"/>
      <w:bookmarkStart w:id="110" w:name="_Toc322615407"/>
      <w:bookmarkStart w:id="111" w:name="_Toc323711759"/>
      <w:bookmarkStart w:id="112" w:name="_Toc319408081"/>
      <w:bookmarkStart w:id="113" w:name="_Toc152045544"/>
      <w:bookmarkStart w:id="114" w:name="_Toc144974512"/>
      <w:bookmarkStart w:id="115" w:name="_Toc392345922"/>
      <w:bookmarkStart w:id="116" w:name="_Toc14430"/>
      <w:bookmarkStart w:id="117" w:name="_Toc319407846"/>
      <w:bookmarkStart w:id="118" w:name="_Toc245036612"/>
      <w:r>
        <w:rPr>
          <w:rFonts w:hint="eastAsia" w:ascii="宋体" w:hAnsi="宋体" w:eastAsia="宋体"/>
          <w:b/>
          <w:i w:val="0"/>
          <w:caps w:val="0"/>
          <w:color w:val="auto"/>
          <w:spacing w:val="0"/>
          <w:w w:val="100"/>
          <w:sz w:val="21"/>
          <w:szCs w:val="21"/>
        </w:rPr>
        <w:t xml:space="preserve">2.2 </w:t>
      </w:r>
      <w:bookmarkEnd w:id="109"/>
      <w:bookmarkEnd w:id="110"/>
      <w:bookmarkEnd w:id="111"/>
      <w:bookmarkEnd w:id="112"/>
      <w:bookmarkEnd w:id="113"/>
      <w:bookmarkEnd w:id="114"/>
      <w:bookmarkEnd w:id="115"/>
      <w:bookmarkEnd w:id="116"/>
      <w:bookmarkEnd w:id="117"/>
      <w:bookmarkEnd w:id="118"/>
      <w:bookmarkStart w:id="119" w:name="_Toc392345924"/>
      <w:bookmarkStart w:id="120" w:name="_Toc3662"/>
      <w:r>
        <w:rPr>
          <w:rFonts w:hint="eastAsia" w:ascii="宋体" w:hAnsi="宋体" w:eastAsia="宋体"/>
          <w:b/>
          <w:i w:val="0"/>
          <w:caps w:val="0"/>
          <w:color w:val="auto"/>
          <w:spacing w:val="0"/>
          <w:w w:val="100"/>
          <w:sz w:val="20"/>
        </w:rPr>
        <w:t xml:space="preserve"> 招标文件的澄清和修改</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2.2.1 投标人应仔细阅读和检查招标文件的全部内容。如发现缺页或附件不全，应及时向招标人提出，以便补齐。如有疑问，应在投标人须知前附表规定的时间、形式提交，要求招标人对招标文件予以澄清。</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2.2.2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2.2.3 投标人确认收到招标文件澄清和修改内容的时间：见投标人须知前附表。</w:t>
      </w:r>
    </w:p>
    <w:p>
      <w:pPr>
        <w:pStyle w:val="48"/>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r>
        <w:rPr>
          <w:rFonts w:hint="eastAsia" w:ascii="宋体" w:hAnsi="宋体" w:eastAsia="宋体"/>
          <w:b w:val="0"/>
          <w:i w:val="0"/>
          <w:caps w:val="0"/>
          <w:color w:val="auto"/>
          <w:spacing w:val="0"/>
          <w:w w:val="100"/>
          <w:sz w:val="21"/>
          <w:szCs w:val="21"/>
        </w:rPr>
        <w:t>3. 投标文件</w:t>
      </w:r>
      <w:bookmarkEnd w:id="91"/>
      <w:bookmarkEnd w:id="92"/>
      <w:bookmarkEnd w:id="93"/>
      <w:bookmarkEnd w:id="94"/>
      <w:bookmarkEnd w:id="119"/>
      <w:bookmarkEnd w:id="120"/>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21" w:name="_Toc152042323"/>
      <w:bookmarkStart w:id="122" w:name="_Toc392345925"/>
      <w:bookmarkStart w:id="123" w:name="_Toc22707"/>
      <w:bookmarkStart w:id="124" w:name="_Toc229646729"/>
      <w:bookmarkStart w:id="125" w:name="_Toc152045547"/>
      <w:bookmarkStart w:id="126" w:name="_Toc144974515"/>
      <w:r>
        <w:rPr>
          <w:rFonts w:hint="eastAsia" w:ascii="宋体" w:hAnsi="宋体" w:eastAsia="宋体"/>
          <w:b/>
          <w:i w:val="0"/>
          <w:caps w:val="0"/>
          <w:color w:val="auto"/>
          <w:spacing w:val="0"/>
          <w:w w:val="100"/>
          <w:sz w:val="21"/>
          <w:szCs w:val="21"/>
        </w:rPr>
        <w:t>3.1 投标文件的组成</w:t>
      </w:r>
      <w:bookmarkEnd w:id="121"/>
      <w:bookmarkEnd w:id="122"/>
      <w:bookmarkEnd w:id="123"/>
      <w:bookmarkEnd w:id="124"/>
      <w:bookmarkEnd w:id="125"/>
      <w:bookmarkEnd w:id="126"/>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3.1.1商务标部分</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（1）投标函(格式)</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（2）法定代表人授权书及法定代表人身份证明(格式)</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（3）投标报价表（格式）</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u w:val="single" w:color="FF0000"/>
        </w:rPr>
        <w:t>拟投入的主要施工人员一览表</w:t>
      </w:r>
      <w:r>
        <w:rPr>
          <w:rFonts w:hint="eastAsia" w:ascii="宋体" w:hAnsi="宋体" w:cs="宋体"/>
          <w:b w:val="0"/>
          <w:i/>
          <w:caps w:val="0"/>
          <w:color w:val="auto"/>
          <w:spacing w:val="0"/>
          <w:w w:val="100"/>
          <w:sz w:val="21"/>
          <w:szCs w:val="21"/>
          <w:u w:val="single" w:color="000000"/>
        </w:rPr>
        <w:t>（</w:t>
      </w:r>
      <w:r>
        <w:rPr>
          <w:rFonts w:hint="eastAsia" w:ascii="宋体" w:hAnsi="宋体" w:cs="宋体"/>
          <w:b w:val="0"/>
          <w:i/>
          <w:caps w:val="0"/>
          <w:color w:val="auto"/>
          <w:spacing w:val="0"/>
          <w:w w:val="100"/>
          <w:sz w:val="21"/>
          <w:szCs w:val="21"/>
        </w:rPr>
        <w:t>招标人需要增加的其他商务内容）</w:t>
      </w:r>
      <w:r>
        <w:rPr>
          <w:rFonts w:hint="eastAsia" w:ascii="宋体" w:hAnsi="宋体" w:cs="宋体"/>
          <w:b w:val="0"/>
          <w:i w:val="0"/>
          <w:caps w:val="0"/>
          <w:color w:val="auto"/>
          <w:spacing w:val="0"/>
          <w:w w:val="100"/>
          <w:sz w:val="21"/>
          <w:szCs w:val="21"/>
        </w:rPr>
        <w:t>。</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3.1.2技术标部分</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☑（1）货物说明一览表</w:t>
      </w:r>
      <w:r>
        <w:rPr>
          <w:rFonts w:hint="eastAsia" w:ascii="宋体" w:hAnsi="宋体" w:cs="宋体"/>
          <w:b w:val="0"/>
          <w:i w:val="0"/>
          <w:caps w:val="0"/>
          <w:color w:val="auto"/>
          <w:spacing w:val="0"/>
          <w:w w:val="100"/>
          <w:sz w:val="21"/>
          <w:szCs w:val="21"/>
        </w:rPr>
        <w:t>（格式自拟）</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☑（2）技术响应表</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☑（3）主要配置说明一览表</w:t>
      </w:r>
      <w:r>
        <w:rPr>
          <w:rFonts w:hint="eastAsia" w:ascii="宋体" w:hAnsi="宋体" w:cs="宋体"/>
          <w:b w:val="0"/>
          <w:i w:val="0"/>
          <w:caps w:val="0"/>
          <w:color w:val="auto"/>
          <w:spacing w:val="0"/>
          <w:w w:val="100"/>
          <w:sz w:val="21"/>
          <w:szCs w:val="21"/>
        </w:rPr>
        <w:t>（格式自拟）</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☑（4）投标方案图纸、产品详细技术规格书及本招标文件中</w:t>
      </w:r>
      <w:r>
        <w:rPr>
          <w:rFonts w:hint="eastAsia" w:ascii="宋体" w:hAnsi="宋体" w:cs="宋体"/>
          <w:b w:val="0"/>
          <w:i w:val="0"/>
          <w:caps w:val="0"/>
          <w:color w:val="auto"/>
          <w:spacing w:val="0"/>
          <w:w w:val="100"/>
          <w:sz w:val="21"/>
          <w:szCs w:val="21"/>
        </w:rPr>
        <w:t>要求</w:t>
      </w:r>
      <w:r>
        <w:rPr>
          <w:rFonts w:hint="eastAsia" w:ascii="宋体" w:hAnsi="宋体" w:cs="宋体"/>
          <w:b w:val="0"/>
          <w:i w:val="0"/>
          <w:caps w:val="0"/>
          <w:color w:val="auto"/>
          <w:spacing w:val="0"/>
          <w:w w:val="100"/>
          <w:sz w:val="21"/>
          <w:szCs w:val="21"/>
        </w:rPr>
        <w:t>提供的文件及资料。</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☑（5）产品的主要技术、结构、性能、特点和质量水平的详细描述</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☑（6）产品制造、安装、验收标准</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☑（7）主要工艺装备和主要检测设施的拥有情况和现状</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☑（8）质量手册或关于质量管理、质量体系、质量控制、质量保证的详细介绍</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☑（9) 产品的技术服务和售后服务的内容和措施</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u w:val="single" w:color="000000"/>
        </w:rPr>
        <w:t>投标人提供的材料、辅助材料、专用工具及备品备件（易损件）</w:t>
      </w:r>
      <w:r>
        <w:rPr>
          <w:rFonts w:hint="eastAsia" w:ascii="宋体" w:hAnsi="宋体" w:cs="宋体"/>
          <w:b w:val="0"/>
          <w:i w:val="0"/>
          <w:caps w:val="0"/>
          <w:color w:val="auto"/>
          <w:spacing w:val="0"/>
          <w:w w:val="100"/>
          <w:sz w:val="21"/>
          <w:szCs w:val="21"/>
          <w:u w:val="single" w:color="FF0000"/>
        </w:rPr>
        <w:t xml:space="preserve">  </w:t>
      </w:r>
      <w:r>
        <w:rPr>
          <w:rFonts w:hint="eastAsia" w:ascii="宋体" w:hAnsi="宋体" w:cs="宋体"/>
          <w:b w:val="0"/>
          <w:i/>
          <w:caps w:val="0"/>
          <w:color w:val="auto"/>
          <w:spacing w:val="0"/>
          <w:w w:val="100"/>
          <w:sz w:val="21"/>
          <w:szCs w:val="21"/>
        </w:rPr>
        <w:t>（招标人需要增加的其他技术内容）</w:t>
      </w:r>
      <w:r>
        <w:rPr>
          <w:rFonts w:hint="eastAsia" w:ascii="宋体" w:hAnsi="宋体" w:cs="宋体"/>
          <w:b w:val="0"/>
          <w:i w:val="0"/>
          <w:caps w:val="0"/>
          <w:color w:val="auto"/>
          <w:spacing w:val="0"/>
          <w:w w:val="100"/>
          <w:sz w:val="21"/>
          <w:szCs w:val="21"/>
        </w:rPr>
        <w:t>。</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注：未尽事宜请各投标单位按技术部分评分标准制作(重要)！</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3.1.3资格审查资料</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详见投标人须知前附表第3.5条款。</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27" w:name="_Toc5081"/>
      <w:bookmarkStart w:id="128" w:name="_Toc392345926"/>
      <w:r>
        <w:rPr>
          <w:rFonts w:hint="eastAsia" w:ascii="宋体" w:hAnsi="宋体" w:eastAsia="宋体"/>
          <w:b/>
          <w:i w:val="0"/>
          <w:caps w:val="0"/>
          <w:color w:val="auto"/>
          <w:spacing w:val="0"/>
          <w:w w:val="100"/>
          <w:sz w:val="21"/>
          <w:szCs w:val="21"/>
        </w:rPr>
        <w:t>3.2 投标报价</w:t>
      </w:r>
      <w:bookmarkEnd w:id="95"/>
      <w:bookmarkEnd w:id="96"/>
      <w:bookmarkEnd w:id="97"/>
      <w:bookmarkEnd w:id="98"/>
      <w:bookmarkEnd w:id="127"/>
      <w:bookmarkEnd w:id="128"/>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129" w:name="_Toc152042325"/>
      <w:bookmarkStart w:id="130" w:name="_Toc229646731"/>
      <w:bookmarkStart w:id="131" w:name="_Toc152045549"/>
      <w:bookmarkStart w:id="132" w:name="_Toc144974517"/>
      <w:r>
        <w:rPr>
          <w:rFonts w:hint="eastAsia" w:ascii="宋体" w:hAnsi="宋体" w:cs="宋体"/>
          <w:b w:val="0"/>
          <w:i w:val="0"/>
          <w:caps w:val="0"/>
          <w:color w:val="auto"/>
          <w:spacing w:val="0"/>
          <w:w w:val="100"/>
          <w:sz w:val="21"/>
          <w:szCs w:val="21"/>
        </w:rPr>
        <w:t>3.2.1 投标人应按本招标文件中“投标文件格式”的要求填写相应表格。</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3.2.2 投标人在投标截止时间前修改投标函中的投标总报价，应同时修改本招标文件中“投标文件格式”中的相应报价。此修改须符合本章第4.3款的有关要求。</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3.2.3招标人设有最高投标限价的，投标人的投标报价不得超过最高投标限价，最高投标限价详见投标人须知前附表。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3.2.4投标报价的其他要求详见投标人须知前附表。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33" w:name="_Toc392345927"/>
      <w:bookmarkStart w:id="134" w:name="_Toc22162"/>
      <w:r>
        <w:rPr>
          <w:rFonts w:hint="eastAsia" w:ascii="宋体" w:hAnsi="宋体" w:eastAsia="宋体"/>
          <w:b/>
          <w:i w:val="0"/>
          <w:caps w:val="0"/>
          <w:color w:val="auto"/>
          <w:spacing w:val="0"/>
          <w:w w:val="100"/>
          <w:sz w:val="21"/>
          <w:szCs w:val="21"/>
        </w:rPr>
        <w:t>3.3 投标有效期</w:t>
      </w:r>
      <w:bookmarkEnd w:id="129"/>
      <w:bookmarkEnd w:id="130"/>
      <w:bookmarkEnd w:id="131"/>
      <w:bookmarkEnd w:id="132"/>
      <w:bookmarkEnd w:id="133"/>
      <w:bookmarkEnd w:id="134"/>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135" w:name="_Toc144974518"/>
      <w:bookmarkStart w:id="136" w:name="_Toc152045550"/>
      <w:bookmarkStart w:id="137" w:name="_Toc152042326"/>
      <w:bookmarkStart w:id="138" w:name="_Toc229646732"/>
      <w:r>
        <w:rPr>
          <w:rFonts w:hint="eastAsia" w:ascii="宋体" w:hAnsi="宋体" w:cs="宋体"/>
          <w:b w:val="0"/>
          <w:i w:val="0"/>
          <w:caps w:val="0"/>
          <w:color w:val="auto"/>
          <w:spacing w:val="0"/>
          <w:w w:val="100"/>
          <w:sz w:val="21"/>
          <w:szCs w:val="21"/>
        </w:rPr>
        <w:t>3.3.1 在投标人须知前附表规定的投标有效期内，投标人不得撤销其投标文件。</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39" w:name="_Toc392345928"/>
      <w:bookmarkStart w:id="140" w:name="_Toc10327"/>
      <w:r>
        <w:rPr>
          <w:rFonts w:hint="eastAsia" w:ascii="宋体" w:hAnsi="宋体" w:eastAsia="宋体"/>
          <w:b/>
          <w:i w:val="0"/>
          <w:caps w:val="0"/>
          <w:color w:val="auto"/>
          <w:spacing w:val="0"/>
          <w:w w:val="100"/>
          <w:sz w:val="21"/>
          <w:szCs w:val="21"/>
        </w:rPr>
        <w:t>3.4 投标保证金</w:t>
      </w:r>
      <w:bookmarkEnd w:id="135"/>
      <w:bookmarkEnd w:id="136"/>
      <w:bookmarkEnd w:id="137"/>
      <w:bookmarkEnd w:id="138"/>
      <w:bookmarkEnd w:id="139"/>
      <w:bookmarkEnd w:id="140"/>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3.4.1 投标人应按投标人须知前附表规定的金额、时间及形式递交投标保证金，并作为其投标文件的组成部分。</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3.4.2投标人应按本章第3.4.1 项要求提交投标保证金。</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3.4.3</w:t>
      </w:r>
      <w:r>
        <w:rPr>
          <w:rFonts w:hint="eastAsia" w:ascii="宋体" w:hAnsi="宋体" w:cs="宋体"/>
          <w:b w:val="0"/>
          <w:i w:val="0"/>
          <w:caps w:val="0"/>
          <w:color w:val="auto"/>
          <w:spacing w:val="0"/>
          <w:w w:val="100"/>
          <w:sz w:val="20"/>
          <w:szCs w:val="20"/>
        </w:rPr>
        <w:t>投标保证金的退还：</w:t>
      </w:r>
      <w:r>
        <w:rPr>
          <w:rFonts w:hint="eastAsia"/>
          <w:b w:val="0"/>
          <w:i w:val="0"/>
          <w:caps w:val="0"/>
          <w:color w:val="auto"/>
          <w:spacing w:val="0"/>
          <w:w w:val="100"/>
          <w:sz w:val="21"/>
        </w:rPr>
        <w:t>按现行规定退还</w:t>
      </w:r>
      <w:r>
        <w:rPr>
          <w:rFonts w:hint="eastAsia" w:ascii="宋体" w:hAnsi="宋体" w:cs="宋体"/>
          <w:b w:val="0"/>
          <w:i w:val="0"/>
          <w:caps w:val="0"/>
          <w:color w:val="auto"/>
          <w:spacing w:val="0"/>
          <w:w w:val="100"/>
          <w:sz w:val="20"/>
          <w:szCs w:val="20"/>
        </w:rPr>
        <w:t>。</w:t>
      </w:r>
    </w:p>
    <w:p>
      <w:pPr>
        <w:snapToGrid w:val="0"/>
        <w:spacing w:before="0" w:beforeAutospacing="0" w:after="0" w:afterAutospacing="0" w:line="440" w:lineRule="exact"/>
        <w:ind w:firstLine="420" w:firstLineChars="200"/>
        <w:jc w:val="both"/>
        <w:textAlignment w:val="baseline"/>
        <w:rPr>
          <w:b w:val="0"/>
          <w:i w:val="0"/>
          <w:caps w:val="0"/>
          <w:color w:val="auto"/>
          <w:spacing w:val="0"/>
          <w:w w:val="100"/>
          <w:sz w:val="20"/>
        </w:rPr>
      </w:pPr>
      <w:r>
        <w:rPr>
          <w:rFonts w:hint="eastAsia" w:ascii="宋体" w:hAnsi="宋体" w:cs="宋体"/>
          <w:b w:val="0"/>
          <w:i w:val="0"/>
          <w:caps w:val="0"/>
          <w:color w:val="auto"/>
          <w:spacing w:val="0"/>
          <w:w w:val="100"/>
          <w:sz w:val="21"/>
          <w:szCs w:val="21"/>
        </w:rPr>
        <w:t>3.4.4</w:t>
      </w:r>
      <w:r>
        <w:rPr>
          <w:rFonts w:hint="eastAsia"/>
          <w:b w:val="0"/>
          <w:i w:val="0"/>
          <w:caps w:val="0"/>
          <w:color w:val="auto"/>
          <w:spacing w:val="0"/>
          <w:w w:val="100"/>
          <w:sz w:val="21"/>
        </w:rPr>
        <w:t xml:space="preserve">有下列情形之一的，投标保证金将不予退还： </w:t>
      </w:r>
    </w:p>
    <w:p>
      <w:pPr>
        <w:snapToGrid w:val="0"/>
        <w:spacing w:before="0" w:beforeAutospacing="0" w:after="0" w:afterAutospacing="0" w:line="440" w:lineRule="exact"/>
        <w:ind w:firstLine="420" w:firstLineChars="200"/>
        <w:jc w:val="both"/>
        <w:textAlignment w:val="baseline"/>
        <w:rPr>
          <w:b w:val="0"/>
          <w:i w:val="0"/>
          <w:caps w:val="0"/>
          <w:color w:val="auto"/>
          <w:spacing w:val="0"/>
          <w:w w:val="100"/>
          <w:sz w:val="20"/>
        </w:rPr>
      </w:pPr>
      <w:r>
        <w:rPr>
          <w:rFonts w:hint="eastAsia"/>
          <w:b w:val="0"/>
          <w:i w:val="0"/>
          <w:caps w:val="0"/>
          <w:color w:val="auto"/>
          <w:spacing w:val="0"/>
          <w:w w:val="100"/>
          <w:sz w:val="21"/>
        </w:rPr>
        <w:t>（1）投标人在规定的投标有效期内撤销或修改其投标文件；</w:t>
      </w:r>
    </w:p>
    <w:p>
      <w:pPr>
        <w:snapToGrid w:val="0"/>
        <w:spacing w:before="0" w:beforeAutospacing="0" w:after="0" w:afterAutospacing="0" w:line="440" w:lineRule="exact"/>
        <w:ind w:firstLine="420" w:firstLineChars="200"/>
        <w:jc w:val="both"/>
        <w:textAlignment w:val="baseline"/>
        <w:rPr>
          <w:b w:val="0"/>
          <w:i w:val="0"/>
          <w:caps w:val="0"/>
          <w:color w:val="auto"/>
          <w:spacing w:val="0"/>
          <w:w w:val="100"/>
          <w:sz w:val="20"/>
        </w:rPr>
      </w:pPr>
      <w:r>
        <w:rPr>
          <w:rFonts w:hint="eastAsia"/>
          <w:b w:val="0"/>
          <w:i w:val="0"/>
          <w:caps w:val="0"/>
          <w:color w:val="auto"/>
          <w:spacing w:val="0"/>
          <w:w w:val="100"/>
          <w:sz w:val="21"/>
        </w:rPr>
        <w:t>（2）中标人在收到中标通知书后，无正当理由拒签合同协议书或未按招标文件规定提交履约担保。</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b w:val="0"/>
          <w:i w:val="0"/>
          <w:caps w:val="0"/>
          <w:color w:val="auto"/>
          <w:spacing w:val="0"/>
          <w:w w:val="100"/>
          <w:sz w:val="21"/>
        </w:rPr>
        <w:t>（3）其他法律法规规定情形。</w:t>
      </w:r>
      <w:r>
        <w:rPr>
          <w:rFonts w:hint="eastAsia" w:ascii="宋体" w:hAnsi="宋体" w:cs="宋体"/>
          <w:b w:val="0"/>
          <w:i w:val="0"/>
          <w:caps w:val="0"/>
          <w:color w:val="auto"/>
          <w:spacing w:val="0"/>
          <w:w w:val="100"/>
          <w:sz w:val="21"/>
          <w:szCs w:val="21"/>
        </w:rPr>
        <w:t xml:space="preserve"> </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strike/>
          <w:color w:val="auto"/>
          <w:spacing w:val="0"/>
          <w:w w:val="100"/>
          <w:sz w:val="21"/>
          <w:szCs w:val="21"/>
        </w:rPr>
      </w:pPr>
      <w:bookmarkStart w:id="141" w:name="_Toc322615415"/>
      <w:bookmarkStart w:id="142" w:name="_Toc319407854"/>
      <w:bookmarkStart w:id="143" w:name="_Toc152042329"/>
      <w:bookmarkStart w:id="144" w:name="_Toc152045553"/>
      <w:bookmarkStart w:id="145" w:name="_Toc245036620"/>
      <w:bookmarkStart w:id="146" w:name="_Toc144974521"/>
      <w:bookmarkStart w:id="147" w:name="_Toc323711767"/>
      <w:bookmarkStart w:id="148" w:name="_Toc319408089"/>
      <w:bookmarkStart w:id="149" w:name="_Toc16875"/>
      <w:bookmarkStart w:id="150" w:name="_Toc392345930"/>
      <w:bookmarkStart w:id="151" w:name="_Toc152045559"/>
      <w:bookmarkStart w:id="152" w:name="_Toc229646740"/>
      <w:bookmarkStart w:id="153" w:name="_Toc152042335"/>
      <w:bookmarkStart w:id="154" w:name="_Toc144974527"/>
      <w:r>
        <w:rPr>
          <w:rFonts w:hint="eastAsia" w:ascii="宋体" w:hAnsi="宋体" w:eastAsia="宋体"/>
          <w:b/>
          <w:i w:val="0"/>
          <w:caps w:val="0"/>
          <w:strike/>
          <w:color w:val="auto"/>
          <w:spacing w:val="0"/>
          <w:w w:val="100"/>
          <w:sz w:val="21"/>
          <w:szCs w:val="21"/>
        </w:rPr>
        <w:t>3.</w:t>
      </w:r>
      <w:bookmarkEnd w:id="141"/>
      <w:bookmarkEnd w:id="142"/>
      <w:bookmarkEnd w:id="143"/>
      <w:bookmarkEnd w:id="144"/>
      <w:bookmarkEnd w:id="145"/>
      <w:bookmarkEnd w:id="146"/>
      <w:bookmarkEnd w:id="147"/>
      <w:bookmarkEnd w:id="148"/>
      <w:bookmarkStart w:id="155" w:name="_Toc322615416"/>
      <w:bookmarkStart w:id="156" w:name="_Toc319407855"/>
      <w:bookmarkStart w:id="157" w:name="_Toc323711768"/>
      <w:bookmarkStart w:id="158" w:name="_Toc245036621"/>
      <w:bookmarkStart w:id="159" w:name="_Toc319408090"/>
      <w:r>
        <w:rPr>
          <w:rFonts w:hint="eastAsia" w:ascii="宋体" w:hAnsi="宋体" w:eastAsia="宋体"/>
          <w:b/>
          <w:i w:val="0"/>
          <w:caps w:val="0"/>
          <w:strike/>
          <w:color w:val="auto"/>
          <w:spacing w:val="0"/>
          <w:w w:val="100"/>
          <w:sz w:val="21"/>
          <w:szCs w:val="21"/>
        </w:rPr>
        <w:t>5资格审查资料</w:t>
      </w:r>
      <w:bookmarkEnd w:id="149"/>
    </w:p>
    <w:p>
      <w:pPr>
        <w:snapToGrid w:val="0"/>
        <w:spacing w:before="0" w:beforeAutospacing="0" w:after="0" w:afterAutospacing="0" w:line="400" w:lineRule="exact"/>
        <w:ind w:firstLine="420" w:firstLineChars="200"/>
        <w:jc w:val="both"/>
        <w:textAlignment w:val="baseline"/>
        <w:rPr>
          <w:rFonts w:ascii="宋体" w:hAnsi="宋体" w:cs="宋体"/>
          <w:b w:val="0"/>
          <w:i w:val="0"/>
          <w:caps w:val="0"/>
          <w:strike/>
          <w:color w:val="auto"/>
          <w:spacing w:val="0"/>
          <w:w w:val="100"/>
          <w:sz w:val="20"/>
          <w:szCs w:val="21"/>
        </w:rPr>
      </w:pPr>
      <w:r>
        <w:rPr>
          <w:rFonts w:hint="eastAsia" w:ascii="宋体" w:hAnsi="宋体" w:cs="宋体"/>
          <w:b w:val="0"/>
          <w:i w:val="0"/>
          <w:caps w:val="0"/>
          <w:strike/>
          <w:color w:val="auto"/>
          <w:spacing w:val="0"/>
          <w:w w:val="100"/>
          <w:sz w:val="21"/>
          <w:szCs w:val="21"/>
        </w:rPr>
        <w:t>3.5.1 “投标人基本情况表”应附投标人营业执照副本、资质证书副本等材料的复印件。</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strike/>
          <w:color w:val="auto"/>
          <w:spacing w:val="0"/>
          <w:w w:val="100"/>
          <w:sz w:val="20"/>
          <w:szCs w:val="21"/>
        </w:rPr>
      </w:pPr>
      <w:r>
        <w:rPr>
          <w:rFonts w:hint="eastAsia" w:ascii="宋体" w:hAnsi="宋体" w:cs="宋体"/>
          <w:b w:val="0"/>
          <w:i w:val="0"/>
          <w:caps w:val="0"/>
          <w:strike/>
          <w:color w:val="auto"/>
          <w:spacing w:val="0"/>
          <w:w w:val="100"/>
          <w:sz w:val="21"/>
          <w:szCs w:val="21"/>
        </w:rPr>
        <w:t>3.5.2 “近年完成的类似项目情况表”应附中标通知书、合同复印件及医院验收证明，具体年份要求见投标人须知前附表。每张表格只填写一个项目，并标明序号。</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strike/>
          <w:color w:val="auto"/>
          <w:spacing w:val="0"/>
          <w:w w:val="100"/>
          <w:sz w:val="20"/>
          <w:szCs w:val="21"/>
        </w:rPr>
      </w:pPr>
      <w:r>
        <w:rPr>
          <w:rFonts w:hint="eastAsia" w:ascii="宋体" w:hAnsi="宋体" w:cs="宋体"/>
          <w:b w:val="0"/>
          <w:i w:val="0"/>
          <w:caps w:val="0"/>
          <w:strike/>
          <w:color w:val="auto"/>
          <w:spacing w:val="0"/>
          <w:w w:val="100"/>
          <w:sz w:val="21"/>
          <w:szCs w:val="21"/>
        </w:rPr>
        <w:t>3.5.3“正在进行的项目和新承接的项目情况表”应附中标通知书和合同复印件。每张表格只填写一个项目，并标明序号。</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strike/>
          <w:color w:val="auto"/>
          <w:spacing w:val="0"/>
          <w:w w:val="100"/>
          <w:sz w:val="20"/>
          <w:szCs w:val="21"/>
        </w:rPr>
      </w:pPr>
      <w:r>
        <w:rPr>
          <w:rFonts w:hint="eastAsia" w:ascii="宋体" w:hAnsi="宋体" w:cs="宋体"/>
          <w:b w:val="0"/>
          <w:i w:val="0"/>
          <w:caps w:val="0"/>
          <w:strike/>
          <w:color w:val="auto"/>
          <w:spacing w:val="0"/>
          <w:w w:val="100"/>
          <w:sz w:val="21"/>
          <w:szCs w:val="21"/>
        </w:rPr>
        <w:t>3.5.5 “近年发生的诉讼及仲裁情况”应说明相关情况，并附法院或仲裁机构作出的判决、裁决等有关法律文书复印件，具体年份要求见投标人须知前附表。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bCs/>
          <w:i w:val="0"/>
          <w:caps w:val="0"/>
          <w:strike/>
          <w:color w:val="auto"/>
          <w:spacing w:val="0"/>
          <w:w w:val="100"/>
          <w:sz w:val="20"/>
          <w:szCs w:val="21"/>
        </w:rPr>
      </w:pPr>
      <w:r>
        <w:rPr>
          <w:rFonts w:hint="eastAsia" w:ascii="宋体" w:hAnsi="宋体" w:cs="宋体"/>
          <w:b w:val="0"/>
          <w:i w:val="0"/>
          <w:caps w:val="0"/>
          <w:strike/>
          <w:color w:val="auto"/>
          <w:spacing w:val="0"/>
          <w:w w:val="100"/>
          <w:sz w:val="21"/>
          <w:szCs w:val="21"/>
        </w:rPr>
        <w:t>3.5.6 投标单位应本着诚实信用的原则，提供真实可信的资格审查资料。若投标单位提供虚假资料，一经查实，</w:t>
      </w:r>
      <w:r>
        <w:rPr>
          <w:rFonts w:hint="eastAsia" w:ascii="宋体" w:hAnsi="宋体" w:cs="宋体"/>
          <w:b w:val="0"/>
          <w:bCs/>
          <w:i w:val="0"/>
          <w:caps w:val="0"/>
          <w:strike/>
          <w:color w:val="auto"/>
          <w:spacing w:val="0"/>
          <w:w w:val="100"/>
          <w:sz w:val="21"/>
          <w:szCs w:val="21"/>
        </w:rPr>
        <w:t>除</w:t>
      </w:r>
      <w:r>
        <w:rPr>
          <w:rFonts w:hint="eastAsia" w:ascii="宋体" w:hAnsi="宋体" w:cs="宋体"/>
          <w:b w:val="0"/>
          <w:i w:val="0"/>
          <w:caps w:val="0"/>
          <w:strike/>
          <w:color w:val="auto"/>
          <w:spacing w:val="0"/>
          <w:w w:val="100"/>
          <w:sz w:val="21"/>
          <w:szCs w:val="21"/>
        </w:rPr>
        <w:t>按否决投标处理</w:t>
      </w:r>
      <w:r>
        <w:rPr>
          <w:rFonts w:hint="eastAsia" w:ascii="宋体" w:hAnsi="宋体" w:cs="宋体"/>
          <w:b w:val="0"/>
          <w:bCs/>
          <w:i w:val="0"/>
          <w:caps w:val="0"/>
          <w:strike/>
          <w:color w:val="auto"/>
          <w:spacing w:val="0"/>
          <w:w w:val="100"/>
          <w:sz w:val="21"/>
          <w:szCs w:val="21"/>
        </w:rPr>
        <w:t>外，其投标保证金不予退还。</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strike/>
          <w:color w:val="auto"/>
          <w:spacing w:val="0"/>
          <w:w w:val="100"/>
          <w:sz w:val="20"/>
          <w:szCs w:val="21"/>
        </w:rPr>
      </w:pPr>
      <w:r>
        <w:rPr>
          <w:rFonts w:hint="eastAsia" w:ascii="宋体" w:hAnsi="宋体" w:cs="宋体"/>
          <w:b w:val="0"/>
          <w:i w:val="0"/>
          <w:caps w:val="0"/>
          <w:strike/>
          <w:color w:val="auto"/>
          <w:spacing w:val="0"/>
          <w:w w:val="100"/>
          <w:sz w:val="21"/>
          <w:szCs w:val="21"/>
        </w:rPr>
        <w:t>3.5.7资格审查资料详见投标人须知前附表。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60" w:name="_Toc29305"/>
      <w:r>
        <w:rPr>
          <w:rFonts w:hint="eastAsia" w:ascii="宋体" w:hAnsi="宋体" w:eastAsia="宋体"/>
          <w:b/>
          <w:i w:val="0"/>
          <w:caps w:val="0"/>
          <w:color w:val="auto"/>
          <w:spacing w:val="0"/>
          <w:w w:val="100"/>
          <w:sz w:val="21"/>
          <w:szCs w:val="21"/>
        </w:rPr>
        <w:t>3.6备选投标方案</w:t>
      </w:r>
      <w:bookmarkEnd w:id="160"/>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61" w:name="_Toc11039"/>
      <w:r>
        <w:rPr>
          <w:rFonts w:hint="eastAsia" w:ascii="宋体" w:hAnsi="宋体" w:eastAsia="宋体"/>
          <w:b/>
          <w:i w:val="0"/>
          <w:caps w:val="0"/>
          <w:color w:val="auto"/>
          <w:spacing w:val="0"/>
          <w:w w:val="100"/>
          <w:sz w:val="21"/>
          <w:szCs w:val="21"/>
        </w:rPr>
        <w:t>3.7投标文件的编制</w:t>
      </w:r>
      <w:bookmarkEnd w:id="150"/>
      <w:bookmarkEnd w:id="155"/>
      <w:bookmarkEnd w:id="156"/>
      <w:bookmarkEnd w:id="157"/>
      <w:bookmarkEnd w:id="158"/>
      <w:bookmarkEnd w:id="159"/>
      <w:bookmarkEnd w:id="161"/>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3.7.1投标文件应按第七章“投标文件格式”进行编写，如有必要，可以增加附页，作为投标文件的组成部分。其中，投标函在满足招标文件实质性要求的基础上，可以提出比招标文件要求更有利于招标人的承诺。</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3.7.3投标文件正本一份, 副本份数见投标人须知前附表。正本和副本的封面上应清楚地标记“正本”或“副本”的字样。当副本和正本不一致时，以正本为准。</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3.7.4投标文件的正本与副本应分别装订成册，并编制目录。</w:t>
      </w:r>
      <w:bookmarkStart w:id="162" w:name="_Toc144974523"/>
      <w:bookmarkStart w:id="163" w:name="_Toc152042331"/>
      <w:bookmarkStart w:id="164" w:name="_Toc245036622"/>
      <w:bookmarkStart w:id="165" w:name="_Toc323711769"/>
      <w:bookmarkStart w:id="166" w:name="_Toc392345931"/>
      <w:bookmarkStart w:id="167" w:name="_Toc152045555"/>
      <w:r>
        <w:rPr>
          <w:rFonts w:hint="eastAsia" w:ascii="宋体" w:hAnsi="宋体" w:cs="宋体"/>
          <w:b w:val="0"/>
          <w:i w:val="0"/>
          <w:caps w:val="0"/>
          <w:color w:val="auto"/>
          <w:spacing w:val="0"/>
          <w:w w:val="100"/>
          <w:sz w:val="21"/>
          <w:szCs w:val="21"/>
        </w:rPr>
        <w:t>具体装订要求见投标人须知前附表规定。</w:t>
      </w:r>
    </w:p>
    <w:p>
      <w:pPr>
        <w:pStyle w:val="48"/>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bookmarkStart w:id="168" w:name="_Toc7085"/>
      <w:r>
        <w:rPr>
          <w:rFonts w:hint="eastAsia" w:ascii="宋体" w:hAnsi="宋体" w:eastAsia="宋体"/>
          <w:b w:val="0"/>
          <w:i w:val="0"/>
          <w:caps w:val="0"/>
          <w:color w:val="auto"/>
          <w:spacing w:val="0"/>
          <w:w w:val="100"/>
          <w:sz w:val="21"/>
          <w:szCs w:val="21"/>
        </w:rPr>
        <w:t>4. 投标</w:t>
      </w:r>
      <w:bookmarkEnd w:id="162"/>
      <w:bookmarkEnd w:id="163"/>
      <w:bookmarkEnd w:id="164"/>
      <w:bookmarkEnd w:id="165"/>
      <w:bookmarkEnd w:id="166"/>
      <w:bookmarkEnd w:id="167"/>
      <w:bookmarkEnd w:id="168"/>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69" w:name="_Toc152045556"/>
      <w:bookmarkStart w:id="170" w:name="_Toc144974524"/>
      <w:bookmarkStart w:id="171" w:name="_Toc319407857"/>
      <w:bookmarkStart w:id="172" w:name="_Toc152042332"/>
      <w:bookmarkStart w:id="173" w:name="_Toc245036623"/>
      <w:bookmarkStart w:id="174" w:name="_Toc322615418"/>
      <w:bookmarkStart w:id="175" w:name="_Toc323711770"/>
      <w:bookmarkStart w:id="176" w:name="_Toc392345932"/>
      <w:bookmarkStart w:id="177" w:name="_Toc20016"/>
      <w:bookmarkStart w:id="178" w:name="_Toc319408092"/>
      <w:r>
        <w:rPr>
          <w:rFonts w:hint="eastAsia" w:ascii="宋体" w:hAnsi="宋体" w:eastAsia="宋体"/>
          <w:b/>
          <w:i w:val="0"/>
          <w:caps w:val="0"/>
          <w:color w:val="auto"/>
          <w:spacing w:val="0"/>
          <w:w w:val="100"/>
          <w:sz w:val="21"/>
          <w:szCs w:val="21"/>
        </w:rPr>
        <w:t>4.1 投标文件的密封和标记</w:t>
      </w:r>
      <w:bookmarkEnd w:id="169"/>
      <w:bookmarkEnd w:id="170"/>
      <w:bookmarkEnd w:id="171"/>
      <w:bookmarkEnd w:id="172"/>
      <w:bookmarkEnd w:id="173"/>
      <w:bookmarkEnd w:id="174"/>
      <w:bookmarkEnd w:id="175"/>
      <w:bookmarkEnd w:id="176"/>
      <w:bookmarkEnd w:id="177"/>
      <w:bookmarkEnd w:id="178"/>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4.1.1投标文件的正本与副本</w:t>
      </w:r>
      <w:r>
        <w:rPr>
          <w:rFonts w:hint="eastAsia" w:ascii="宋体" w:hAnsi="宋体" w:cs="宋体"/>
          <w:b w:val="0"/>
          <w:i w:val="0"/>
          <w:caps w:val="0"/>
          <w:strike/>
          <w:color w:val="auto"/>
          <w:spacing w:val="0"/>
          <w:w w:val="100"/>
          <w:sz w:val="21"/>
          <w:szCs w:val="21"/>
        </w:rPr>
        <w:t>可分开或</w:t>
      </w:r>
      <w:r>
        <w:rPr>
          <w:rFonts w:hint="eastAsia" w:ascii="宋体" w:hAnsi="宋体" w:cs="宋体"/>
          <w:b w:val="0"/>
          <w:i w:val="0"/>
          <w:caps w:val="0"/>
          <w:color w:val="auto"/>
          <w:spacing w:val="0"/>
          <w:w w:val="100"/>
          <w:sz w:val="21"/>
          <w:szCs w:val="21"/>
        </w:rPr>
        <w:t>合并密封包装（包装要求见投标人须知前附表）。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4.1.2 投标文件封套上应写明的内容见投标人须知前附表。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79" w:name="_Toc245036624"/>
      <w:bookmarkStart w:id="180" w:name="_Toc144974525"/>
      <w:bookmarkStart w:id="181" w:name="_Toc322615419"/>
      <w:bookmarkStart w:id="182" w:name="_Toc392345933"/>
      <w:bookmarkStart w:id="183" w:name="_Toc152042333"/>
      <w:bookmarkStart w:id="184" w:name="_Toc323711771"/>
      <w:bookmarkStart w:id="185" w:name="_Toc28433"/>
      <w:bookmarkStart w:id="186" w:name="_Toc152045557"/>
      <w:bookmarkStart w:id="187" w:name="_Toc319407858"/>
      <w:bookmarkStart w:id="188" w:name="_Toc319408093"/>
      <w:r>
        <w:rPr>
          <w:rFonts w:hint="eastAsia" w:ascii="宋体" w:hAnsi="宋体" w:eastAsia="宋体"/>
          <w:b/>
          <w:i w:val="0"/>
          <w:caps w:val="0"/>
          <w:color w:val="auto"/>
          <w:spacing w:val="0"/>
          <w:w w:val="100"/>
          <w:sz w:val="21"/>
          <w:szCs w:val="21"/>
        </w:rPr>
        <w:t>4.2 投标文件的递交</w:t>
      </w:r>
      <w:bookmarkEnd w:id="179"/>
      <w:bookmarkEnd w:id="180"/>
      <w:bookmarkEnd w:id="181"/>
      <w:bookmarkEnd w:id="182"/>
      <w:bookmarkEnd w:id="183"/>
      <w:bookmarkEnd w:id="184"/>
      <w:bookmarkEnd w:id="185"/>
      <w:bookmarkEnd w:id="186"/>
      <w:bookmarkEnd w:id="187"/>
      <w:bookmarkEnd w:id="188"/>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4.2.1 投标人应在前附表第2.2.2项规定的投标截止时间前递交投标文件。</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4.2.2 投标人递交投标文件的地点：见投标人须知前附表。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4.2.3 除投标人须知前附表另有规定外，投标人所递交的投标文件不予退还。</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strike/>
          <w:color w:val="auto"/>
          <w:spacing w:val="0"/>
          <w:w w:val="100"/>
          <w:sz w:val="20"/>
          <w:szCs w:val="21"/>
        </w:rPr>
      </w:pPr>
      <w:r>
        <w:rPr>
          <w:rFonts w:hint="eastAsia" w:ascii="宋体" w:hAnsi="宋体" w:cs="宋体"/>
          <w:b w:val="0"/>
          <w:i w:val="0"/>
          <w:caps w:val="0"/>
          <w:strike/>
          <w:color w:val="auto"/>
          <w:spacing w:val="0"/>
          <w:w w:val="100"/>
          <w:sz w:val="21"/>
          <w:szCs w:val="21"/>
        </w:rPr>
        <w:t>4.2.4 招标人收到投标文件后，向投标人出具签收凭证。</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89" w:name="_Toc322615420"/>
      <w:bookmarkStart w:id="190" w:name="_Toc152042334"/>
      <w:bookmarkStart w:id="191" w:name="_Toc392345934"/>
      <w:bookmarkStart w:id="192" w:name="_Toc152045558"/>
      <w:bookmarkStart w:id="193" w:name="_Toc319407859"/>
      <w:bookmarkStart w:id="194" w:name="_Toc21598"/>
      <w:bookmarkStart w:id="195" w:name="_Toc323711772"/>
      <w:bookmarkStart w:id="196" w:name="_Toc245036625"/>
      <w:bookmarkStart w:id="197" w:name="_Toc144974526"/>
      <w:bookmarkStart w:id="198" w:name="_Toc319408094"/>
      <w:r>
        <w:rPr>
          <w:rFonts w:hint="eastAsia" w:ascii="宋体" w:hAnsi="宋体" w:eastAsia="宋体"/>
          <w:b/>
          <w:i w:val="0"/>
          <w:caps w:val="0"/>
          <w:color w:val="auto"/>
          <w:spacing w:val="0"/>
          <w:w w:val="100"/>
          <w:sz w:val="21"/>
          <w:szCs w:val="21"/>
        </w:rPr>
        <w:t>4.3 投标文件的修改与撤回</w:t>
      </w:r>
      <w:bookmarkEnd w:id="189"/>
      <w:bookmarkEnd w:id="190"/>
      <w:bookmarkEnd w:id="191"/>
      <w:bookmarkEnd w:id="192"/>
      <w:bookmarkEnd w:id="193"/>
      <w:bookmarkEnd w:id="194"/>
      <w:bookmarkEnd w:id="195"/>
      <w:bookmarkEnd w:id="196"/>
      <w:bookmarkEnd w:id="197"/>
      <w:bookmarkEnd w:id="198"/>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4.3.1 在前附表第2.2.2项规定的投标截止时间前，投标人可以修改或撤回已递交的投标文件，但应以书面形式通知招标人。</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4.3.2 投标人修改或撤回已递交投标文件的书面通知应按照本章第3.7.2项的要求签字或盖章。4.3.3 修改的内容为投标文件的组成部分。修改的投标文件应按照本章第3条、第4条规定进行编制、密封、标记和递交，并标明“修改”字样。</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199" w:name="_Toc14614"/>
      <w:bookmarkStart w:id="200" w:name="_Toc392345935"/>
      <w:r>
        <w:rPr>
          <w:rFonts w:hint="eastAsia" w:ascii="宋体" w:hAnsi="宋体" w:eastAsia="宋体"/>
          <w:b/>
          <w:i w:val="0"/>
          <w:caps w:val="0"/>
          <w:color w:val="auto"/>
          <w:spacing w:val="0"/>
          <w:w w:val="100"/>
          <w:sz w:val="21"/>
          <w:szCs w:val="21"/>
        </w:rPr>
        <w:t>4.4 投标文件的拒收情形</w:t>
      </w:r>
      <w:bookmarkEnd w:id="199"/>
      <w:bookmarkEnd w:id="200"/>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详见投标人须知前附表。</w:t>
      </w:r>
      <w:bookmarkStart w:id="201" w:name="_Toc392345936"/>
      <w:bookmarkStart w:id="202" w:name="_Toc18369"/>
    </w:p>
    <w:p>
      <w:pPr>
        <w:snapToGrid w:val="0"/>
        <w:spacing w:before="0" w:beforeAutospacing="0" w:after="0" w:afterAutospacing="0" w:line="400" w:lineRule="exact"/>
        <w:ind w:firstLine="422"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5. 开标</w:t>
      </w:r>
      <w:bookmarkEnd w:id="151"/>
      <w:bookmarkEnd w:id="152"/>
      <w:bookmarkEnd w:id="153"/>
      <w:bookmarkEnd w:id="154"/>
      <w:r>
        <w:rPr>
          <w:rFonts w:hint="eastAsia" w:ascii="宋体" w:hAnsi="宋体" w:cs="宋体"/>
          <w:b/>
          <w:bCs/>
          <w:i w:val="0"/>
          <w:caps w:val="0"/>
          <w:color w:val="auto"/>
          <w:spacing w:val="0"/>
          <w:w w:val="100"/>
          <w:sz w:val="21"/>
          <w:szCs w:val="21"/>
        </w:rPr>
        <w:t>程序</w:t>
      </w:r>
      <w:bookmarkEnd w:id="201"/>
      <w:bookmarkEnd w:id="202"/>
      <w:r>
        <w:rPr>
          <w:rFonts w:hint="eastAsia" w:ascii="宋体" w:hAnsi="宋体" w:cs="宋体"/>
          <w:b/>
          <w:bCs/>
          <w:i w:val="0"/>
          <w:caps w:val="0"/>
          <w:color w:val="auto"/>
          <w:spacing w:val="0"/>
          <w:w w:val="100"/>
          <w:sz w:val="21"/>
          <w:szCs w:val="21"/>
        </w:rPr>
        <w:t>（为确保开评标现场的疫情防控安全，到现场参与开评标的各类人员应出示健康码。为减少人员聚集程度及滞留时间，投标人不需在开标现场。）</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03" w:name="_Toc144974528"/>
      <w:bookmarkStart w:id="204" w:name="_Toc152045560"/>
      <w:bookmarkStart w:id="205" w:name="_Toc152042336"/>
      <w:bookmarkStart w:id="206" w:name="_Toc229646741"/>
      <w:bookmarkStart w:id="207" w:name="_Toc392345937"/>
      <w:bookmarkStart w:id="208" w:name="_Toc13624"/>
      <w:r>
        <w:rPr>
          <w:rFonts w:hint="eastAsia" w:ascii="宋体" w:hAnsi="宋体" w:eastAsia="宋体"/>
          <w:b/>
          <w:i w:val="0"/>
          <w:caps w:val="0"/>
          <w:color w:val="auto"/>
          <w:spacing w:val="0"/>
          <w:w w:val="100"/>
          <w:sz w:val="21"/>
          <w:szCs w:val="21"/>
        </w:rPr>
        <w:t>5.1 开标时间和地点</w:t>
      </w:r>
      <w:bookmarkEnd w:id="203"/>
      <w:bookmarkEnd w:id="204"/>
      <w:bookmarkEnd w:id="205"/>
      <w:bookmarkEnd w:id="206"/>
      <w:bookmarkEnd w:id="207"/>
      <w:r>
        <w:rPr>
          <w:rFonts w:hint="eastAsia" w:ascii="宋体" w:hAnsi="宋体" w:eastAsia="宋体"/>
          <w:b/>
          <w:i w:val="0"/>
          <w:caps w:val="0"/>
          <w:color w:val="auto"/>
          <w:spacing w:val="0"/>
          <w:w w:val="100"/>
          <w:sz w:val="21"/>
          <w:szCs w:val="21"/>
        </w:rPr>
        <w:t>、参加开标会议的要求</w:t>
      </w:r>
      <w:bookmarkEnd w:id="208"/>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招标人在投标人须知前附表第2.2.2项规定的投标截止时间（开标时间）和投标人须知前附表规定的地点公开开标，参加开标会议的要求见投标人须知前附表。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09" w:name="_Toc392345938"/>
      <w:bookmarkStart w:id="210" w:name="_Toc28832"/>
      <w:bookmarkStart w:id="211" w:name="_Toc229646742"/>
      <w:bookmarkStart w:id="212" w:name="_Toc144974529"/>
      <w:bookmarkStart w:id="213" w:name="_Toc152045561"/>
      <w:bookmarkStart w:id="214" w:name="_Toc152042337"/>
      <w:r>
        <w:rPr>
          <w:rFonts w:hint="eastAsia" w:ascii="宋体" w:hAnsi="宋体" w:eastAsia="宋体"/>
          <w:b/>
          <w:i w:val="0"/>
          <w:caps w:val="0"/>
          <w:color w:val="auto"/>
          <w:spacing w:val="0"/>
          <w:w w:val="100"/>
          <w:sz w:val="21"/>
          <w:szCs w:val="21"/>
        </w:rPr>
        <w:t>5.2 开标</w:t>
      </w:r>
      <w:bookmarkEnd w:id="209"/>
      <w:bookmarkEnd w:id="210"/>
      <w:bookmarkEnd w:id="211"/>
      <w:bookmarkEnd w:id="212"/>
      <w:bookmarkEnd w:id="213"/>
      <w:bookmarkEnd w:id="214"/>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215" w:name="_Toc144974530"/>
      <w:bookmarkStart w:id="216" w:name="_Toc152045562"/>
      <w:bookmarkStart w:id="217" w:name="_Toc152042338"/>
      <w:r>
        <w:rPr>
          <w:rFonts w:hint="eastAsia" w:ascii="宋体" w:hAnsi="宋体" w:cs="宋体"/>
          <w:b w:val="0"/>
          <w:i w:val="0"/>
          <w:caps w:val="0"/>
          <w:color w:val="auto"/>
          <w:spacing w:val="0"/>
          <w:w w:val="100"/>
          <w:sz w:val="21"/>
          <w:szCs w:val="21"/>
        </w:rPr>
        <w:t>主持人按下列程序进行开标：</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218" w:name="_Toc296602450"/>
      <w:r>
        <w:rPr>
          <w:rFonts w:hint="eastAsia" w:ascii="宋体" w:hAnsi="宋体" w:cs="宋体"/>
          <w:b w:val="0"/>
          <w:i w:val="0"/>
          <w:caps w:val="0"/>
          <w:color w:val="auto"/>
          <w:spacing w:val="0"/>
          <w:w w:val="100"/>
          <w:sz w:val="21"/>
          <w:szCs w:val="21"/>
        </w:rPr>
        <w:t>（1）宣布开标纪律；</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（2）公布在投标截止时间前递交投标文件的投标人名称，</w:t>
      </w:r>
      <w:r>
        <w:rPr>
          <w:rFonts w:hint="eastAsia" w:ascii="宋体" w:hAnsi="宋体" w:cs="宋体"/>
          <w:b/>
          <w:bCs/>
          <w:i w:val="0"/>
          <w:caps w:val="0"/>
          <w:color w:val="auto"/>
          <w:spacing w:val="0"/>
          <w:w w:val="100"/>
          <w:sz w:val="21"/>
          <w:szCs w:val="21"/>
        </w:rPr>
        <w:t>投标人不需到场</w:t>
      </w:r>
      <w:r>
        <w:rPr>
          <w:rFonts w:hint="eastAsia" w:ascii="宋体" w:hAnsi="宋体" w:cs="宋体"/>
          <w:b w:val="0"/>
          <w:i w:val="0"/>
          <w:caps w:val="0"/>
          <w:color w:val="auto"/>
          <w:spacing w:val="0"/>
          <w:w w:val="100"/>
          <w:sz w:val="21"/>
          <w:szCs w:val="21"/>
        </w:rPr>
        <w:t>。</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（3）宣布开标人、唱标人、记录人、监标人等有关人员姓名；</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（4）按照投标人须知前附表规定检查投标文件的密封情况；</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（5）按照投标人须知前附表的规定确定并宣布投标文件开标顺序；</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strike/>
          <w:color w:val="auto"/>
          <w:spacing w:val="0"/>
          <w:w w:val="100"/>
          <w:sz w:val="21"/>
          <w:szCs w:val="21"/>
        </w:rPr>
        <w:t>（6）设有标底的，公布标底；</w:t>
      </w:r>
      <w:r>
        <w:rPr>
          <w:rFonts w:hint="eastAsia" w:ascii="宋体" w:hAnsi="宋体" w:cs="宋体"/>
          <w:b w:val="0"/>
          <w:i w:val="0"/>
          <w:caps w:val="0"/>
          <w:color w:val="auto"/>
          <w:spacing w:val="0"/>
          <w:w w:val="100"/>
          <w:sz w:val="21"/>
          <w:szCs w:val="21"/>
        </w:rPr>
        <w:t xml:space="preserve"> </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（7）按照宣布的开标顺序当众开标，公布投标人名称、标段名称、投标保证金的递交情况，评标委员会先对投标人进行资格审查；</w:t>
      </w:r>
    </w:p>
    <w:p>
      <w:pPr>
        <w:snapToGrid w:val="0"/>
        <w:spacing w:before="0" w:beforeAutospacing="0" w:after="0" w:afterAutospacing="0" w:line="400" w:lineRule="exact"/>
        <w:ind w:firstLine="420" w:firstLineChars="200"/>
        <w:jc w:val="both"/>
        <w:textAlignment w:val="baseline"/>
        <w:rPr>
          <w:rFonts w:ascii="宋体" w:hAnsi="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r>
        <w:rPr>
          <w:rFonts w:hint="eastAsia" w:ascii="宋体" w:hAnsi="宋体"/>
          <w:b w:val="0"/>
          <w:i w:val="0"/>
          <w:caps w:val="0"/>
          <w:color w:val="auto"/>
          <w:spacing w:val="0"/>
          <w:w w:val="100"/>
          <w:sz w:val="21"/>
          <w:szCs w:val="21"/>
        </w:rPr>
        <w:t>启封技术标，由评标委员会对投标人的技术标进行综合评议并打分，宣布各投标人技术标得分；</w:t>
      </w:r>
    </w:p>
    <w:p>
      <w:pPr>
        <w:snapToGrid w:val="0"/>
        <w:spacing w:before="0" w:beforeAutospacing="0" w:after="0" w:afterAutospacing="0" w:line="400" w:lineRule="exact"/>
        <w:ind w:left="420" w:leftChars="200"/>
        <w:jc w:val="both"/>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（9）启封商务标，评标委员会对商务标进行评议并计算得分，宣布商务标得分；</w:t>
      </w:r>
    </w:p>
    <w:p>
      <w:pPr>
        <w:snapToGrid w:val="0"/>
        <w:spacing w:before="0" w:beforeAutospacing="0" w:after="0" w:afterAutospacing="0" w:line="400" w:lineRule="exact"/>
        <w:ind w:left="420" w:leftChars="200"/>
        <w:jc w:val="both"/>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（10）宣布各投标人总得分，宣布中标候选人；</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w:t>
      </w:r>
      <w:r>
        <w:rPr>
          <w:rFonts w:hint="eastAsia" w:ascii="宋体" w:hAnsi="宋体" w:cs="宋体"/>
          <w:b w:val="0"/>
          <w:i w:val="0"/>
          <w:caps w:val="0"/>
          <w:strike/>
          <w:color w:val="auto"/>
          <w:spacing w:val="0"/>
          <w:w w:val="100"/>
          <w:sz w:val="21"/>
          <w:szCs w:val="21"/>
        </w:rPr>
        <w:t>投标人代表</w:t>
      </w:r>
      <w:r>
        <w:rPr>
          <w:rFonts w:hint="eastAsia" w:ascii="宋体" w:hAnsi="宋体" w:cs="宋体"/>
          <w:b/>
          <w:bCs/>
          <w:i w:val="0"/>
          <w:caps w:val="0"/>
          <w:color w:val="auto"/>
          <w:spacing w:val="0"/>
          <w:w w:val="100"/>
          <w:sz w:val="21"/>
          <w:szCs w:val="21"/>
        </w:rPr>
        <w:t>（投标人不需签字确认）</w:t>
      </w:r>
      <w:r>
        <w:rPr>
          <w:rFonts w:hint="eastAsia" w:ascii="宋体" w:hAnsi="宋体" w:cs="宋体"/>
          <w:b w:val="0"/>
          <w:i w:val="0"/>
          <w:caps w:val="0"/>
          <w:color w:val="auto"/>
          <w:spacing w:val="0"/>
          <w:w w:val="100"/>
          <w:sz w:val="21"/>
          <w:szCs w:val="21"/>
        </w:rPr>
        <w:t>、招标人代表、监标人、记录人等有关人员在开标记录上签字确认；</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w:t>
      </w:r>
      <w:r>
        <w:rPr>
          <w:rFonts w:hint="eastAsia" w:ascii="宋体" w:hAnsi="宋体"/>
          <w:b w:val="0"/>
          <w:i w:val="0"/>
          <w:caps w:val="0"/>
          <w:color w:val="auto"/>
          <w:spacing w:val="0"/>
          <w:w w:val="100"/>
          <w:sz w:val="21"/>
          <w:szCs w:val="21"/>
        </w:rPr>
        <w:t>根据招标人要求，公证员对开标评标全过程进行公证</w:t>
      </w:r>
      <w:r>
        <w:rPr>
          <w:rFonts w:hint="eastAsia" w:ascii="宋体" w:hAnsi="宋体" w:cs="宋体"/>
          <w:b w:val="0"/>
          <w:i w:val="0"/>
          <w:caps w:val="0"/>
          <w:color w:val="auto"/>
          <w:spacing w:val="0"/>
          <w:w w:val="100"/>
          <w:sz w:val="21"/>
          <w:szCs w:val="21"/>
        </w:rPr>
        <w:t>。</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19" w:name="_Toc624"/>
      <w:bookmarkStart w:id="220" w:name="_Toc392345939"/>
      <w:r>
        <w:rPr>
          <w:rFonts w:hint="eastAsia" w:ascii="宋体" w:hAnsi="宋体" w:eastAsia="宋体"/>
          <w:b/>
          <w:i w:val="0"/>
          <w:caps w:val="0"/>
          <w:color w:val="auto"/>
          <w:spacing w:val="0"/>
          <w:w w:val="100"/>
          <w:sz w:val="21"/>
          <w:szCs w:val="21"/>
        </w:rPr>
        <w:t>5.3 开标异议</w:t>
      </w:r>
      <w:bookmarkEnd w:id="218"/>
      <w:bookmarkEnd w:id="219"/>
      <w:bookmarkEnd w:id="220"/>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投标人对开标有异议的，应当在开标现场提出，招标人当场作出答复，并制作记录。</w:t>
      </w:r>
    </w:p>
    <w:p>
      <w:pPr>
        <w:pStyle w:val="48"/>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bookmarkStart w:id="221" w:name="_Toc21142"/>
      <w:bookmarkStart w:id="222" w:name="_Toc229646744"/>
      <w:bookmarkStart w:id="223" w:name="_Toc392345940"/>
      <w:r>
        <w:rPr>
          <w:rFonts w:hint="eastAsia" w:ascii="宋体" w:hAnsi="宋体" w:eastAsia="宋体"/>
          <w:b w:val="0"/>
          <w:i w:val="0"/>
          <w:caps w:val="0"/>
          <w:color w:val="auto"/>
          <w:spacing w:val="0"/>
          <w:w w:val="100"/>
          <w:sz w:val="21"/>
          <w:szCs w:val="21"/>
        </w:rPr>
        <w:t>6. 评标</w:t>
      </w:r>
      <w:bookmarkEnd w:id="215"/>
      <w:bookmarkEnd w:id="216"/>
      <w:bookmarkEnd w:id="217"/>
      <w:bookmarkEnd w:id="221"/>
      <w:bookmarkEnd w:id="222"/>
      <w:bookmarkEnd w:id="223"/>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24" w:name="_Toc144974531"/>
      <w:bookmarkStart w:id="225" w:name="_Toc7251"/>
      <w:bookmarkStart w:id="226" w:name="_Toc152042339"/>
      <w:bookmarkStart w:id="227" w:name="_Toc392345941"/>
      <w:bookmarkStart w:id="228" w:name="_Toc152045563"/>
      <w:bookmarkStart w:id="229" w:name="_Toc229646745"/>
      <w:r>
        <w:rPr>
          <w:rFonts w:hint="eastAsia" w:ascii="宋体" w:hAnsi="宋体" w:eastAsia="宋体"/>
          <w:b/>
          <w:i w:val="0"/>
          <w:caps w:val="0"/>
          <w:color w:val="auto"/>
          <w:spacing w:val="0"/>
          <w:w w:val="100"/>
          <w:sz w:val="21"/>
          <w:szCs w:val="21"/>
        </w:rPr>
        <w:t>6.1 评标委员会</w:t>
      </w:r>
      <w:bookmarkEnd w:id="224"/>
      <w:bookmarkEnd w:id="225"/>
      <w:bookmarkEnd w:id="226"/>
      <w:bookmarkEnd w:id="227"/>
      <w:bookmarkEnd w:id="228"/>
      <w:bookmarkEnd w:id="229"/>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230" w:name="_Toc144974532"/>
      <w:bookmarkStart w:id="231" w:name="_Toc152045564"/>
      <w:bookmarkStart w:id="232" w:name="_Toc229646746"/>
      <w:bookmarkStart w:id="233" w:name="_Toc152042340"/>
      <w:r>
        <w:rPr>
          <w:rFonts w:hint="eastAsia" w:ascii="宋体" w:hAnsi="宋体" w:cs="宋体"/>
          <w:b w:val="0"/>
          <w:i w:val="0"/>
          <w:caps w:val="0"/>
          <w:color w:val="auto"/>
          <w:spacing w:val="0"/>
          <w:w w:val="100"/>
          <w:sz w:val="21"/>
          <w:szCs w:val="21"/>
        </w:rPr>
        <w:t>6.1.1 评标由招标人依法组建的评标委员会负责。评标委员会成员人数以及技术、经济等方面专家的确定方式见投标人须知前附表。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6.1.2 评标委员会成员有下列情形之一的，应当回避：</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（1）招标人或投标人的主要负责人的近亲属；</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（2）项目主管部门或者行政监督部门的人员；</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（3）与投标人有经济利益关系，可能影响对投标公正评审的；</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（4）曾因在招标、评标以及其他与招标投标有关活动中从事违法行为而受过行政处罚或刑事处罚的。</w:t>
      </w:r>
    </w:p>
    <w:p>
      <w:pPr>
        <w:pStyle w:val="49"/>
        <w:tabs>
          <w:tab w:val="left" w:pos="2620"/>
        </w:tabs>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34" w:name="_Toc28610"/>
      <w:bookmarkStart w:id="235" w:name="_Toc392345942"/>
      <w:r>
        <w:rPr>
          <w:rFonts w:hint="eastAsia" w:ascii="宋体" w:hAnsi="宋体" w:eastAsia="宋体"/>
          <w:b/>
          <w:i w:val="0"/>
          <w:caps w:val="0"/>
          <w:color w:val="auto"/>
          <w:spacing w:val="0"/>
          <w:w w:val="100"/>
          <w:sz w:val="21"/>
          <w:szCs w:val="21"/>
        </w:rPr>
        <w:t>6.2 评标原则</w:t>
      </w:r>
      <w:bookmarkEnd w:id="230"/>
      <w:bookmarkEnd w:id="231"/>
      <w:bookmarkEnd w:id="232"/>
      <w:bookmarkEnd w:id="233"/>
      <w:bookmarkEnd w:id="234"/>
      <w:bookmarkEnd w:id="235"/>
      <w:r>
        <w:rPr>
          <w:rFonts w:hint="eastAsia" w:ascii="宋体" w:hAnsi="宋体" w:eastAsia="宋体"/>
          <w:b/>
          <w:i w:val="0"/>
          <w:caps w:val="0"/>
          <w:color w:val="auto"/>
          <w:spacing w:val="0"/>
          <w:w w:val="100"/>
          <w:sz w:val="21"/>
          <w:szCs w:val="21"/>
        </w:rPr>
        <w:tab/>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评标活动遵循公平、公正、科学和择优的原则。</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u w:val="single"/>
        </w:rPr>
      </w:pPr>
      <w:bookmarkStart w:id="236" w:name="_Toc229646747"/>
      <w:bookmarkStart w:id="237" w:name="_Toc152042341"/>
      <w:bookmarkStart w:id="238" w:name="_Toc152045565"/>
      <w:bookmarkStart w:id="239" w:name="_Toc392345943"/>
      <w:bookmarkStart w:id="240" w:name="_Toc1522"/>
      <w:bookmarkStart w:id="241" w:name="_Toc144974533"/>
      <w:r>
        <w:rPr>
          <w:rFonts w:hint="eastAsia" w:ascii="宋体" w:hAnsi="宋体" w:eastAsia="宋体"/>
          <w:b/>
          <w:i w:val="0"/>
          <w:caps w:val="0"/>
          <w:color w:val="auto"/>
          <w:spacing w:val="0"/>
          <w:w w:val="100"/>
          <w:sz w:val="21"/>
          <w:szCs w:val="21"/>
        </w:rPr>
        <w:t>6.3 评标</w:t>
      </w:r>
      <w:bookmarkEnd w:id="236"/>
      <w:bookmarkEnd w:id="237"/>
      <w:bookmarkEnd w:id="238"/>
      <w:bookmarkEnd w:id="239"/>
      <w:bookmarkEnd w:id="240"/>
      <w:bookmarkEnd w:id="241"/>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242" w:name="_Toc144974534"/>
      <w:bookmarkStart w:id="243" w:name="_Toc152045566"/>
      <w:bookmarkStart w:id="244" w:name="_Toc152042342"/>
      <w:bookmarkStart w:id="245" w:name="_Toc229646748"/>
      <w:r>
        <w:rPr>
          <w:rFonts w:hint="eastAsia" w:ascii="宋体" w:hAnsi="宋体" w:cs="宋体"/>
          <w:b w:val="0"/>
          <w:i w:val="0"/>
          <w:caps w:val="0"/>
          <w:color w:val="auto"/>
          <w:spacing w:val="0"/>
          <w:w w:val="100"/>
          <w:sz w:val="21"/>
          <w:szCs w:val="21"/>
        </w:rPr>
        <w:t>评标方法见投标人须知前附表，评标委员会按照招标文件规定的评标标准和方法，客观、公正地对投标文件提出评审意见。招标文件没有规定的评标标准和方法，不作为评标依据。</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46" w:name="_Toc27286"/>
      <w:bookmarkStart w:id="247" w:name="_Toc413488678"/>
      <w:r>
        <w:rPr>
          <w:rFonts w:hint="eastAsia" w:ascii="宋体" w:hAnsi="宋体" w:eastAsia="宋体"/>
          <w:b/>
          <w:i w:val="0"/>
          <w:caps w:val="0"/>
          <w:color w:val="auto"/>
          <w:spacing w:val="0"/>
          <w:w w:val="100"/>
          <w:sz w:val="21"/>
          <w:szCs w:val="21"/>
        </w:rPr>
        <w:t>6.4中标候选人公示媒介</w:t>
      </w:r>
      <w:bookmarkEnd w:id="246"/>
      <w:bookmarkEnd w:id="247"/>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见投标人须知前附表。</w:t>
      </w:r>
    </w:p>
    <w:p>
      <w:pPr>
        <w:pStyle w:val="48"/>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bookmarkStart w:id="248" w:name="_Toc31997"/>
      <w:bookmarkStart w:id="249" w:name="_Toc392345944"/>
      <w:r>
        <w:rPr>
          <w:rFonts w:hint="eastAsia" w:ascii="宋体" w:hAnsi="宋体" w:eastAsia="宋体"/>
          <w:b w:val="0"/>
          <w:i w:val="0"/>
          <w:caps w:val="0"/>
          <w:color w:val="auto"/>
          <w:spacing w:val="0"/>
          <w:w w:val="100"/>
          <w:sz w:val="21"/>
          <w:szCs w:val="21"/>
        </w:rPr>
        <w:t>7. 合同授予</w:t>
      </w:r>
      <w:bookmarkEnd w:id="242"/>
      <w:bookmarkEnd w:id="243"/>
      <w:bookmarkEnd w:id="244"/>
      <w:bookmarkEnd w:id="245"/>
      <w:bookmarkEnd w:id="248"/>
      <w:bookmarkEnd w:id="249"/>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50" w:name="_Toc152045567"/>
      <w:bookmarkStart w:id="251" w:name="_Toc229646749"/>
      <w:bookmarkStart w:id="252" w:name="_Toc8962"/>
      <w:bookmarkStart w:id="253" w:name="_Toc152042343"/>
      <w:bookmarkStart w:id="254" w:name="_Toc144974535"/>
      <w:bookmarkStart w:id="255" w:name="_Toc392345945"/>
      <w:r>
        <w:rPr>
          <w:rFonts w:hint="eastAsia" w:ascii="宋体" w:hAnsi="宋体" w:eastAsia="宋体"/>
          <w:b/>
          <w:i w:val="0"/>
          <w:caps w:val="0"/>
          <w:color w:val="auto"/>
          <w:spacing w:val="0"/>
          <w:w w:val="100"/>
          <w:sz w:val="21"/>
          <w:szCs w:val="21"/>
        </w:rPr>
        <w:t>7.1 定标方式</w:t>
      </w:r>
      <w:bookmarkEnd w:id="250"/>
      <w:bookmarkEnd w:id="251"/>
      <w:bookmarkEnd w:id="252"/>
      <w:bookmarkEnd w:id="253"/>
      <w:bookmarkEnd w:id="254"/>
      <w:bookmarkEnd w:id="255"/>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256" w:name="_Toc152045568"/>
      <w:bookmarkStart w:id="257" w:name="_Toc229646750"/>
      <w:bookmarkStart w:id="258" w:name="_Toc144974536"/>
      <w:bookmarkStart w:id="259" w:name="_Toc152042344"/>
      <w:r>
        <w:rPr>
          <w:rFonts w:hint="eastAsia" w:ascii="宋体" w:hAnsi="宋体" w:cs="宋体"/>
          <w:b w:val="0"/>
          <w:i w:val="0"/>
          <w:caps w:val="0"/>
          <w:color w:val="auto"/>
          <w:spacing w:val="0"/>
          <w:w w:val="100"/>
          <w:sz w:val="21"/>
          <w:szCs w:val="21"/>
        </w:rPr>
        <w:t>除投标人须知前附表规定评标委员会直接确定中标人外，招标人依据评标委员会推荐的中标候选人确定中标人，评标委员会推荐中标候选人的人数及定标方式见投标人须知前附表。</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60" w:name="_Toc392345946"/>
      <w:bookmarkStart w:id="261" w:name="_Toc32437"/>
      <w:r>
        <w:rPr>
          <w:rFonts w:hint="eastAsia" w:ascii="宋体" w:hAnsi="宋体" w:eastAsia="宋体"/>
          <w:b/>
          <w:i w:val="0"/>
          <w:caps w:val="0"/>
          <w:color w:val="auto"/>
          <w:spacing w:val="0"/>
          <w:w w:val="100"/>
          <w:sz w:val="21"/>
          <w:szCs w:val="21"/>
        </w:rPr>
        <w:t>7.2中标公示</w:t>
      </w:r>
      <w:bookmarkEnd w:id="256"/>
      <w:bookmarkEnd w:id="257"/>
      <w:bookmarkEnd w:id="258"/>
      <w:bookmarkEnd w:id="259"/>
      <w:bookmarkEnd w:id="260"/>
      <w:bookmarkEnd w:id="261"/>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招标人自确定中标候选人之日起，应在与发布招标公告或资格预审公告一致的媒介上发布中标公示 ，公示期为3个工作日。</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62" w:name="_Toc179632586"/>
      <w:bookmarkStart w:id="263" w:name="_Toc247085726"/>
      <w:bookmarkStart w:id="264" w:name="_Toc4618"/>
      <w:bookmarkStart w:id="265" w:name="_Toc246996212"/>
      <w:bookmarkStart w:id="266" w:name="_Toc296602458"/>
      <w:bookmarkStart w:id="267" w:name="_Toc246996955"/>
      <w:bookmarkStart w:id="268" w:name="_Toc392345947"/>
      <w:r>
        <w:rPr>
          <w:rFonts w:hint="eastAsia" w:ascii="宋体" w:hAnsi="宋体" w:eastAsia="宋体"/>
          <w:b/>
          <w:i w:val="0"/>
          <w:caps w:val="0"/>
          <w:color w:val="auto"/>
          <w:spacing w:val="0"/>
          <w:w w:val="100"/>
          <w:sz w:val="21"/>
          <w:szCs w:val="21"/>
        </w:rPr>
        <w:t>7.3 中标通知</w:t>
      </w:r>
      <w:bookmarkEnd w:id="262"/>
      <w:bookmarkEnd w:id="263"/>
      <w:bookmarkEnd w:id="264"/>
      <w:bookmarkEnd w:id="265"/>
      <w:bookmarkEnd w:id="266"/>
      <w:bookmarkEnd w:id="267"/>
      <w:bookmarkEnd w:id="268"/>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bookmarkStart w:id="269" w:name="_Toc179632587"/>
      <w:bookmarkStart w:id="270" w:name="_Toc392345948"/>
      <w:bookmarkStart w:id="271" w:name="_Toc246996213"/>
      <w:bookmarkStart w:id="272" w:name="_Toc246996956"/>
      <w:bookmarkStart w:id="273" w:name="_Toc247085727"/>
      <w:bookmarkStart w:id="274" w:name="_Toc296602459"/>
      <w:r>
        <w:rPr>
          <w:rFonts w:hint="eastAsia" w:ascii="宋体" w:hAnsi="宋体" w:cs="宋体"/>
          <w:b w:val="0"/>
          <w:i w:val="0"/>
          <w:caps w:val="0"/>
          <w:color w:val="auto"/>
          <w:spacing w:val="0"/>
          <w:w w:val="100"/>
          <w:sz w:val="21"/>
          <w:szCs w:val="21"/>
        </w:rPr>
        <w:t>7.3.1中标人确定后，招标人将在投标有效期内以书面形式向中标人发出中标通知书。</w:t>
      </w:r>
    </w:p>
    <w:p>
      <w:pPr>
        <w:pStyle w:val="8"/>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7.3.2招标人将在发出中标通知书的同时，将中标结果以书面形式通知所有未中标的投标人。</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75" w:name="_Toc30125"/>
      <w:r>
        <w:rPr>
          <w:rFonts w:hint="eastAsia" w:ascii="宋体" w:hAnsi="宋体" w:eastAsia="宋体"/>
          <w:b/>
          <w:i w:val="0"/>
          <w:caps w:val="0"/>
          <w:color w:val="auto"/>
          <w:spacing w:val="0"/>
          <w:w w:val="100"/>
          <w:sz w:val="21"/>
          <w:szCs w:val="21"/>
        </w:rPr>
        <w:t>7.4 履约担保</w:t>
      </w:r>
      <w:bookmarkEnd w:id="269"/>
      <w:bookmarkEnd w:id="270"/>
      <w:bookmarkEnd w:id="271"/>
      <w:bookmarkEnd w:id="272"/>
      <w:bookmarkEnd w:id="273"/>
      <w:bookmarkEnd w:id="274"/>
      <w:bookmarkEnd w:id="275"/>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276" w:name="_Toc247085728"/>
      <w:bookmarkStart w:id="277" w:name="_Toc246996957"/>
      <w:bookmarkStart w:id="278" w:name="_Toc152045570"/>
      <w:bookmarkStart w:id="279" w:name="_Toc144974538"/>
      <w:bookmarkStart w:id="280" w:name="_Toc152042346"/>
      <w:bookmarkStart w:id="281" w:name="_Toc296602460"/>
      <w:bookmarkStart w:id="282" w:name="_Toc179632588"/>
      <w:bookmarkStart w:id="283" w:name="_Toc246996214"/>
      <w:r>
        <w:rPr>
          <w:rFonts w:hint="eastAsia" w:ascii="宋体" w:hAnsi="宋体" w:cs="宋体"/>
          <w:b w:val="0"/>
          <w:i w:val="0"/>
          <w:caps w:val="0"/>
          <w:color w:val="auto"/>
          <w:spacing w:val="0"/>
          <w:w w:val="100"/>
          <w:sz w:val="21"/>
          <w:szCs w:val="21"/>
        </w:rPr>
        <w:t>7.4.1在签订合同前，中标人应按投标人须知前附表规定的金额、担保形式和招标文件第四章“合同条款及格式”规定的履约担保格式向招标人提交履约担保。</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7.4.2 中标人不能按本章第7.4.1项要求提交履约担保的，视为放弃中标，其投标保证金不予退还，给招标人造成的损失超过投标保证金数额的，中标人还应当对超过部分予以赔偿。</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84" w:name="_Toc392345949"/>
      <w:bookmarkStart w:id="285" w:name="_Toc32528"/>
      <w:r>
        <w:rPr>
          <w:rFonts w:hint="eastAsia" w:ascii="宋体" w:hAnsi="宋体" w:eastAsia="宋体"/>
          <w:b/>
          <w:i w:val="0"/>
          <w:caps w:val="0"/>
          <w:color w:val="auto"/>
          <w:spacing w:val="0"/>
          <w:w w:val="100"/>
          <w:sz w:val="21"/>
          <w:szCs w:val="21"/>
        </w:rPr>
        <w:t>7.5 签订合同</w:t>
      </w:r>
      <w:bookmarkEnd w:id="276"/>
      <w:bookmarkEnd w:id="277"/>
      <w:bookmarkEnd w:id="278"/>
      <w:bookmarkEnd w:id="279"/>
      <w:bookmarkEnd w:id="280"/>
      <w:bookmarkEnd w:id="281"/>
      <w:bookmarkEnd w:id="282"/>
      <w:bookmarkEnd w:id="283"/>
      <w:bookmarkEnd w:id="284"/>
      <w:bookmarkEnd w:id="285"/>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7.5.2 发出中标通知书后，招标人无正当理由拒签合同的，招标人向中标人退还投标保证金；给中标人造成损失的，还应当赔偿损失。</w:t>
      </w:r>
    </w:p>
    <w:p>
      <w:pPr>
        <w:pStyle w:val="48"/>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bookmarkStart w:id="286" w:name="_Toc24179"/>
      <w:bookmarkStart w:id="287" w:name="_Toc152042347"/>
      <w:bookmarkStart w:id="288" w:name="_Toc323711786"/>
      <w:bookmarkStart w:id="289" w:name="_Toc144974539"/>
      <w:bookmarkStart w:id="290" w:name="_Toc392345950"/>
      <w:bookmarkStart w:id="291" w:name="_Toc245036638"/>
      <w:bookmarkStart w:id="292" w:name="_Toc152045571"/>
      <w:r>
        <w:rPr>
          <w:rFonts w:hint="eastAsia" w:ascii="宋体" w:hAnsi="宋体" w:eastAsia="宋体"/>
          <w:b w:val="0"/>
          <w:i w:val="0"/>
          <w:caps w:val="0"/>
          <w:color w:val="auto"/>
          <w:spacing w:val="0"/>
          <w:w w:val="100"/>
          <w:sz w:val="21"/>
          <w:szCs w:val="21"/>
        </w:rPr>
        <w:t>8. 重新招标和不再招标</w:t>
      </w:r>
      <w:bookmarkEnd w:id="286"/>
      <w:bookmarkEnd w:id="287"/>
      <w:bookmarkEnd w:id="288"/>
      <w:bookmarkEnd w:id="289"/>
      <w:bookmarkEnd w:id="290"/>
      <w:bookmarkEnd w:id="291"/>
      <w:bookmarkEnd w:id="292"/>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293" w:name="_Toc392345951"/>
      <w:bookmarkStart w:id="294" w:name="_Toc144974540"/>
      <w:bookmarkStart w:id="295" w:name="_Toc319407873"/>
      <w:bookmarkStart w:id="296" w:name="_Toc245036639"/>
      <w:bookmarkStart w:id="297" w:name="_Toc17490"/>
      <w:bookmarkStart w:id="298" w:name="_Toc152045572"/>
      <w:bookmarkStart w:id="299" w:name="_Toc152042348"/>
      <w:bookmarkStart w:id="300" w:name="_Toc319408108"/>
      <w:bookmarkStart w:id="301" w:name="_Toc322615435"/>
      <w:bookmarkStart w:id="302" w:name="_Toc323711787"/>
      <w:r>
        <w:rPr>
          <w:rFonts w:hint="eastAsia" w:ascii="宋体" w:hAnsi="宋体" w:eastAsia="宋体"/>
          <w:b/>
          <w:i w:val="0"/>
          <w:caps w:val="0"/>
          <w:color w:val="auto"/>
          <w:spacing w:val="0"/>
          <w:w w:val="100"/>
          <w:sz w:val="21"/>
          <w:szCs w:val="21"/>
        </w:rPr>
        <w:t>8.1 重新招标</w:t>
      </w:r>
      <w:bookmarkEnd w:id="293"/>
      <w:bookmarkEnd w:id="294"/>
      <w:bookmarkEnd w:id="295"/>
      <w:bookmarkEnd w:id="296"/>
      <w:bookmarkEnd w:id="297"/>
      <w:bookmarkEnd w:id="298"/>
      <w:bookmarkEnd w:id="299"/>
      <w:bookmarkEnd w:id="300"/>
      <w:bookmarkEnd w:id="301"/>
      <w:bookmarkEnd w:id="302"/>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有下列情形之一的，招标人将重新招标：</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（1）投标截止时间止，投标人少于3个的；</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（2）经评标委员会评审后否决所有投标的。</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303" w:name="_Toc319408109"/>
      <w:bookmarkStart w:id="304" w:name="_Toc319407874"/>
      <w:bookmarkStart w:id="305" w:name="_Toc144974541"/>
      <w:bookmarkStart w:id="306" w:name="_Toc152045573"/>
      <w:bookmarkStart w:id="307" w:name="_Toc152042349"/>
      <w:bookmarkStart w:id="308" w:name="_Toc323711788"/>
      <w:bookmarkStart w:id="309" w:name="_Toc322615436"/>
      <w:bookmarkStart w:id="310" w:name="_Toc245036640"/>
      <w:bookmarkStart w:id="311" w:name="_Toc392345952"/>
      <w:bookmarkStart w:id="312" w:name="_Toc25234"/>
      <w:r>
        <w:rPr>
          <w:rFonts w:hint="eastAsia" w:ascii="宋体" w:hAnsi="宋体" w:eastAsia="宋体"/>
          <w:b/>
          <w:i w:val="0"/>
          <w:caps w:val="0"/>
          <w:color w:val="auto"/>
          <w:spacing w:val="0"/>
          <w:w w:val="100"/>
          <w:sz w:val="21"/>
          <w:szCs w:val="21"/>
        </w:rPr>
        <w:t>8.2 不再招标</w:t>
      </w:r>
      <w:bookmarkEnd w:id="303"/>
      <w:bookmarkEnd w:id="304"/>
      <w:bookmarkEnd w:id="305"/>
      <w:bookmarkEnd w:id="306"/>
      <w:bookmarkEnd w:id="307"/>
      <w:bookmarkEnd w:id="308"/>
      <w:bookmarkEnd w:id="309"/>
      <w:bookmarkEnd w:id="310"/>
      <w:bookmarkEnd w:id="311"/>
      <w:bookmarkEnd w:id="312"/>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重新招标后投标人仍少于3个的，经原审批或核准部门批准后不再进行招标。</w:t>
      </w:r>
    </w:p>
    <w:p>
      <w:pPr>
        <w:pStyle w:val="48"/>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bookmarkStart w:id="313" w:name="_Toc392345953"/>
      <w:bookmarkStart w:id="314" w:name="_Toc152045574"/>
      <w:bookmarkStart w:id="315" w:name="_Toc17513"/>
      <w:bookmarkStart w:id="316" w:name="_Toc245036641"/>
      <w:bookmarkStart w:id="317" w:name="_Toc144974542"/>
      <w:bookmarkStart w:id="318" w:name="_Toc323711789"/>
      <w:bookmarkStart w:id="319" w:name="_Toc152042350"/>
      <w:r>
        <w:rPr>
          <w:rFonts w:hint="eastAsia" w:ascii="宋体" w:hAnsi="宋体" w:eastAsia="宋体"/>
          <w:b w:val="0"/>
          <w:i w:val="0"/>
          <w:caps w:val="0"/>
          <w:color w:val="auto"/>
          <w:spacing w:val="0"/>
          <w:w w:val="100"/>
          <w:sz w:val="21"/>
          <w:szCs w:val="21"/>
        </w:rPr>
        <w:t>9. 纪律和监督</w:t>
      </w:r>
      <w:bookmarkEnd w:id="313"/>
      <w:bookmarkEnd w:id="314"/>
      <w:bookmarkEnd w:id="315"/>
      <w:bookmarkEnd w:id="316"/>
      <w:bookmarkEnd w:id="317"/>
      <w:bookmarkEnd w:id="318"/>
      <w:bookmarkEnd w:id="319"/>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320" w:name="_Toc322615438"/>
      <w:bookmarkStart w:id="321" w:name="_Toc144974543"/>
      <w:bookmarkStart w:id="322" w:name="_Toc323711790"/>
      <w:bookmarkStart w:id="323" w:name="_Toc319407876"/>
      <w:bookmarkStart w:id="324" w:name="_Toc9358"/>
      <w:bookmarkStart w:id="325" w:name="_Toc152042351"/>
      <w:bookmarkStart w:id="326" w:name="_Toc319408111"/>
      <w:bookmarkStart w:id="327" w:name="_Toc245036642"/>
      <w:bookmarkStart w:id="328" w:name="_Toc392345954"/>
      <w:bookmarkStart w:id="329" w:name="_Toc152045575"/>
      <w:r>
        <w:rPr>
          <w:rFonts w:hint="eastAsia" w:ascii="宋体" w:hAnsi="宋体" w:eastAsia="宋体"/>
          <w:b/>
          <w:i w:val="0"/>
          <w:caps w:val="0"/>
          <w:color w:val="auto"/>
          <w:spacing w:val="0"/>
          <w:w w:val="100"/>
          <w:sz w:val="21"/>
          <w:szCs w:val="21"/>
        </w:rPr>
        <w:t>9.1 对招标人的纪律要求</w:t>
      </w:r>
      <w:bookmarkEnd w:id="320"/>
      <w:bookmarkEnd w:id="321"/>
      <w:bookmarkEnd w:id="322"/>
      <w:bookmarkEnd w:id="323"/>
      <w:bookmarkEnd w:id="324"/>
      <w:bookmarkEnd w:id="325"/>
      <w:bookmarkEnd w:id="326"/>
      <w:bookmarkEnd w:id="327"/>
      <w:bookmarkEnd w:id="328"/>
      <w:bookmarkEnd w:id="329"/>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招标人不得泄漏招标投标活动中应当保密的情况和资料，不得与投标人串通损害国家利益、社会公共利益或者他人合法权益。</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330" w:name="_Toc322615439"/>
      <w:bookmarkStart w:id="331" w:name="_Toc323711791"/>
      <w:bookmarkStart w:id="332" w:name="_Toc392345955"/>
      <w:bookmarkStart w:id="333" w:name="_Toc319407877"/>
      <w:bookmarkStart w:id="334" w:name="_Toc245036643"/>
      <w:bookmarkStart w:id="335" w:name="_Toc152045576"/>
      <w:bookmarkStart w:id="336" w:name="_Toc214"/>
      <w:bookmarkStart w:id="337" w:name="_Toc319408112"/>
      <w:bookmarkStart w:id="338" w:name="_Toc144974544"/>
      <w:bookmarkStart w:id="339" w:name="_Toc152042352"/>
      <w:r>
        <w:rPr>
          <w:rFonts w:hint="eastAsia" w:ascii="宋体" w:hAnsi="宋体" w:eastAsia="宋体"/>
          <w:b/>
          <w:i w:val="0"/>
          <w:caps w:val="0"/>
          <w:color w:val="auto"/>
          <w:spacing w:val="0"/>
          <w:w w:val="100"/>
          <w:sz w:val="21"/>
          <w:szCs w:val="21"/>
        </w:rPr>
        <w:t>9.2 对投标人的纪律要求</w:t>
      </w:r>
      <w:bookmarkEnd w:id="330"/>
      <w:bookmarkEnd w:id="331"/>
      <w:bookmarkEnd w:id="332"/>
      <w:bookmarkEnd w:id="333"/>
      <w:bookmarkEnd w:id="334"/>
      <w:bookmarkEnd w:id="335"/>
      <w:bookmarkEnd w:id="336"/>
      <w:bookmarkEnd w:id="337"/>
      <w:bookmarkEnd w:id="338"/>
      <w:bookmarkEnd w:id="339"/>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340" w:name="_Toc3266"/>
      <w:bookmarkStart w:id="341" w:name="_Toc392345956"/>
      <w:bookmarkStart w:id="342" w:name="_Toc144974545"/>
      <w:bookmarkStart w:id="343" w:name="_Toc323711792"/>
      <w:bookmarkStart w:id="344" w:name="_Toc319408113"/>
      <w:bookmarkStart w:id="345" w:name="_Toc152045577"/>
      <w:bookmarkStart w:id="346" w:name="_Toc322615440"/>
      <w:bookmarkStart w:id="347" w:name="_Toc319407878"/>
      <w:bookmarkStart w:id="348" w:name="_Toc152042353"/>
      <w:bookmarkStart w:id="349" w:name="_Toc245036644"/>
      <w:r>
        <w:rPr>
          <w:rFonts w:hint="eastAsia" w:ascii="宋体" w:hAnsi="宋体" w:eastAsia="宋体"/>
          <w:b/>
          <w:i w:val="0"/>
          <w:caps w:val="0"/>
          <w:color w:val="auto"/>
          <w:spacing w:val="0"/>
          <w:w w:val="100"/>
          <w:sz w:val="21"/>
          <w:szCs w:val="21"/>
        </w:rPr>
        <w:t>9.3 对评标委员会成员的纪律要求</w:t>
      </w:r>
      <w:bookmarkEnd w:id="340"/>
      <w:bookmarkEnd w:id="341"/>
      <w:bookmarkEnd w:id="342"/>
      <w:bookmarkEnd w:id="343"/>
      <w:bookmarkEnd w:id="344"/>
      <w:bookmarkEnd w:id="345"/>
      <w:bookmarkEnd w:id="346"/>
      <w:bookmarkEnd w:id="347"/>
      <w:bookmarkEnd w:id="348"/>
      <w:bookmarkEnd w:id="349"/>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350" w:name="_Toc245036645"/>
      <w:bookmarkStart w:id="351" w:name="_Toc152042354"/>
      <w:bookmarkStart w:id="352" w:name="_Toc323711793"/>
      <w:bookmarkStart w:id="353" w:name="_Toc152045578"/>
      <w:bookmarkStart w:id="354" w:name="_Toc319408114"/>
      <w:bookmarkStart w:id="355" w:name="_Toc480"/>
      <w:bookmarkStart w:id="356" w:name="_Toc322615441"/>
      <w:bookmarkStart w:id="357" w:name="_Toc392345957"/>
      <w:bookmarkStart w:id="358" w:name="_Toc319407879"/>
      <w:bookmarkStart w:id="359" w:name="_Toc144974546"/>
      <w:r>
        <w:rPr>
          <w:rFonts w:hint="eastAsia" w:ascii="宋体" w:hAnsi="宋体" w:eastAsia="宋体"/>
          <w:b/>
          <w:i w:val="0"/>
          <w:caps w:val="0"/>
          <w:color w:val="auto"/>
          <w:spacing w:val="0"/>
          <w:w w:val="100"/>
          <w:sz w:val="21"/>
          <w:szCs w:val="21"/>
        </w:rPr>
        <w:t>9.4 对与评标活动有关的工作人员的纪律要求</w:t>
      </w:r>
      <w:bookmarkEnd w:id="350"/>
      <w:bookmarkEnd w:id="351"/>
      <w:bookmarkEnd w:id="352"/>
      <w:bookmarkEnd w:id="353"/>
      <w:bookmarkEnd w:id="354"/>
      <w:bookmarkEnd w:id="355"/>
      <w:bookmarkEnd w:id="356"/>
      <w:bookmarkEnd w:id="357"/>
      <w:bookmarkEnd w:id="358"/>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360" w:name="_Toc152042355"/>
      <w:r>
        <w:rPr>
          <w:rFonts w:hint="eastAsia" w:ascii="宋体" w:hAnsi="宋体" w:cs="宋体"/>
          <w:b w:val="0"/>
          <w:i w:val="0"/>
          <w:caps w:val="0"/>
          <w:color w:val="auto"/>
          <w:spacing w:val="0"/>
          <w:w w:val="100"/>
          <w:sz w:val="21"/>
          <w:szCs w:val="21"/>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60"/>
    </w:p>
    <w:p>
      <w:pPr>
        <w:pStyle w:val="49"/>
        <w:snapToGrid w:val="0"/>
        <w:spacing w:before="0" w:beforeAutospacing="0" w:after="0" w:afterAutospacing="0" w:line="400" w:lineRule="exact"/>
        <w:ind w:firstLine="422" w:firstLineChars="200"/>
        <w:jc w:val="both"/>
        <w:textAlignment w:val="baseline"/>
        <w:rPr>
          <w:rFonts w:ascii="宋体" w:hAnsi="宋体" w:eastAsia="宋体"/>
          <w:b/>
          <w:i w:val="0"/>
          <w:caps w:val="0"/>
          <w:color w:val="auto"/>
          <w:spacing w:val="0"/>
          <w:w w:val="100"/>
          <w:sz w:val="21"/>
          <w:szCs w:val="21"/>
        </w:rPr>
      </w:pPr>
      <w:bookmarkStart w:id="361" w:name="_Toc322615442"/>
      <w:bookmarkStart w:id="362" w:name="_Toc152042356"/>
      <w:bookmarkStart w:id="363" w:name="_Toc392345958"/>
      <w:bookmarkStart w:id="364" w:name="_Toc319408115"/>
      <w:bookmarkStart w:id="365" w:name="_Toc245036646"/>
      <w:bookmarkStart w:id="366" w:name="_Toc319407880"/>
      <w:bookmarkStart w:id="367" w:name="_Toc152045579"/>
      <w:bookmarkStart w:id="368" w:name="_Toc323711794"/>
      <w:bookmarkStart w:id="369" w:name="_Toc9812"/>
      <w:r>
        <w:rPr>
          <w:rFonts w:hint="eastAsia" w:ascii="宋体" w:hAnsi="宋体" w:eastAsia="宋体"/>
          <w:b/>
          <w:i w:val="0"/>
          <w:caps w:val="0"/>
          <w:color w:val="auto"/>
          <w:spacing w:val="0"/>
          <w:w w:val="100"/>
          <w:sz w:val="21"/>
          <w:szCs w:val="21"/>
        </w:rPr>
        <w:t>9.5</w:t>
      </w:r>
      <w:bookmarkEnd w:id="359"/>
      <w:bookmarkEnd w:id="361"/>
      <w:bookmarkEnd w:id="362"/>
      <w:bookmarkEnd w:id="363"/>
      <w:bookmarkEnd w:id="364"/>
      <w:bookmarkEnd w:id="365"/>
      <w:bookmarkEnd w:id="366"/>
      <w:bookmarkEnd w:id="367"/>
      <w:bookmarkEnd w:id="368"/>
      <w:bookmarkStart w:id="370" w:name="_Toc246996966"/>
      <w:bookmarkStart w:id="371" w:name="_Toc296602466"/>
      <w:bookmarkStart w:id="372" w:name="_Toc179632597"/>
      <w:bookmarkStart w:id="373" w:name="_Toc247085737"/>
      <w:bookmarkStart w:id="374" w:name="_Toc246996223"/>
      <w:bookmarkStart w:id="375" w:name="_Toc357955317"/>
      <w:bookmarkStart w:id="376" w:name="_Toc392345959"/>
      <w:bookmarkStart w:id="377" w:name="_Toc152045580"/>
      <w:bookmarkStart w:id="378" w:name="_Toc245036647"/>
      <w:bookmarkStart w:id="379" w:name="_Toc323711795"/>
      <w:bookmarkStart w:id="380" w:name="_Toc152042357"/>
      <w:bookmarkStart w:id="381" w:name="_Toc144974547"/>
      <w:r>
        <w:rPr>
          <w:rFonts w:hint="eastAsia" w:ascii="宋体" w:hAnsi="宋体" w:eastAsia="宋体"/>
          <w:b/>
          <w:i w:val="0"/>
          <w:caps w:val="0"/>
          <w:color w:val="auto"/>
          <w:spacing w:val="0"/>
          <w:w w:val="100"/>
          <w:sz w:val="21"/>
          <w:szCs w:val="21"/>
        </w:rPr>
        <w:t>异议与投诉</w:t>
      </w:r>
      <w:bookmarkEnd w:id="369"/>
      <w:bookmarkEnd w:id="370"/>
      <w:bookmarkEnd w:id="371"/>
      <w:bookmarkEnd w:id="372"/>
      <w:bookmarkEnd w:id="373"/>
      <w:bookmarkEnd w:id="374"/>
      <w:bookmarkEnd w:id="375"/>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iCs/>
          <w:caps w:val="0"/>
          <w:color w:val="auto"/>
          <w:spacing w:val="0"/>
          <w:w w:val="100"/>
          <w:sz w:val="21"/>
          <w:szCs w:val="21"/>
        </w:rPr>
        <w:t>投标人及其他利害关系人由提出异议与投诉的权利，但应遵守国家相关法律法规的规定和本章第10.2条的要求。</w:t>
      </w:r>
    </w:p>
    <w:p>
      <w:pPr>
        <w:pStyle w:val="49"/>
        <w:snapToGrid w:val="0"/>
        <w:spacing w:before="0" w:beforeAutospacing="0" w:after="0" w:afterAutospacing="0" w:line="400" w:lineRule="exact"/>
        <w:ind w:firstLine="420" w:firstLineChars="200"/>
        <w:jc w:val="both"/>
        <w:textAlignment w:val="baseline"/>
        <w:rPr>
          <w:rFonts w:ascii="宋体" w:hAnsi="宋体" w:eastAsia="宋体"/>
          <w:b w:val="0"/>
          <w:i w:val="0"/>
          <w:caps w:val="0"/>
          <w:color w:val="auto"/>
          <w:spacing w:val="0"/>
          <w:w w:val="100"/>
          <w:sz w:val="21"/>
          <w:szCs w:val="21"/>
        </w:rPr>
      </w:pPr>
      <w:bookmarkStart w:id="382" w:name="_Toc576"/>
      <w:r>
        <w:rPr>
          <w:rFonts w:hint="eastAsia" w:ascii="宋体" w:hAnsi="宋体" w:eastAsia="宋体"/>
          <w:b w:val="0"/>
          <w:i w:val="0"/>
          <w:caps w:val="0"/>
          <w:color w:val="auto"/>
          <w:spacing w:val="0"/>
          <w:w w:val="100"/>
          <w:sz w:val="21"/>
          <w:szCs w:val="21"/>
        </w:rPr>
        <w:t xml:space="preserve">10. </w:t>
      </w:r>
      <w:bookmarkEnd w:id="376"/>
      <w:bookmarkEnd w:id="377"/>
      <w:bookmarkEnd w:id="378"/>
      <w:bookmarkEnd w:id="379"/>
      <w:bookmarkEnd w:id="380"/>
      <w:bookmarkEnd w:id="381"/>
      <w:r>
        <w:rPr>
          <w:rFonts w:hint="eastAsia" w:ascii="宋体" w:hAnsi="宋体" w:eastAsia="宋体"/>
          <w:b w:val="0"/>
          <w:i w:val="0"/>
          <w:caps w:val="0"/>
          <w:color w:val="auto"/>
          <w:spacing w:val="0"/>
          <w:w w:val="100"/>
          <w:sz w:val="21"/>
          <w:szCs w:val="21"/>
        </w:rPr>
        <w:t>需要补充的其他内容</w:t>
      </w:r>
      <w:bookmarkEnd w:id="382"/>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383" w:name="_Toc322615444"/>
      <w:bookmarkStart w:id="384" w:name="_Toc323711796"/>
      <w:r>
        <w:rPr>
          <w:rFonts w:hint="eastAsia" w:ascii="宋体" w:hAnsi="宋体" w:cs="宋体"/>
          <w:b w:val="0"/>
          <w:i w:val="0"/>
          <w:caps w:val="0"/>
          <w:color w:val="auto"/>
          <w:spacing w:val="0"/>
          <w:w w:val="100"/>
          <w:sz w:val="21"/>
          <w:szCs w:val="21"/>
        </w:rPr>
        <w:t>10.1否决投标的情形</w:t>
      </w:r>
      <w:bookmarkEnd w:id="383"/>
      <w:bookmarkEnd w:id="384"/>
      <w:r>
        <w:rPr>
          <w:rFonts w:hint="eastAsia" w:ascii="宋体" w:hAnsi="宋体" w:cs="宋体"/>
          <w:b w:val="0"/>
          <w:i w:val="0"/>
          <w:caps w:val="0"/>
          <w:color w:val="auto"/>
          <w:spacing w:val="0"/>
          <w:w w:val="100"/>
          <w:sz w:val="21"/>
          <w:szCs w:val="21"/>
        </w:rPr>
        <w:t>：见投标人须知前附表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bookmarkStart w:id="385" w:name="_Toc322615445"/>
      <w:bookmarkStart w:id="386" w:name="_Toc323711797"/>
      <w:r>
        <w:rPr>
          <w:rFonts w:hint="eastAsia" w:ascii="宋体" w:hAnsi="宋体" w:cs="宋体"/>
          <w:b w:val="0"/>
          <w:i w:val="0"/>
          <w:caps w:val="0"/>
          <w:color w:val="auto"/>
          <w:spacing w:val="0"/>
          <w:w w:val="100"/>
          <w:sz w:val="21"/>
          <w:szCs w:val="21"/>
        </w:rPr>
        <w:t>10.2</w:t>
      </w:r>
      <w:bookmarkEnd w:id="385"/>
      <w:bookmarkEnd w:id="386"/>
      <w:r>
        <w:rPr>
          <w:rFonts w:hint="eastAsia" w:ascii="宋体" w:hAnsi="宋体" w:cs="宋体"/>
          <w:b w:val="0"/>
          <w:i w:val="0"/>
          <w:caps w:val="0"/>
          <w:color w:val="auto"/>
          <w:spacing w:val="0"/>
          <w:w w:val="100"/>
          <w:sz w:val="21"/>
          <w:szCs w:val="21"/>
        </w:rPr>
        <w:t>异议与投诉：见投标人须知前附表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10.3定标：见投标人须知前附表</w:t>
      </w:r>
    </w:p>
    <w:p>
      <w:pPr>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10.4特别说明：见投标人须知前附表</w:t>
      </w:r>
    </w:p>
    <w:p>
      <w:pPr>
        <w:snapToGrid w:val="0"/>
        <w:spacing w:before="0" w:beforeAutospacing="0" w:after="0" w:afterAutospacing="0" w:line="400" w:lineRule="exact"/>
        <w:ind w:firstLine="420" w:firstLineChars="200"/>
        <w:jc w:val="both"/>
        <w:textAlignment w:val="baseline"/>
        <w:rPr>
          <w:b w:val="0"/>
          <w:i w:val="0"/>
          <w:caps w:val="0"/>
          <w:color w:val="auto"/>
          <w:spacing w:val="0"/>
          <w:w w:val="100"/>
          <w:sz w:val="24"/>
          <w:szCs w:val="24"/>
        </w:rPr>
      </w:pPr>
      <w:r>
        <w:rPr>
          <w:rFonts w:hint="eastAsia" w:ascii="宋体" w:hAnsi="宋体" w:cs="宋体"/>
          <w:b w:val="0"/>
          <w:i w:val="0"/>
          <w:caps w:val="0"/>
          <w:color w:val="auto"/>
          <w:spacing w:val="0"/>
          <w:w w:val="100"/>
          <w:sz w:val="21"/>
          <w:szCs w:val="21"/>
        </w:rPr>
        <w:br w:type="page"/>
      </w:r>
    </w:p>
    <w:p>
      <w:pPr>
        <w:pStyle w:val="4"/>
        <w:snapToGrid w:val="0"/>
        <w:spacing w:before="0" w:beforeAutospacing="0" w:after="0" w:afterAutospacing="0" w:line="360" w:lineRule="auto"/>
        <w:ind w:firstLine="0" w:firstLineChars="0"/>
        <w:jc w:val="both"/>
        <w:textAlignment w:val="baseline"/>
        <w:rPr>
          <w:b/>
          <w:i w:val="0"/>
          <w:caps w:val="0"/>
          <w:color w:val="auto"/>
          <w:spacing w:val="0"/>
          <w:w w:val="100"/>
          <w:sz w:val="24"/>
          <w:szCs w:val="24"/>
        </w:rPr>
      </w:pPr>
      <w:bookmarkStart w:id="387" w:name="_Toc21652"/>
      <w:r>
        <w:rPr>
          <w:rFonts w:hint="eastAsia"/>
          <w:b/>
          <w:i w:val="0"/>
          <w:caps w:val="0"/>
          <w:color w:val="auto"/>
          <w:spacing w:val="0"/>
          <w:w w:val="100"/>
          <w:sz w:val="24"/>
          <w:szCs w:val="24"/>
        </w:rPr>
        <w:t>附表一：开标记录表</w:t>
      </w:r>
      <w:bookmarkEnd w:id="387"/>
      <w:r>
        <w:rPr>
          <w:rFonts w:hint="eastAsia"/>
          <w:b/>
          <w:i w:val="0"/>
          <w:caps w:val="0"/>
          <w:color w:val="auto"/>
          <w:spacing w:val="0"/>
          <w:w w:val="100"/>
          <w:sz w:val="24"/>
          <w:szCs w:val="24"/>
        </w:rPr>
        <w:t>（略）</w:t>
      </w:r>
    </w:p>
    <w:p>
      <w:pPr>
        <w:snapToGrid w:val="0"/>
        <w:spacing w:before="0" w:beforeAutospacing="0" w:after="0" w:afterAutospacing="0" w:line="360" w:lineRule="auto"/>
        <w:jc w:val="left"/>
        <w:textAlignment w:val="baseline"/>
        <w:rPr>
          <w:b w:val="0"/>
          <w:i w:val="0"/>
          <w:caps w:val="0"/>
          <w:color w:val="auto"/>
          <w:spacing w:val="0"/>
          <w:w w:val="100"/>
          <w:sz w:val="24"/>
          <w:szCs w:val="24"/>
        </w:rPr>
      </w:pPr>
      <w:r>
        <w:rPr>
          <w:rFonts w:hint="eastAsia"/>
          <w:b/>
          <w:bCs/>
          <w:i w:val="0"/>
          <w:caps w:val="0"/>
          <w:color w:val="auto"/>
          <w:spacing w:val="0"/>
          <w:w w:val="100"/>
          <w:sz w:val="24"/>
          <w:szCs w:val="24"/>
        </w:rPr>
        <w:t>附表二：问题澄清通知</w:t>
      </w:r>
    </w:p>
    <w:p>
      <w:pPr>
        <w:snapToGrid w:val="0"/>
        <w:spacing w:before="0" w:beforeAutospacing="0" w:after="0" w:afterAutospacing="0" w:line="360" w:lineRule="auto"/>
        <w:ind w:firstLine="482" w:firstLineChars="200"/>
        <w:jc w:val="center"/>
        <w:textAlignment w:val="baseline"/>
        <w:rPr>
          <w:b/>
          <w:i w:val="0"/>
          <w:caps w:val="0"/>
          <w:color w:val="auto"/>
          <w:spacing w:val="0"/>
          <w:w w:val="100"/>
          <w:sz w:val="24"/>
          <w:szCs w:val="24"/>
        </w:rPr>
      </w:pPr>
      <w:r>
        <w:rPr>
          <w:rFonts w:hint="eastAsia"/>
          <w:b/>
          <w:i w:val="0"/>
          <w:caps w:val="0"/>
          <w:color w:val="auto"/>
          <w:spacing w:val="0"/>
          <w:w w:val="100"/>
          <w:sz w:val="24"/>
          <w:szCs w:val="24"/>
        </w:rPr>
        <w:t>问题澄清通知</w:t>
      </w:r>
    </w:p>
    <w:p>
      <w:pPr>
        <w:snapToGrid w:val="0"/>
        <w:spacing w:before="0" w:beforeAutospacing="0" w:after="0" w:afterAutospacing="0" w:line="360" w:lineRule="auto"/>
        <w:ind w:firstLine="480" w:firstLineChars="200"/>
        <w:jc w:val="center"/>
        <w:textAlignment w:val="baseline"/>
        <w:rPr>
          <w:b/>
          <w:i w:val="0"/>
          <w:caps w:val="0"/>
          <w:color w:val="auto"/>
          <w:spacing w:val="0"/>
          <w:w w:val="100"/>
          <w:sz w:val="24"/>
          <w:szCs w:val="24"/>
        </w:rPr>
      </w:pPr>
      <w:r>
        <w:rPr>
          <w:rFonts w:hint="eastAsia"/>
          <w:b w:val="0"/>
          <w:i w:val="0"/>
          <w:caps w:val="0"/>
          <w:color w:val="auto"/>
          <w:spacing w:val="0"/>
          <w:w w:val="100"/>
          <w:sz w:val="24"/>
          <w:szCs w:val="24"/>
        </w:rPr>
        <w:t xml:space="preserve">                          编号：</w:t>
      </w:r>
    </w:p>
    <w:p>
      <w:pPr>
        <w:snapToGrid w:val="0"/>
        <w:spacing w:before="0" w:beforeAutospacing="0" w:after="0" w:afterAutospacing="0" w:line="360" w:lineRule="auto"/>
        <w:ind w:firstLine="480" w:firstLineChars="200"/>
        <w:jc w:val="both"/>
        <w:textAlignment w:val="baseline"/>
        <w:rPr>
          <w:b w:val="0"/>
          <w:i w:val="0"/>
          <w:caps w:val="0"/>
          <w:color w:val="auto"/>
          <w:spacing w:val="0"/>
          <w:w w:val="100"/>
          <w:sz w:val="24"/>
          <w:szCs w:val="24"/>
          <w:u w:val="single"/>
        </w:rPr>
      </w:pPr>
    </w:p>
    <w:p>
      <w:pPr>
        <w:snapToGrid w:val="0"/>
        <w:spacing w:before="0" w:beforeAutospacing="0" w:after="0" w:afterAutospacing="0" w:line="360" w:lineRule="auto"/>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 xml:space="preserve">（投标人名称）: </w:t>
      </w:r>
    </w:p>
    <w:p>
      <w:pPr>
        <w:snapToGrid w:val="0"/>
        <w:spacing w:before="0" w:beforeAutospacing="0" w:after="0" w:afterAutospacing="0" w:line="360" w:lineRule="auto"/>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（项目名称）标段招标的评标委员会，对你方的投标文件进行了仔细的审查，现需你方对下列问题以书面形式予以澄清：</w:t>
      </w:r>
    </w:p>
    <w:p>
      <w:pPr>
        <w:snapToGrid w:val="0"/>
        <w:spacing w:before="0" w:beforeAutospacing="0" w:after="0" w:afterAutospacing="0" w:line="360" w:lineRule="auto"/>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p>
      <w:pPr>
        <w:snapToGrid w:val="0"/>
        <w:spacing w:before="0" w:beforeAutospacing="0" w:after="0" w:afterAutospacing="0" w:line="360" w:lineRule="auto"/>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p>
      <w:pPr>
        <w:snapToGrid w:val="0"/>
        <w:spacing w:before="0" w:beforeAutospacing="0" w:after="0" w:afterAutospacing="0" w:line="360" w:lineRule="auto"/>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w:t>
      </w:r>
    </w:p>
    <w:p>
      <w:pPr>
        <w:snapToGrid w:val="0"/>
        <w:spacing w:before="0" w:beforeAutospacing="0" w:after="0" w:afterAutospacing="0" w:line="360" w:lineRule="auto"/>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请将上述问题的澄清于</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日时前递交至</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（详细地址）或传真至</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（传真号码）。采用传真方式的，应在</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日时前将原件递交至</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（详细地址）。</w:t>
      </w:r>
    </w:p>
    <w:p>
      <w:pPr>
        <w:snapToGrid w:val="0"/>
        <w:spacing w:before="0" w:beforeAutospacing="0" w:after="0" w:afterAutospacing="0" w:line="360" w:lineRule="auto"/>
        <w:ind w:firstLine="4900" w:firstLineChars="2450"/>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auto"/>
        <w:ind w:firstLine="4900" w:firstLineChars="2450"/>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auto"/>
        <w:ind w:firstLine="4620" w:firstLineChars="2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评标委员会负责人：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（签字）</w:t>
      </w:r>
    </w:p>
    <w:p>
      <w:pPr>
        <w:snapToGrid w:val="0"/>
        <w:spacing w:before="0" w:beforeAutospacing="0" w:after="0" w:afterAutospacing="0" w:line="360" w:lineRule="auto"/>
        <w:ind w:firstLine="210"/>
        <w:jc w:val="both"/>
        <w:textAlignment w:val="baseline"/>
        <w:rPr>
          <w:rFonts w:ascii="宋体" w:hAnsi="宋体" w:cs="宋体"/>
          <w:b w:val="0"/>
          <w:i w:val="0"/>
          <w:caps w:val="0"/>
          <w:color w:val="auto"/>
          <w:spacing w:val="0"/>
          <w:w w:val="100"/>
          <w:sz w:val="20"/>
          <w:szCs w:val="21"/>
          <w:u w:val="single"/>
        </w:rPr>
      </w:pPr>
    </w:p>
    <w:p>
      <w:pPr>
        <w:snapToGrid w:val="0"/>
        <w:spacing w:before="0" w:beforeAutospacing="0" w:after="0" w:afterAutospacing="0" w:line="360" w:lineRule="auto"/>
        <w:ind w:firstLine="5460" w:firstLineChars="26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年   月   日</w:t>
      </w:r>
    </w:p>
    <w:p>
      <w:pPr>
        <w:snapToGrid w:val="0"/>
        <w:spacing w:before="0" w:beforeAutospacing="0" w:after="0" w:afterAutospacing="0" w:line="360" w:lineRule="auto"/>
        <w:ind w:firstLine="5200" w:firstLineChars="2600"/>
        <w:jc w:val="both"/>
        <w:textAlignment w:val="baseline"/>
        <w:rPr>
          <w:rFonts w:ascii="宋体" w:hAnsi="宋体" w:cs="宋体"/>
          <w:b w:val="0"/>
          <w:i w:val="0"/>
          <w:caps w:val="0"/>
          <w:color w:val="auto"/>
          <w:spacing w:val="0"/>
          <w:w w:val="100"/>
          <w:sz w:val="20"/>
          <w:szCs w:val="21"/>
        </w:rPr>
        <w:sectPr>
          <w:footerReference r:id="rId4" w:type="default"/>
          <w:pgSz w:w="11906" w:h="16838"/>
          <w:pgMar w:top="1440" w:right="1134" w:bottom="1440" w:left="1134" w:header="851" w:footer="992" w:gutter="0"/>
          <w:cols w:space="0" w:num="1"/>
          <w:docGrid w:type="lines" w:linePitch="312" w:charSpace="0"/>
        </w:sectPr>
      </w:pPr>
    </w:p>
    <w:p>
      <w:pPr>
        <w:pStyle w:val="4"/>
        <w:snapToGrid w:val="0"/>
        <w:spacing w:before="0" w:beforeAutospacing="0" w:after="0" w:afterAutospacing="0" w:line="360" w:lineRule="auto"/>
        <w:ind w:firstLine="482" w:firstLineChars="200"/>
        <w:jc w:val="both"/>
        <w:textAlignment w:val="baseline"/>
        <w:rPr>
          <w:b/>
          <w:i w:val="0"/>
          <w:caps w:val="0"/>
          <w:color w:val="auto"/>
          <w:spacing w:val="0"/>
          <w:w w:val="100"/>
          <w:sz w:val="24"/>
          <w:szCs w:val="24"/>
        </w:rPr>
      </w:pPr>
      <w:bookmarkStart w:id="388" w:name="_Toc9597"/>
      <w:r>
        <w:rPr>
          <w:rFonts w:hint="eastAsia"/>
          <w:b/>
          <w:i w:val="0"/>
          <w:caps w:val="0"/>
          <w:color w:val="auto"/>
          <w:spacing w:val="0"/>
          <w:w w:val="100"/>
          <w:sz w:val="24"/>
          <w:szCs w:val="24"/>
        </w:rPr>
        <w:t>附表三：问题的澄清</w:t>
      </w:r>
      <w:bookmarkEnd w:id="388"/>
    </w:p>
    <w:p>
      <w:pPr>
        <w:snapToGrid w:val="0"/>
        <w:spacing w:before="156" w:beforeAutospacing="0" w:after="156" w:afterAutospacing="0" w:line="360" w:lineRule="auto"/>
        <w:ind w:firstLine="482" w:firstLineChars="200"/>
        <w:jc w:val="center"/>
        <w:textAlignment w:val="baseline"/>
        <w:rPr>
          <w:b/>
          <w:i w:val="0"/>
          <w:caps w:val="0"/>
          <w:color w:val="auto"/>
          <w:spacing w:val="0"/>
          <w:w w:val="100"/>
          <w:sz w:val="24"/>
          <w:szCs w:val="24"/>
        </w:rPr>
      </w:pPr>
      <w:r>
        <w:rPr>
          <w:rFonts w:hint="eastAsia"/>
          <w:b/>
          <w:i w:val="0"/>
          <w:caps w:val="0"/>
          <w:color w:val="auto"/>
          <w:spacing w:val="0"/>
          <w:w w:val="100"/>
          <w:sz w:val="24"/>
          <w:szCs w:val="24"/>
        </w:rPr>
        <w:t>问题的澄清</w:t>
      </w:r>
    </w:p>
    <w:p>
      <w:pPr>
        <w:snapToGrid w:val="0"/>
        <w:spacing w:before="0" w:beforeAutospacing="0" w:after="0" w:afterAutospacing="0" w:line="360" w:lineRule="auto"/>
        <w:ind w:firstLine="6480" w:firstLineChars="270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编号：</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(项目名称）</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标段招标评标委员会：</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问题澄清通知（编号： </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）已收悉，现澄清如下：</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1、</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2、</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w:t>
      </w: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725" w:firstLineChars="225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投标人：</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（盖单位公章）</w:t>
      </w: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3675" w:firstLineChars="175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法定代表人或其委托代理人：</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（签字）</w:t>
      </w:r>
    </w:p>
    <w:p>
      <w:pPr>
        <w:snapToGrid w:val="0"/>
        <w:spacing w:before="0" w:beforeAutospacing="0" w:after="0" w:afterAutospacing="0" w:line="360" w:lineRule="auto"/>
        <w:ind w:firstLine="4900" w:firstLineChars="2450"/>
        <w:jc w:val="both"/>
        <w:textAlignment w:val="baseline"/>
        <w:rPr>
          <w:b w:val="0"/>
          <w:i w:val="0"/>
          <w:caps w:val="0"/>
          <w:color w:val="auto"/>
          <w:spacing w:val="0"/>
          <w:w w:val="100"/>
          <w:sz w:val="20"/>
          <w:szCs w:val="21"/>
          <w:u w:val="single"/>
        </w:rPr>
      </w:pPr>
    </w:p>
    <w:p>
      <w:pPr>
        <w:snapToGrid w:val="0"/>
        <w:spacing w:before="0" w:beforeAutospacing="0" w:after="0" w:afterAutospacing="0" w:line="360" w:lineRule="auto"/>
        <w:ind w:firstLine="5145" w:firstLineChars="245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年   月   日</w:t>
      </w:r>
    </w:p>
    <w:p>
      <w:pPr>
        <w:snapToGrid w:val="0"/>
        <w:spacing w:before="0" w:beforeAutospacing="0" w:after="0" w:afterAutospacing="0" w:line="360" w:lineRule="auto"/>
        <w:ind w:firstLine="4900" w:firstLineChars="2450"/>
        <w:jc w:val="both"/>
        <w:textAlignment w:val="baseline"/>
        <w:rPr>
          <w:b w:val="0"/>
          <w:i w:val="0"/>
          <w:caps w:val="0"/>
          <w:color w:val="auto"/>
          <w:spacing w:val="0"/>
          <w:w w:val="100"/>
          <w:sz w:val="20"/>
          <w:szCs w:val="21"/>
        </w:rPr>
        <w:sectPr>
          <w:pgSz w:w="11906" w:h="16838"/>
          <w:pgMar w:top="1440" w:right="1134" w:bottom="1440" w:left="1134" w:header="851" w:footer="992" w:gutter="0"/>
          <w:cols w:space="720" w:num="1"/>
          <w:docGrid w:type="lines" w:linePitch="312" w:charSpace="0"/>
        </w:sectPr>
      </w:pPr>
    </w:p>
    <w:p>
      <w:pPr>
        <w:pStyle w:val="4"/>
        <w:snapToGrid w:val="0"/>
        <w:spacing w:before="0" w:beforeAutospacing="0" w:after="0" w:afterAutospacing="0" w:line="360" w:lineRule="auto"/>
        <w:ind w:firstLine="482" w:firstLineChars="200"/>
        <w:jc w:val="both"/>
        <w:textAlignment w:val="baseline"/>
        <w:rPr>
          <w:rFonts w:ascii="宋体" w:hAnsi="宋体" w:cs="宋体"/>
          <w:b/>
          <w:i w:val="0"/>
          <w:caps w:val="0"/>
          <w:color w:val="auto"/>
          <w:spacing w:val="0"/>
          <w:w w:val="100"/>
          <w:sz w:val="24"/>
          <w:szCs w:val="24"/>
        </w:rPr>
      </w:pPr>
      <w:bookmarkStart w:id="389" w:name="_Toc11393"/>
      <w:r>
        <w:rPr>
          <w:rFonts w:hint="eastAsia" w:ascii="宋体" w:hAnsi="宋体" w:cs="宋体"/>
          <w:b/>
          <w:i w:val="0"/>
          <w:caps w:val="0"/>
          <w:color w:val="auto"/>
          <w:spacing w:val="0"/>
          <w:w w:val="100"/>
          <w:sz w:val="24"/>
          <w:szCs w:val="24"/>
        </w:rPr>
        <w:t>附表四：中标通知书</w:t>
      </w:r>
      <w:bookmarkEnd w:id="389"/>
    </w:p>
    <w:p>
      <w:pPr>
        <w:snapToGrid w:val="0"/>
        <w:spacing w:before="156" w:beforeAutospacing="0" w:after="156" w:afterAutospacing="0" w:line="240" w:lineRule="auto"/>
        <w:ind w:firstLine="482" w:firstLineChars="200"/>
        <w:jc w:val="center"/>
        <w:textAlignment w:val="baseline"/>
        <w:rPr>
          <w:rFonts w:ascii="宋体" w:hAnsi="宋体" w:cs="宋体"/>
          <w:b/>
          <w:i w:val="0"/>
          <w:caps w:val="0"/>
          <w:color w:val="auto"/>
          <w:spacing w:val="0"/>
          <w:w w:val="100"/>
          <w:sz w:val="24"/>
          <w:szCs w:val="24"/>
        </w:rPr>
      </w:pPr>
      <w:r>
        <w:rPr>
          <w:rFonts w:hint="eastAsia" w:ascii="宋体" w:hAnsi="宋体" w:cs="宋体"/>
          <w:b/>
          <w:i w:val="0"/>
          <w:caps w:val="0"/>
          <w:color w:val="auto"/>
          <w:spacing w:val="0"/>
          <w:w w:val="100"/>
          <w:sz w:val="24"/>
          <w:szCs w:val="24"/>
        </w:rPr>
        <w:t>中标通知书</w:t>
      </w:r>
    </w:p>
    <w:p>
      <w:pPr>
        <w:snapToGrid w:val="0"/>
        <w:spacing w:before="0" w:beforeAutospacing="0" w:after="156"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中标具体内容如下：</w:t>
      </w:r>
    </w:p>
    <w:tbl>
      <w:tblPr>
        <w:tblStyle w:val="30"/>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招标项目名称</w:t>
            </w:r>
          </w:p>
        </w:tc>
        <w:tc>
          <w:tcPr>
            <w:tcW w:w="8106" w:type="dxa"/>
            <w:vAlign w:val="center"/>
          </w:tcPr>
          <w:p>
            <w:pPr>
              <w:snapToGrid w:val="0"/>
              <w:spacing w:before="0" w:beforeAutospacing="0" w:after="0" w:afterAutospacing="0" w:line="360" w:lineRule="auto"/>
              <w:ind w:firstLine="210"/>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招标人名称</w:t>
            </w:r>
          </w:p>
        </w:tc>
        <w:tc>
          <w:tcPr>
            <w:tcW w:w="8106" w:type="dxa"/>
            <w:vAlign w:val="center"/>
          </w:tcPr>
          <w:p>
            <w:pPr>
              <w:snapToGrid w:val="0"/>
              <w:spacing w:before="0" w:beforeAutospacing="0" w:after="0" w:afterAutospacing="0" w:line="360" w:lineRule="auto"/>
              <w:ind w:firstLine="210"/>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中标人名称</w:t>
            </w:r>
          </w:p>
        </w:tc>
        <w:tc>
          <w:tcPr>
            <w:tcW w:w="8106" w:type="dxa"/>
            <w:vAlign w:val="center"/>
          </w:tcPr>
          <w:p>
            <w:pPr>
              <w:snapToGrid w:val="0"/>
              <w:spacing w:before="0" w:beforeAutospacing="0" w:after="0" w:afterAutospacing="0" w:line="360" w:lineRule="auto"/>
              <w:ind w:firstLine="210"/>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1" w:hRule="atLeast"/>
        </w:trPr>
        <w:tc>
          <w:tcPr>
            <w:tcW w:w="1908" w:type="dxa"/>
            <w:vAlign w:val="center"/>
          </w:tcPr>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中标金额</w:t>
            </w:r>
          </w:p>
        </w:tc>
        <w:tc>
          <w:tcPr>
            <w:tcW w:w="8106" w:type="dxa"/>
            <w:vAlign w:val="center"/>
          </w:tcPr>
          <w:p>
            <w:pPr>
              <w:snapToGrid w:val="0"/>
              <w:spacing w:before="0" w:beforeAutospacing="0" w:after="0" w:afterAutospacing="0" w:line="360" w:lineRule="auto"/>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中标价：</w:t>
            </w:r>
            <w:r>
              <w:rPr>
                <w:rFonts w:hint="eastAsia" w:ascii="宋体" w:hAnsi="宋体" w:cs="宋体"/>
                <w:b w:val="0"/>
                <w:i w:val="0"/>
                <w:caps w:val="0"/>
                <w:color w:val="auto"/>
                <w:spacing w:val="0"/>
                <w:w w:val="100"/>
                <w:sz w:val="21"/>
                <w:szCs w:val="21"/>
              </w:rPr>
              <w:t xml:space="preserve">（大写）： </w:t>
            </w:r>
            <w:r>
              <w:rPr>
                <w:rFonts w:hint="eastAsia" w:ascii="宋体" w:hAnsi="宋体" w:cs="宋体"/>
                <w:b w:val="0"/>
                <w:i w:val="0"/>
                <w:caps w:val="0"/>
                <w:color w:val="auto"/>
                <w:spacing w:val="0"/>
                <w:w w:val="100"/>
                <w:sz w:val="21"/>
                <w:szCs w:val="21"/>
                <w:u w:val="single" w:color="000000"/>
              </w:rPr>
              <w:tab/>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1"/>
                <w:w w:val="100"/>
                <w:sz w:val="21"/>
                <w:szCs w:val="21"/>
              </w:rPr>
              <w:t>（</w:t>
            </w:r>
            <w:r>
              <w:rPr>
                <w:rFonts w:hint="eastAsia" w:ascii="宋体" w:hAnsi="宋体" w:cs="宋体"/>
                <w:b w:val="0"/>
                <w:i w:val="0"/>
                <w:caps w:val="0"/>
                <w:color w:val="auto"/>
                <w:spacing w:val="0"/>
                <w:w w:val="100"/>
                <w:sz w:val="21"/>
                <w:szCs w:val="21"/>
              </w:rPr>
              <w:t>小写）：</w:t>
            </w:r>
            <w:r>
              <w:rPr>
                <w:rFonts w:hint="eastAsia" w:ascii="宋体" w:hAnsi="宋体" w:cs="宋体"/>
                <w:b w:val="0"/>
                <w:i w:val="0"/>
                <w:caps w:val="0"/>
                <w:color w:val="auto"/>
                <w:spacing w:val="0"/>
                <w:w w:val="100"/>
                <w:sz w:val="21"/>
                <w:szCs w:val="21"/>
                <w:u w:val="single" w:color="000000"/>
              </w:rPr>
              <w:tab/>
            </w:r>
            <w:r>
              <w:rPr>
                <w:rFonts w:hint="eastAsia" w:ascii="宋体" w:hAnsi="宋体" w:cs="宋体"/>
                <w:b w:val="0"/>
                <w:i w:val="0"/>
                <w:caps w:val="0"/>
                <w:color w:val="auto"/>
                <w:spacing w:val="0"/>
                <w:w w:val="100"/>
                <w:sz w:val="21"/>
                <w:szCs w:val="21"/>
                <w:u w:val="single" w:color="000000"/>
              </w:rPr>
              <w:t xml:space="preserve">       </w:t>
            </w:r>
          </w:p>
          <w:p>
            <w:pPr>
              <w:snapToGrid w:val="0"/>
              <w:spacing w:before="0" w:beforeAutospacing="0" w:after="0" w:afterAutospacing="0" w:line="360" w:lineRule="auto"/>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其中改建区</w:t>
            </w:r>
            <w:r>
              <w:rPr>
                <w:rFonts w:hint="eastAsia" w:ascii="宋体" w:hAnsi="宋体" w:cs="宋体"/>
                <w:b w:val="0"/>
                <w:i w:val="0"/>
                <w:caps w:val="0"/>
                <w:color w:val="auto"/>
                <w:spacing w:val="-1"/>
                <w:w w:val="100"/>
                <w:sz w:val="21"/>
                <w:szCs w:val="21"/>
              </w:rPr>
              <w:t>（</w:t>
            </w:r>
            <w:r>
              <w:rPr>
                <w:rFonts w:hint="eastAsia" w:ascii="宋体" w:hAnsi="宋体" w:cs="宋体"/>
                <w:b w:val="0"/>
                <w:i w:val="0"/>
                <w:caps w:val="0"/>
                <w:color w:val="auto"/>
                <w:spacing w:val="0"/>
                <w:w w:val="100"/>
                <w:sz w:val="21"/>
                <w:szCs w:val="21"/>
              </w:rPr>
              <w:t>小写）：</w:t>
            </w:r>
            <w:r>
              <w:rPr>
                <w:rFonts w:hint="eastAsia" w:ascii="宋体" w:hAnsi="宋体" w:cs="宋体"/>
                <w:b w:val="0"/>
                <w:i w:val="0"/>
                <w:caps w:val="0"/>
                <w:color w:val="auto"/>
                <w:spacing w:val="0"/>
                <w:w w:val="100"/>
                <w:sz w:val="21"/>
                <w:szCs w:val="21"/>
                <w:u w:val="single" w:color="000000"/>
              </w:rPr>
              <w:tab/>
            </w:r>
            <w:r>
              <w:rPr>
                <w:rFonts w:hint="eastAsia" w:ascii="宋体" w:hAnsi="宋体" w:cs="宋体"/>
                <w:b w:val="0"/>
                <w:i w:val="0"/>
                <w:caps w:val="0"/>
                <w:color w:val="auto"/>
                <w:spacing w:val="0"/>
                <w:w w:val="100"/>
                <w:sz w:val="21"/>
                <w:szCs w:val="21"/>
                <w:u w:val="single" w:color="000000"/>
              </w:rPr>
              <w:t xml:space="preserve">       </w:t>
            </w:r>
          </w:p>
          <w:p>
            <w:pPr>
              <w:snapToGrid w:val="0"/>
              <w:spacing w:before="0" w:beforeAutospacing="0" w:after="0" w:afterAutospacing="0" w:line="360" w:lineRule="auto"/>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扩建区</w:t>
            </w:r>
            <w:r>
              <w:rPr>
                <w:rFonts w:hint="eastAsia" w:ascii="宋体" w:hAnsi="宋体" w:cs="宋体"/>
                <w:b w:val="0"/>
                <w:i w:val="0"/>
                <w:caps w:val="0"/>
                <w:color w:val="auto"/>
                <w:spacing w:val="-1"/>
                <w:w w:val="100"/>
                <w:sz w:val="21"/>
                <w:szCs w:val="21"/>
              </w:rPr>
              <w:t>（</w:t>
            </w:r>
            <w:r>
              <w:rPr>
                <w:rFonts w:hint="eastAsia" w:ascii="宋体" w:hAnsi="宋体" w:cs="宋体"/>
                <w:b w:val="0"/>
                <w:i w:val="0"/>
                <w:caps w:val="0"/>
                <w:color w:val="auto"/>
                <w:spacing w:val="0"/>
                <w:w w:val="100"/>
                <w:sz w:val="21"/>
                <w:szCs w:val="21"/>
              </w:rPr>
              <w:t>小写）：</w:t>
            </w:r>
            <w:r>
              <w:rPr>
                <w:rFonts w:hint="eastAsia" w:ascii="宋体" w:hAnsi="宋体" w:cs="宋体"/>
                <w:b w:val="0"/>
                <w:i w:val="0"/>
                <w:caps w:val="0"/>
                <w:color w:val="auto"/>
                <w:spacing w:val="0"/>
                <w:w w:val="100"/>
                <w:sz w:val="21"/>
                <w:szCs w:val="21"/>
                <w:u w:val="single" w:color="000000"/>
              </w:rPr>
              <w:tab/>
            </w:r>
            <w:r>
              <w:rPr>
                <w:rFonts w:hint="eastAsia" w:ascii="宋体" w:hAnsi="宋体" w:cs="宋体"/>
                <w:b w:val="0"/>
                <w:i w:val="0"/>
                <w:caps w:val="0"/>
                <w:color w:val="auto"/>
                <w:spacing w:val="0"/>
                <w:w w:val="100"/>
                <w:sz w:val="21"/>
                <w:szCs w:val="21"/>
                <w:u w:val="single" w:color="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中标内容范围</w:t>
            </w:r>
          </w:p>
        </w:tc>
        <w:tc>
          <w:tcPr>
            <w:tcW w:w="8106" w:type="dxa"/>
            <w:vAlign w:val="center"/>
          </w:tcPr>
          <w:p>
            <w:pPr>
              <w:snapToGrid w:val="0"/>
              <w:spacing w:before="0" w:beforeAutospacing="0" w:after="0" w:afterAutospacing="0" w:line="360" w:lineRule="auto"/>
              <w:ind w:firstLine="210"/>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中标人与招标人签订中标合同期限</w:t>
            </w:r>
          </w:p>
        </w:tc>
        <w:tc>
          <w:tcPr>
            <w:tcW w:w="8106" w:type="dxa"/>
            <w:vAlign w:val="center"/>
          </w:tcPr>
          <w:p>
            <w:pPr>
              <w:snapToGrid w:val="0"/>
              <w:spacing w:before="0" w:beforeAutospacing="0" w:after="0" w:afterAutospacing="0" w:line="360" w:lineRule="auto"/>
              <w:ind w:firstLine="210"/>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签订中标合同</w:t>
            </w:r>
          </w:p>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地址</w:t>
            </w:r>
          </w:p>
        </w:tc>
        <w:tc>
          <w:tcPr>
            <w:tcW w:w="8106" w:type="dxa"/>
            <w:vAlign w:val="center"/>
          </w:tcPr>
          <w:p>
            <w:pPr>
              <w:snapToGrid w:val="0"/>
              <w:spacing w:before="0" w:beforeAutospacing="0" w:after="0" w:afterAutospacing="0" w:line="360" w:lineRule="auto"/>
              <w:ind w:firstLine="210"/>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napToGrid w:val="0"/>
              <w:spacing w:before="0" w:beforeAutospacing="0" w:after="0" w:afterAutospacing="0" w:line="36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其他需说明内容</w:t>
            </w:r>
          </w:p>
        </w:tc>
        <w:tc>
          <w:tcPr>
            <w:tcW w:w="8106" w:type="dxa"/>
            <w:vAlign w:val="center"/>
          </w:tcPr>
          <w:p>
            <w:pPr>
              <w:snapToGrid w:val="0"/>
              <w:spacing w:before="0" w:beforeAutospacing="0" w:after="0" w:afterAutospacing="0" w:line="360" w:lineRule="auto"/>
              <w:ind w:firstLine="210"/>
              <w:jc w:val="center"/>
              <w:textAlignment w:val="baseline"/>
              <w:rPr>
                <w:rFonts w:ascii="宋体" w:hAnsi="宋体" w:cs="宋体"/>
                <w:b w:val="0"/>
                <w:i w:val="0"/>
                <w:caps w:val="0"/>
                <w:color w:val="auto"/>
                <w:spacing w:val="0"/>
                <w:w w:val="100"/>
                <w:sz w:val="20"/>
                <w:szCs w:val="21"/>
              </w:rPr>
            </w:pPr>
          </w:p>
        </w:tc>
      </w:tr>
    </w:tbl>
    <w:p>
      <w:pPr>
        <w:snapToGrid w:val="0"/>
        <w:spacing w:before="0" w:beforeAutospacing="0" w:after="0" w:afterAutospacing="0" w:line="360" w:lineRule="auto"/>
        <w:ind w:firstLine="21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                                </w:t>
      </w:r>
    </w:p>
    <w:p>
      <w:pPr>
        <w:snapToGrid w:val="0"/>
        <w:spacing w:before="0" w:beforeAutospacing="0" w:after="0" w:afterAutospacing="0" w:line="520" w:lineRule="exact"/>
        <w:ind w:firstLine="210"/>
        <w:jc w:val="center"/>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 xml:space="preserve">                         招标人：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（盖章）</w:t>
      </w:r>
    </w:p>
    <w:p>
      <w:pPr>
        <w:pStyle w:val="12"/>
        <w:snapToGrid w:val="0"/>
        <w:spacing w:before="0" w:beforeAutospacing="0" w:after="0" w:afterAutospacing="0" w:line="520" w:lineRule="exact"/>
        <w:ind w:firstLine="4320" w:firstLineChars="1800"/>
        <w:jc w:val="both"/>
        <w:textAlignment w:val="baseline"/>
        <w:rPr>
          <w:rFonts w:ascii="Times New Roman" w:hAnsi="Times New Roman" w:eastAsia="宋体" w:cs="Times New Roman"/>
          <w:b w:val="0"/>
          <w:i w:val="0"/>
          <w:caps w:val="0"/>
          <w:color w:val="auto"/>
          <w:spacing w:val="0"/>
          <w:w w:val="100"/>
          <w:sz w:val="21"/>
          <w:szCs w:val="21"/>
        </w:rPr>
      </w:pPr>
      <w:r>
        <w:rPr>
          <w:rFonts w:hint="eastAsia" w:ascii="宋体" w:hAnsi="宋体" w:cs="宋体"/>
          <w:b w:val="0"/>
          <w:i w:val="0"/>
          <w:caps w:val="0"/>
          <w:color w:val="auto"/>
          <w:spacing w:val="0"/>
          <w:w w:val="100"/>
          <w:sz w:val="24"/>
          <w:szCs w:val="21"/>
          <w:u w:val="single" w:color="000000"/>
        </w:rPr>
        <w:t xml:space="preserve">     </w:t>
      </w:r>
      <w:r>
        <w:rPr>
          <w:rFonts w:hint="eastAsia"/>
          <w:b w:val="0"/>
          <w:i w:val="0"/>
          <w:caps w:val="0"/>
          <w:color w:val="auto"/>
          <w:spacing w:val="0"/>
          <w:w w:val="100"/>
          <w:sz w:val="21"/>
          <w:szCs w:val="21"/>
        </w:rPr>
        <w:t>年</w:t>
      </w:r>
      <w:r>
        <w:rPr>
          <w:rFonts w:hint="eastAsia" w:ascii="宋体" w:hAnsi="宋体" w:cs="宋体"/>
          <w:b w:val="0"/>
          <w:i w:val="0"/>
          <w:caps w:val="0"/>
          <w:color w:val="auto"/>
          <w:spacing w:val="0"/>
          <w:w w:val="100"/>
          <w:sz w:val="24"/>
          <w:szCs w:val="21"/>
          <w:u w:val="single" w:color="000000"/>
        </w:rPr>
        <w:t xml:space="preserve">    </w:t>
      </w:r>
      <w:r>
        <w:rPr>
          <w:rFonts w:hint="eastAsia"/>
          <w:b w:val="0"/>
          <w:i w:val="0"/>
          <w:caps w:val="0"/>
          <w:color w:val="auto"/>
          <w:spacing w:val="0"/>
          <w:w w:val="100"/>
          <w:sz w:val="21"/>
          <w:szCs w:val="21"/>
        </w:rPr>
        <w:t>月</w:t>
      </w:r>
      <w:r>
        <w:rPr>
          <w:rFonts w:hint="eastAsia" w:ascii="宋体" w:hAnsi="宋体" w:cs="宋体"/>
          <w:b w:val="0"/>
          <w:i w:val="0"/>
          <w:caps w:val="0"/>
          <w:color w:val="auto"/>
          <w:spacing w:val="0"/>
          <w:w w:val="100"/>
          <w:sz w:val="24"/>
          <w:szCs w:val="21"/>
          <w:u w:val="single" w:color="000000"/>
        </w:rPr>
        <w:t xml:space="preserve">    </w:t>
      </w:r>
      <w:r>
        <w:rPr>
          <w:rFonts w:hint="eastAsia"/>
          <w:b w:val="0"/>
          <w:i w:val="0"/>
          <w:caps w:val="0"/>
          <w:color w:val="auto"/>
          <w:spacing w:val="0"/>
          <w:w w:val="100"/>
          <w:sz w:val="21"/>
          <w:szCs w:val="21"/>
        </w:rPr>
        <w:t>日</w:t>
      </w:r>
    </w:p>
    <w:p>
      <w:pPr>
        <w:snapToGrid w:val="0"/>
        <w:spacing w:before="0" w:beforeAutospacing="0" w:after="0" w:afterAutospacing="0" w:line="520" w:lineRule="exact"/>
        <w:ind w:firstLine="210"/>
        <w:jc w:val="center"/>
        <w:textAlignment w:val="baseline"/>
        <w:rPr>
          <w:rFonts w:ascii="宋体" w:hAnsi="宋体" w:cs="宋体"/>
          <w:b w:val="0"/>
          <w:i w:val="0"/>
          <w:caps w:val="0"/>
          <w:color w:val="auto"/>
          <w:spacing w:val="0"/>
          <w:w w:val="100"/>
          <w:sz w:val="20"/>
          <w:szCs w:val="21"/>
          <w:u w:val="single"/>
        </w:rPr>
      </w:pPr>
      <w:r>
        <w:rPr>
          <w:rFonts w:hint="eastAsia"/>
          <w:b w:val="0"/>
          <w:i w:val="0"/>
          <w:caps w:val="0"/>
          <w:color w:val="auto"/>
          <w:spacing w:val="0"/>
          <w:w w:val="100"/>
          <w:sz w:val="21"/>
          <w:szCs w:val="21"/>
        </w:rPr>
        <w:t xml:space="preserve">                                                 招标代理机构盖章：</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（盖章）</w:t>
      </w:r>
    </w:p>
    <w:p>
      <w:pPr>
        <w:pStyle w:val="12"/>
        <w:snapToGrid w:val="0"/>
        <w:spacing w:before="0" w:beforeAutospacing="0" w:after="0" w:afterAutospacing="0" w:line="520" w:lineRule="exact"/>
        <w:ind w:firstLine="4320" w:firstLineChars="1800"/>
        <w:jc w:val="both"/>
        <w:textAlignment w:val="baseline"/>
        <w:rPr>
          <w:rFonts w:ascii="Times New Roman" w:hAnsi="Times New Roman" w:eastAsia="宋体" w:cs="Times New Roman"/>
          <w:b w:val="0"/>
          <w:i w:val="0"/>
          <w:caps w:val="0"/>
          <w:color w:val="auto"/>
          <w:spacing w:val="0"/>
          <w:w w:val="100"/>
          <w:sz w:val="21"/>
          <w:szCs w:val="21"/>
        </w:rPr>
      </w:pPr>
      <w:r>
        <w:rPr>
          <w:rFonts w:hint="eastAsia" w:ascii="宋体" w:hAnsi="宋体" w:cs="宋体"/>
          <w:b w:val="0"/>
          <w:i w:val="0"/>
          <w:caps w:val="0"/>
          <w:color w:val="auto"/>
          <w:spacing w:val="0"/>
          <w:w w:val="100"/>
          <w:sz w:val="24"/>
          <w:szCs w:val="21"/>
          <w:u w:val="single" w:color="000000"/>
        </w:rPr>
        <w:t xml:space="preserve">     </w:t>
      </w:r>
      <w:r>
        <w:rPr>
          <w:rFonts w:hint="eastAsia"/>
          <w:b w:val="0"/>
          <w:i w:val="0"/>
          <w:caps w:val="0"/>
          <w:color w:val="auto"/>
          <w:spacing w:val="0"/>
          <w:w w:val="100"/>
          <w:sz w:val="21"/>
          <w:szCs w:val="21"/>
        </w:rPr>
        <w:t>年</w:t>
      </w:r>
      <w:r>
        <w:rPr>
          <w:rFonts w:hint="eastAsia" w:ascii="宋体" w:hAnsi="宋体" w:cs="宋体"/>
          <w:b w:val="0"/>
          <w:i w:val="0"/>
          <w:caps w:val="0"/>
          <w:color w:val="auto"/>
          <w:spacing w:val="0"/>
          <w:w w:val="100"/>
          <w:sz w:val="24"/>
          <w:szCs w:val="21"/>
          <w:u w:val="single" w:color="000000"/>
        </w:rPr>
        <w:t xml:space="preserve">    </w:t>
      </w:r>
      <w:r>
        <w:rPr>
          <w:rFonts w:hint="eastAsia"/>
          <w:b w:val="0"/>
          <w:i w:val="0"/>
          <w:caps w:val="0"/>
          <w:color w:val="auto"/>
          <w:spacing w:val="0"/>
          <w:w w:val="100"/>
          <w:sz w:val="21"/>
          <w:szCs w:val="21"/>
        </w:rPr>
        <w:t>月</w:t>
      </w:r>
      <w:r>
        <w:rPr>
          <w:rFonts w:hint="eastAsia" w:ascii="宋体" w:hAnsi="宋体" w:cs="宋体"/>
          <w:b w:val="0"/>
          <w:i w:val="0"/>
          <w:caps w:val="0"/>
          <w:color w:val="auto"/>
          <w:spacing w:val="0"/>
          <w:w w:val="100"/>
          <w:sz w:val="24"/>
          <w:szCs w:val="21"/>
          <w:u w:val="single" w:color="000000"/>
        </w:rPr>
        <w:t xml:space="preserve">    </w:t>
      </w:r>
      <w:r>
        <w:rPr>
          <w:rFonts w:hint="eastAsia"/>
          <w:b w:val="0"/>
          <w:i w:val="0"/>
          <w:caps w:val="0"/>
          <w:color w:val="auto"/>
          <w:spacing w:val="0"/>
          <w:w w:val="100"/>
          <w:sz w:val="21"/>
          <w:szCs w:val="21"/>
        </w:rPr>
        <w:t>日</w:t>
      </w:r>
    </w:p>
    <w:p>
      <w:pPr>
        <w:pStyle w:val="12"/>
        <w:snapToGrid w:val="0"/>
        <w:spacing w:before="0" w:beforeAutospacing="0" w:after="0" w:afterAutospacing="0" w:line="520" w:lineRule="exact"/>
        <w:ind w:firstLine="4410" w:firstLineChars="2100"/>
        <w:jc w:val="both"/>
        <w:textAlignment w:val="baseline"/>
        <w:rPr>
          <w:rFonts w:ascii="Times New Roman" w:hAnsi="Times New Roman" w:eastAsia="宋体" w:cs="Times New Roman"/>
          <w:b w:val="0"/>
          <w:i w:val="0"/>
          <w:caps w:val="0"/>
          <w:color w:val="auto"/>
          <w:spacing w:val="0"/>
          <w:w w:val="100"/>
          <w:sz w:val="21"/>
          <w:szCs w:val="21"/>
        </w:rPr>
      </w:pPr>
    </w:p>
    <w:p>
      <w:pPr>
        <w:pStyle w:val="13"/>
        <w:snapToGrid w:val="0"/>
        <w:spacing w:before="0" w:beforeAutospacing="0" w:after="0" w:afterAutospacing="0" w:line="480" w:lineRule="auto"/>
        <w:jc w:val="both"/>
        <w:textAlignment w:val="baseline"/>
        <w:rPr>
          <w:rFonts w:ascii="Times New Roman" w:hAnsi="Times New Roman" w:eastAsia="宋体" w:cs="Times New Roman"/>
          <w:b w:val="0"/>
          <w:i w:val="0"/>
          <w:caps w:val="0"/>
          <w:color w:val="auto"/>
          <w:spacing w:val="0"/>
          <w:w w:val="100"/>
          <w:sz w:val="21"/>
        </w:rPr>
      </w:pPr>
    </w:p>
    <w:p>
      <w:pPr>
        <w:pStyle w:val="12"/>
        <w:snapToGrid w:val="0"/>
        <w:spacing w:before="0" w:beforeAutospacing="0" w:after="0" w:afterAutospacing="0" w:line="240" w:lineRule="auto"/>
        <w:jc w:val="both"/>
        <w:textAlignment w:val="baseline"/>
        <w:rPr>
          <w:rFonts w:ascii="宋体" w:hAnsi="宋体" w:cs="宋体"/>
          <w:b w:val="0"/>
          <w:i w:val="0"/>
          <w:caps w:val="0"/>
          <w:color w:val="auto"/>
          <w:spacing w:val="0"/>
          <w:w w:val="100"/>
          <w:sz w:val="21"/>
          <w:szCs w:val="21"/>
        </w:rPr>
      </w:pPr>
      <w:r>
        <w:rPr>
          <w:rFonts w:ascii="Times New Roman" w:hAnsi="Times New Roman" w:eastAsia="宋体" w:cs="Times New Roman"/>
          <w:b w:val="0"/>
          <w:i w:val="0"/>
          <w:caps w:val="0"/>
          <w:color w:val="auto"/>
          <w:spacing w:val="0"/>
          <w:w w:val="100"/>
          <w:sz w:val="21"/>
          <w:szCs w:val="21"/>
        </w:rPr>
        <w:t>备案部门：</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（盖章）</w:t>
      </w:r>
    </w:p>
    <w:p>
      <w:pPr>
        <w:pStyle w:val="12"/>
        <w:snapToGrid w:val="0"/>
        <w:spacing w:before="0" w:beforeAutospacing="0" w:after="0" w:afterAutospacing="0" w:line="520" w:lineRule="exact"/>
        <w:jc w:val="both"/>
        <w:textAlignment w:val="baseline"/>
        <w:rPr>
          <w:rFonts w:ascii="Times New Roman" w:hAnsi="Times New Roman" w:eastAsia="宋体" w:cs="Times New Roman"/>
          <w:b w:val="0"/>
          <w:i w:val="0"/>
          <w:caps w:val="0"/>
          <w:color w:val="auto"/>
          <w:spacing w:val="0"/>
          <w:w w:val="100"/>
          <w:sz w:val="21"/>
          <w:szCs w:val="21"/>
        </w:rPr>
      </w:pP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日</w:t>
      </w:r>
    </w:p>
    <w:p>
      <w:pPr>
        <w:snapToGrid w:val="0"/>
        <w:spacing w:before="0" w:beforeAutospacing="0" w:after="0" w:afterAutospacing="0" w:line="360" w:lineRule="auto"/>
        <w:jc w:val="both"/>
        <w:textAlignment w:val="baseline"/>
        <w:rPr>
          <w:b w:val="0"/>
          <w:i w:val="0"/>
          <w:caps w:val="0"/>
          <w:color w:val="auto"/>
          <w:spacing w:val="0"/>
          <w:w w:val="100"/>
          <w:sz w:val="24"/>
          <w:szCs w:val="24"/>
        </w:rPr>
      </w:pPr>
      <w:r>
        <w:rPr>
          <w:rFonts w:hint="eastAsia" w:ascii="宋体" w:hAnsi="宋体" w:cs="宋体"/>
          <w:b w:val="0"/>
          <w:i w:val="0"/>
          <w:caps w:val="0"/>
          <w:color w:val="auto"/>
          <w:spacing w:val="0"/>
          <w:w w:val="100"/>
          <w:sz w:val="21"/>
          <w:szCs w:val="21"/>
        </w:rPr>
        <w:t xml:space="preserve">                                     </w:t>
      </w:r>
      <w:bookmarkStart w:id="390" w:name="_Toc30185"/>
    </w:p>
    <w:p>
      <w:pPr>
        <w:pStyle w:val="4"/>
        <w:snapToGrid w:val="0"/>
        <w:spacing w:before="0" w:beforeAutospacing="0" w:after="0" w:afterAutospacing="0" w:line="360" w:lineRule="auto"/>
        <w:ind w:firstLine="0" w:firstLineChars="0"/>
        <w:jc w:val="both"/>
        <w:textAlignment w:val="baseline"/>
        <w:rPr>
          <w:b/>
          <w:i w:val="0"/>
          <w:caps w:val="0"/>
          <w:color w:val="auto"/>
          <w:spacing w:val="0"/>
          <w:w w:val="100"/>
          <w:sz w:val="24"/>
          <w:szCs w:val="24"/>
        </w:rPr>
      </w:pPr>
      <w:r>
        <w:rPr>
          <w:rFonts w:hint="eastAsia"/>
          <w:b/>
          <w:i w:val="0"/>
          <w:caps w:val="0"/>
          <w:color w:val="auto"/>
          <w:spacing w:val="0"/>
          <w:w w:val="100"/>
          <w:sz w:val="24"/>
          <w:szCs w:val="24"/>
        </w:rPr>
        <w:t>附表五：中标结果通知书</w:t>
      </w:r>
      <w:bookmarkEnd w:id="390"/>
    </w:p>
    <w:p>
      <w:pPr>
        <w:snapToGrid w:val="0"/>
        <w:spacing w:before="0" w:beforeAutospacing="0" w:after="0" w:afterAutospacing="0" w:line="360" w:lineRule="auto"/>
        <w:ind w:firstLine="482" w:firstLineChars="200"/>
        <w:jc w:val="center"/>
        <w:textAlignment w:val="baseline"/>
        <w:rPr>
          <w:b/>
          <w:i w:val="0"/>
          <w:caps w:val="0"/>
          <w:color w:val="auto"/>
          <w:spacing w:val="0"/>
          <w:w w:val="100"/>
          <w:sz w:val="24"/>
          <w:szCs w:val="24"/>
        </w:rPr>
      </w:pPr>
      <w:r>
        <w:rPr>
          <w:rFonts w:hint="eastAsia"/>
          <w:b/>
          <w:i w:val="0"/>
          <w:caps w:val="0"/>
          <w:color w:val="auto"/>
          <w:spacing w:val="0"/>
          <w:w w:val="100"/>
          <w:sz w:val="24"/>
          <w:szCs w:val="24"/>
        </w:rPr>
        <w:t>中标结果通知书</w:t>
      </w:r>
    </w:p>
    <w:p>
      <w:pPr>
        <w:snapToGrid w:val="0"/>
        <w:spacing w:before="0" w:beforeAutospacing="0" w:after="0" w:afterAutospacing="0" w:line="360" w:lineRule="auto"/>
        <w:ind w:firstLine="210"/>
        <w:jc w:val="both"/>
        <w:textAlignment w:val="baseline"/>
        <w:rPr>
          <w:b w:val="0"/>
          <w:i w:val="0"/>
          <w:caps w:val="0"/>
          <w:color w:val="auto"/>
          <w:spacing w:val="0"/>
          <w:w w:val="100"/>
          <w:sz w:val="24"/>
          <w:szCs w:val="24"/>
          <w:u w:val="single"/>
        </w:rPr>
      </w:pPr>
    </w:p>
    <w:p>
      <w:pPr>
        <w:snapToGrid w:val="0"/>
        <w:spacing w:before="0" w:beforeAutospacing="0" w:after="0" w:afterAutospacing="0" w:line="360" w:lineRule="auto"/>
        <w:ind w:firstLine="210"/>
        <w:jc w:val="both"/>
        <w:textAlignment w:val="baseline"/>
        <w:rPr>
          <w:b w:val="0"/>
          <w:i w:val="0"/>
          <w:caps w:val="0"/>
          <w:color w:val="auto"/>
          <w:spacing w:val="0"/>
          <w:w w:val="100"/>
          <w:sz w:val="24"/>
          <w:szCs w:val="24"/>
          <w:u w:val="single"/>
        </w:rPr>
      </w:pPr>
    </w:p>
    <w:p>
      <w:pPr>
        <w:snapToGrid w:val="0"/>
        <w:spacing w:before="0" w:beforeAutospacing="0" w:after="0" w:afterAutospacing="0" w:line="360" w:lineRule="auto"/>
        <w:ind w:firstLine="210"/>
        <w:jc w:val="both"/>
        <w:textAlignment w:val="baseline"/>
        <w:rPr>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 xml:space="preserve">（未中标人名称）: </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我方已接受</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（中标人名称）于</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（投标日期）所递交的</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（项目名称）</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标段投标文件，确定</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（中标人名称）为中标人。</w:t>
      </w: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感谢你单位对我们工作的大力支持！</w:t>
      </w:r>
    </w:p>
    <w:p>
      <w:pPr>
        <w:snapToGrid w:val="0"/>
        <w:spacing w:before="0" w:beforeAutospacing="0" w:after="0" w:afterAutospacing="0" w:line="360" w:lineRule="auto"/>
        <w:ind w:firstLine="4000" w:firstLineChars="20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000" w:firstLineChars="20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000" w:firstLineChars="20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000" w:firstLineChars="20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200" w:firstLineChars="20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招标人：</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（盖单位公章）</w:t>
      </w: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600" w:firstLineChars="2300"/>
        <w:jc w:val="both"/>
        <w:textAlignment w:val="baseline"/>
        <w:rPr>
          <w:b w:val="0"/>
          <w:i w:val="0"/>
          <w:caps w:val="0"/>
          <w:color w:val="auto"/>
          <w:spacing w:val="0"/>
          <w:w w:val="100"/>
          <w:sz w:val="20"/>
          <w:szCs w:val="21"/>
          <w:u w:val="single"/>
        </w:rPr>
      </w:pPr>
    </w:p>
    <w:p>
      <w:pPr>
        <w:snapToGrid w:val="0"/>
        <w:spacing w:before="0" w:beforeAutospacing="0" w:after="0" w:afterAutospacing="0" w:line="360" w:lineRule="auto"/>
        <w:ind w:firstLine="4830" w:firstLineChars="23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年   月   日</w:t>
      </w:r>
    </w:p>
    <w:p>
      <w:pPr>
        <w:snapToGrid w:val="0"/>
        <w:spacing w:before="0" w:beforeAutospacing="0" w:after="0" w:afterAutospacing="0" w:line="360" w:lineRule="auto"/>
        <w:ind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240" w:lineRule="auto"/>
        <w:ind w:firstLine="210"/>
        <w:jc w:val="both"/>
        <w:textAlignment w:val="baseline"/>
        <w:rPr>
          <w:b w:val="0"/>
          <w:i w:val="0"/>
          <w:caps w:val="0"/>
          <w:color w:val="auto"/>
          <w:spacing w:val="0"/>
          <w:w w:val="100"/>
          <w:sz w:val="24"/>
          <w:szCs w:val="24"/>
        </w:rPr>
      </w:pPr>
    </w:p>
    <w:p>
      <w:pPr>
        <w:snapToGrid w:val="0"/>
        <w:spacing w:before="0" w:beforeAutospacing="0" w:after="0" w:afterAutospacing="0" w:line="240" w:lineRule="auto"/>
        <w:ind w:firstLine="210"/>
        <w:jc w:val="both"/>
        <w:textAlignment w:val="baseline"/>
        <w:rPr>
          <w:b w:val="0"/>
          <w:i w:val="0"/>
          <w:caps w:val="0"/>
          <w:color w:val="auto"/>
          <w:spacing w:val="0"/>
          <w:w w:val="100"/>
          <w:sz w:val="24"/>
          <w:szCs w:val="24"/>
        </w:rPr>
      </w:pPr>
    </w:p>
    <w:p>
      <w:pPr>
        <w:tabs>
          <w:tab w:val="left" w:pos="6624"/>
        </w:tabs>
        <w:snapToGrid w:val="0"/>
        <w:spacing w:before="0" w:beforeAutospacing="0" w:after="0" w:afterAutospacing="0" w:line="240" w:lineRule="auto"/>
        <w:ind w:firstLine="21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ab/>
      </w:r>
    </w:p>
    <w:p>
      <w:pPr>
        <w:snapToGrid w:val="0"/>
        <w:spacing w:before="0" w:beforeAutospacing="0" w:after="0" w:afterAutospacing="0" w:line="240" w:lineRule="auto"/>
        <w:ind w:firstLine="210"/>
        <w:jc w:val="both"/>
        <w:textAlignment w:val="baseline"/>
        <w:rPr>
          <w:b w:val="0"/>
          <w:i w:val="0"/>
          <w:caps w:val="0"/>
          <w:color w:val="auto"/>
          <w:spacing w:val="0"/>
          <w:w w:val="100"/>
          <w:sz w:val="24"/>
          <w:szCs w:val="24"/>
        </w:rPr>
      </w:pPr>
    </w:p>
    <w:p>
      <w:pPr>
        <w:snapToGrid w:val="0"/>
        <w:spacing w:before="0" w:beforeAutospacing="0" w:after="0" w:afterAutospacing="0" w:line="240" w:lineRule="auto"/>
        <w:ind w:firstLine="210"/>
        <w:jc w:val="both"/>
        <w:textAlignment w:val="baseline"/>
        <w:rPr>
          <w:b w:val="0"/>
          <w:i w:val="0"/>
          <w:caps w:val="0"/>
          <w:color w:val="auto"/>
          <w:spacing w:val="0"/>
          <w:w w:val="100"/>
          <w:sz w:val="24"/>
          <w:szCs w:val="24"/>
        </w:rPr>
        <w:sectPr>
          <w:pgSz w:w="11906" w:h="16838"/>
          <w:pgMar w:top="1440" w:right="1134" w:bottom="1440" w:left="1134" w:header="851" w:footer="992" w:gutter="0"/>
          <w:cols w:space="720" w:num="1"/>
          <w:docGrid w:type="lines" w:linePitch="312" w:charSpace="0"/>
        </w:sectPr>
      </w:pPr>
    </w:p>
    <w:p>
      <w:pPr>
        <w:pStyle w:val="4"/>
        <w:snapToGrid w:val="0"/>
        <w:spacing w:before="0" w:beforeAutospacing="0" w:after="0" w:afterAutospacing="0" w:line="360" w:lineRule="auto"/>
        <w:ind w:firstLine="482" w:firstLineChars="200"/>
        <w:jc w:val="both"/>
        <w:textAlignment w:val="baseline"/>
        <w:rPr>
          <w:b/>
          <w:i w:val="0"/>
          <w:caps w:val="0"/>
          <w:color w:val="auto"/>
          <w:spacing w:val="0"/>
          <w:w w:val="100"/>
          <w:sz w:val="24"/>
          <w:szCs w:val="24"/>
        </w:rPr>
      </w:pPr>
      <w:bookmarkStart w:id="391" w:name="_Toc23370"/>
      <w:r>
        <w:rPr>
          <w:rFonts w:hint="eastAsia"/>
          <w:b/>
          <w:i w:val="0"/>
          <w:caps w:val="0"/>
          <w:color w:val="auto"/>
          <w:spacing w:val="0"/>
          <w:w w:val="100"/>
          <w:sz w:val="24"/>
          <w:szCs w:val="24"/>
        </w:rPr>
        <w:t>附表六：确认通知</w:t>
      </w:r>
      <w:bookmarkEnd w:id="391"/>
    </w:p>
    <w:p>
      <w:pPr>
        <w:snapToGrid w:val="0"/>
        <w:spacing w:before="0" w:beforeAutospacing="0" w:after="0" w:afterAutospacing="0" w:line="360" w:lineRule="auto"/>
        <w:ind w:firstLine="482" w:firstLineChars="200"/>
        <w:jc w:val="center"/>
        <w:textAlignment w:val="baseline"/>
        <w:rPr>
          <w:b/>
          <w:i w:val="0"/>
          <w:caps w:val="0"/>
          <w:color w:val="auto"/>
          <w:spacing w:val="0"/>
          <w:w w:val="100"/>
          <w:sz w:val="24"/>
          <w:szCs w:val="24"/>
        </w:rPr>
      </w:pPr>
      <w:r>
        <w:rPr>
          <w:rFonts w:hint="eastAsia"/>
          <w:b/>
          <w:i w:val="0"/>
          <w:caps w:val="0"/>
          <w:color w:val="auto"/>
          <w:spacing w:val="0"/>
          <w:w w:val="100"/>
          <w:sz w:val="24"/>
          <w:szCs w:val="24"/>
        </w:rPr>
        <w:t>确 认 通 知</w:t>
      </w:r>
    </w:p>
    <w:p>
      <w:pPr>
        <w:snapToGrid w:val="0"/>
        <w:spacing w:before="0" w:beforeAutospacing="0" w:after="0" w:afterAutospacing="0" w:line="360" w:lineRule="auto"/>
        <w:ind w:firstLine="480" w:firstLineChars="200"/>
        <w:jc w:val="both"/>
        <w:textAlignment w:val="baseline"/>
        <w:rPr>
          <w:b w:val="0"/>
          <w:i w:val="0"/>
          <w:caps w:val="0"/>
          <w:color w:val="auto"/>
          <w:spacing w:val="0"/>
          <w:w w:val="100"/>
          <w:sz w:val="24"/>
          <w:szCs w:val="24"/>
          <w:u w:val="single"/>
        </w:rPr>
      </w:pPr>
    </w:p>
    <w:p>
      <w:pPr>
        <w:snapToGrid w:val="0"/>
        <w:spacing w:before="0" w:beforeAutospacing="0" w:after="0" w:afterAutospacing="0" w:line="360" w:lineRule="auto"/>
        <w:ind w:firstLine="210"/>
        <w:jc w:val="both"/>
        <w:textAlignment w:val="baseline"/>
        <w:rPr>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 xml:space="preserve">（招标人名称）: </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我方已接到你方</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年</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月</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日发出的</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（项目名称）</w:t>
      </w:r>
      <w:r>
        <w:rPr>
          <w:rFonts w:hint="eastAsia" w:ascii="宋体" w:hAnsi="宋体" w:cs="宋体"/>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标段招标确认的通知，我方已于</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年</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月</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日收到。</w:t>
      </w: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特此确认。</w:t>
      </w: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4042" w:firstLineChars="1925"/>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投标人：</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盖单位公章）</w:t>
      </w:r>
    </w:p>
    <w:p>
      <w:pPr>
        <w:snapToGrid w:val="0"/>
        <w:spacing w:before="0" w:beforeAutospacing="0" w:after="0" w:afterAutospacing="0" w:line="360" w:lineRule="auto"/>
        <w:ind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240" w:lineRule="auto"/>
        <w:ind w:firstLine="5040" w:firstLineChars="24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年  月  日</w:t>
      </w:r>
    </w:p>
    <w:p>
      <w:pPr>
        <w:snapToGrid w:val="0"/>
        <w:spacing w:before="0" w:beforeAutospacing="0" w:after="0" w:afterAutospacing="0" w:line="240" w:lineRule="auto"/>
        <w:jc w:val="both"/>
        <w:textAlignment w:val="baseline"/>
        <w:rPr>
          <w:b w:val="0"/>
          <w:i w:val="0"/>
          <w:caps w:val="0"/>
          <w:color w:val="auto"/>
          <w:spacing w:val="0"/>
          <w:w w:val="100"/>
          <w:sz w:val="20"/>
          <w:szCs w:val="21"/>
          <w:u w:val="single"/>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bookmarkStart w:id="392" w:name="_Toc413527636"/>
      <w:bookmarkStart w:id="393" w:name="_Toc321687881"/>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pStyle w:val="3"/>
        <w:snapToGrid w:val="0"/>
        <w:spacing w:before="200" w:beforeAutospacing="0" w:after="200" w:afterAutospacing="0" w:line="440" w:lineRule="exact"/>
        <w:jc w:val="center"/>
        <w:textAlignment w:val="baseline"/>
        <w:rPr>
          <w:b w:val="0"/>
          <w:bCs w:val="0"/>
          <w:i w:val="0"/>
          <w:caps w:val="0"/>
          <w:color w:val="auto"/>
          <w:spacing w:val="0"/>
          <w:w w:val="100"/>
          <w:sz w:val="24"/>
          <w:szCs w:val="24"/>
        </w:rPr>
      </w:pPr>
      <w:bookmarkStart w:id="394" w:name="_Toc3979"/>
      <w:r>
        <w:rPr>
          <w:rFonts w:hint="eastAsia"/>
          <w:b/>
          <w:i w:val="0"/>
          <w:caps w:val="0"/>
          <w:color w:val="auto"/>
          <w:spacing w:val="0"/>
          <w:w w:val="100"/>
          <w:sz w:val="28"/>
        </w:rPr>
        <w:t>第三章 评标办法</w:t>
      </w:r>
      <w:bookmarkEnd w:id="392"/>
      <w:bookmarkEnd w:id="393"/>
      <w:bookmarkEnd w:id="394"/>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根据《中华人民共和国招标投标法》、《中华人民共和国招标投标法实施条例》、《浙江省招标投标条例》、《评标委员会和评标办法暂行规定》（国家发展计划委员会第12号）、《浙江省综合性评标专家库管理办法实施细则》等有关规定，制定本办法。</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一、评标原则</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评标应遵循公平、公正、科学、择优的原则。</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二、评标组织</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评标工作由招标人依法组建的评标委员会负责，评标委员会的组建见投标人须知前附表，评标委员会成员数量见投标人须知前附表。</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评标委员会应当按照招标文件确定的评标标准和方法，客观、公正对投标文件进行评审和比较，招标文件没有规定的评标标准和方法不得作为评标的依据。</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评标委员会对投标文件作出的评审结论，应当符合有关法律、法规、规章和招标文件的规定。</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三、评标程序和内容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（一）熟悉招标文件和评标办法；</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（二）投标文件的符合性评审；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（三）投标文件的资信、业绩评审；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（四）投标文件的技术标评审；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（五）投标文件的商务标评审；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（六）必要时对投标文件中的问题进行询标，包括拟作出否决投标决定前对相关投标人进行的询问核实；</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（七）根据评标办法和标准对投标文件进行综合评分、排序；</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（八）完成评标报告，推荐中标候选人。</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四、评审细则</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（一）投标文件的符合性评审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1.评标委员会应依照招标文件的要求和规定，首先对投标人的投标资格和投标文件进行符合性评审。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2.询标</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（1）投标文件中有含义不明确的内容、明显文字或计算错误，评标委员会认为需要投标人作出必要澄清、说明的，应当组织询标。</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r>
        <w:rPr>
          <w:rFonts w:hint="eastAsia" w:ascii="宋体" w:hAnsi="宋体" w:cs="宋体"/>
          <w:b w:val="0"/>
          <w:i w:val="0"/>
          <w:caps w:val="0"/>
          <w:strike/>
          <w:color w:val="auto"/>
          <w:spacing w:val="0"/>
          <w:w w:val="100"/>
          <w:sz w:val="21"/>
          <w:szCs w:val="21"/>
        </w:rPr>
        <w:t>询标应通过专用录音电话通知相关投标人。</w:t>
      </w:r>
      <w:r>
        <w:rPr>
          <w:rFonts w:hint="eastAsia" w:ascii="宋体" w:hAnsi="宋体" w:cs="宋体"/>
          <w:b w:val="0"/>
          <w:i w:val="0"/>
          <w:caps w:val="0"/>
          <w:color w:val="auto"/>
          <w:spacing w:val="0"/>
          <w:w w:val="100"/>
          <w:sz w:val="21"/>
          <w:szCs w:val="21"/>
        </w:rPr>
        <w:t>询标内容及投标人的澄清、说明应当采用书面形式，并不得超出投标文件的范围或者改变投标文件的实质性内容。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（4）评标委员会不得暗示或者诱导投标人作出澄清、说明，不得接受投标人主动提出的澄清、说明。</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（5）投标人不得通过补充、修改或撤消投标文件中的内容使其成为实质性响应的投标，投标人在投标截止时间以后不得提交任何资料作为评标依据。</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（二）技术标（满分70分）</w:t>
      </w:r>
    </w:p>
    <w:tbl>
      <w:tblPr>
        <w:tblStyle w:val="3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774"/>
        <w:gridCol w:w="1160"/>
        <w:gridCol w:w="1853"/>
        <w:gridCol w:w="60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03" w:hRule="atLeast"/>
          <w:jc w:val="center"/>
        </w:trPr>
        <w:tc>
          <w:tcPr>
            <w:tcW w:w="982" w:type="pct"/>
            <w:gridSpan w:val="2"/>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条款号</w:t>
            </w: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评审因素</w:t>
            </w:r>
          </w:p>
        </w:tc>
        <w:tc>
          <w:tcPr>
            <w:tcW w:w="3077"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73" w:hRule="atLeast"/>
          <w:jc w:val="center"/>
        </w:trPr>
        <w:tc>
          <w:tcPr>
            <w:tcW w:w="982" w:type="pct"/>
            <w:gridSpan w:val="2"/>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分值构成</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（总分70分）</w:t>
            </w:r>
          </w:p>
        </w:tc>
        <w:tc>
          <w:tcPr>
            <w:tcW w:w="3077" w:type="pct"/>
            <w:shd w:val="clear" w:color="000000" w:fill="FFFFFF"/>
            <w:tcMar>
              <w:left w:w="108" w:type="dxa"/>
              <w:right w:w="108" w:type="dxa"/>
            </w:tcMar>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A=资信部分评审：</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u w:val="single" w:color="FF0000"/>
              </w:rPr>
              <w:t>19</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分；</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B=技术部分评审：</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u w:val="single" w:color="FF0000"/>
              </w:rPr>
              <w:t>51</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09" w:hRule="atLeast"/>
          <w:jc w:val="center"/>
        </w:trPr>
        <w:tc>
          <w:tcPr>
            <w:tcW w:w="393" w:type="pct"/>
            <w:vMerge w:val="restar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589" w:type="pct"/>
            <w:vMerge w:val="restart"/>
            <w:shd w:val="clear" w:color="000000" w:fill="FFFFFF"/>
            <w:tcMar>
              <w:left w:w="108" w:type="dxa"/>
              <w:right w:w="108" w:type="dxa"/>
            </w:tcMar>
            <w:vAlign w:val="center"/>
          </w:tcPr>
          <w:p>
            <w:pPr>
              <w:snapToGrid w:val="0"/>
              <w:spacing w:before="0" w:beforeAutospacing="0" w:after="0" w:afterAutospacing="0" w:line="360" w:lineRule="exact"/>
              <w:ind w:left="-199" w:leftChars="-95" w:right="-165"/>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资信部分</w:t>
            </w:r>
          </w:p>
          <w:p>
            <w:pPr>
              <w:snapToGrid w:val="0"/>
              <w:spacing w:before="0" w:beforeAutospacing="0" w:after="0" w:afterAutospacing="0" w:line="360" w:lineRule="exact"/>
              <w:ind w:left="-199" w:leftChars="-95" w:right="-165"/>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评分标准</w:t>
            </w:r>
            <w:r>
              <w:rPr>
                <w:rFonts w:hint="eastAsia" w:ascii="宋体" w:hAnsi="宋体" w:cs="宋体"/>
                <w:b w:val="0"/>
                <w:i w:val="0"/>
                <w:caps w:val="0"/>
                <w:color w:val="auto"/>
                <w:spacing w:val="0"/>
                <w:w w:val="100"/>
                <w:sz w:val="21"/>
                <w:szCs w:val="21"/>
              </w:rPr>
              <w:br w:type="textWrapping"/>
            </w:r>
            <w:r>
              <w:rPr>
                <w:rFonts w:hint="eastAsia" w:ascii="宋体" w:hAnsi="宋体" w:cs="宋体"/>
                <w:b w:val="0"/>
                <w:i w:val="0"/>
                <w:caps w:val="0"/>
                <w:color w:val="auto"/>
                <w:spacing w:val="0"/>
                <w:w w:val="100"/>
                <w:sz w:val="21"/>
                <w:szCs w:val="21"/>
              </w:rPr>
              <w:t>（A=</w:t>
            </w:r>
            <w:r>
              <w:rPr>
                <w:rFonts w:hint="eastAsia" w:ascii="宋体" w:hAnsi="宋体" w:cs="宋体"/>
                <w:b w:val="0"/>
                <w:i w:val="0"/>
                <w:caps w:val="0"/>
                <w:color w:val="auto"/>
                <w:spacing w:val="0"/>
                <w:w w:val="100"/>
                <w:sz w:val="21"/>
                <w:szCs w:val="21"/>
              </w:rPr>
              <w:t xml:space="preserve"> 19</w:t>
            </w:r>
            <w:r>
              <w:rPr>
                <w:rFonts w:hint="eastAsia" w:ascii="宋体" w:hAnsi="宋体" w:cs="宋体"/>
                <w:b w:val="0"/>
                <w:i w:val="0"/>
                <w:caps w:val="0"/>
                <w:color w:val="auto"/>
                <w:spacing w:val="0"/>
                <w:w w:val="100"/>
                <w:sz w:val="21"/>
                <w:szCs w:val="21"/>
              </w:rPr>
              <w:t>分）</w:t>
            </w: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制造商资信</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（3分）</w:t>
            </w:r>
          </w:p>
        </w:tc>
        <w:tc>
          <w:tcPr>
            <w:tcW w:w="3077" w:type="pct"/>
            <w:shd w:val="clear" w:color="000000" w:fill="FFFFFF"/>
            <w:tcMar>
              <w:left w:w="108" w:type="dxa"/>
              <w:right w:w="108" w:type="dxa"/>
            </w:tcMar>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投标品牌制造商通过ISO9001质量管理体系认证、ISO14001环境管理体系认证、ISO45001职业健康安全管理体系认证的，</w:t>
            </w:r>
            <w:r>
              <w:rPr>
                <w:rFonts w:hint="eastAsia" w:ascii="宋体" w:hAnsi="宋体" w:cs="宋体"/>
                <w:b w:val="0"/>
                <w:i w:val="0"/>
                <w:caps w:val="0"/>
                <w:color w:val="auto"/>
                <w:spacing w:val="0"/>
                <w:w w:val="100"/>
                <w:sz w:val="21"/>
                <w:szCs w:val="21"/>
              </w:rPr>
              <w:t>每项得1分，最高得3分。</w:t>
            </w:r>
            <w:r>
              <w:rPr>
                <w:rFonts w:hint="eastAsia" w:ascii="宋体" w:hAnsi="宋体" w:cs="宋体"/>
                <w:b w:val="0"/>
                <w:i w:val="0"/>
                <w:caps w:val="0"/>
                <w:color w:val="auto"/>
                <w:spacing w:val="0"/>
                <w:w w:val="100"/>
                <w:sz w:val="21"/>
                <w:szCs w:val="21"/>
              </w:rPr>
              <w:t>注：投标文件中须提供有效认证证书复印件，未提供不得分。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5"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技术研发</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（2分）</w:t>
            </w:r>
          </w:p>
        </w:tc>
        <w:tc>
          <w:tcPr>
            <w:tcW w:w="3077" w:type="pct"/>
            <w:shd w:val="clear" w:color="000000" w:fill="FFFFFF"/>
            <w:tcMar>
              <w:left w:w="108" w:type="dxa"/>
              <w:right w:w="108" w:type="dxa"/>
            </w:tcMar>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1、投标人所投的品牌具有有效期内物流系统相关软件著作权证书的,每提供一份得0.5分，最高得1分。</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注：投标文件中须提供软件著作权证书复印件，未提供不得分。</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2、投标人所投的品牌具有有效期内物流系统相关专利证书的，每提供一份得0.5分，最高得1分。</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注：投标文件中须提供专利证书复印件，未提供不得分。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237"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企业信用</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（2分）</w:t>
            </w:r>
          </w:p>
        </w:tc>
        <w:tc>
          <w:tcPr>
            <w:tcW w:w="3077" w:type="pct"/>
            <w:shd w:val="clear" w:color="000000" w:fill="FFFFFF"/>
            <w:tcMar>
              <w:left w:w="108" w:type="dxa"/>
              <w:right w:w="108" w:type="dxa"/>
            </w:tcMar>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投标人具有信用评级机构出具的资信等级证书，AAA级的得2分，AA级的得1.5分，A级的得1分。</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注：投标文件中须提供相关证书复印件，未提供不得分。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6"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成功案例及业绩</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w:t>
            </w:r>
            <w:r>
              <w:rPr>
                <w:rFonts w:hint="eastAsia" w:ascii="宋体" w:hAnsi="宋体" w:cs="宋体"/>
                <w:b w:val="0"/>
                <w:i w:val="0"/>
                <w:caps w:val="0"/>
                <w:color w:val="auto"/>
                <w:spacing w:val="0"/>
                <w:w w:val="100"/>
                <w:sz w:val="21"/>
                <w:szCs w:val="21"/>
              </w:rPr>
              <w:t>8</w:t>
            </w:r>
            <w:r>
              <w:rPr>
                <w:rFonts w:hint="eastAsia" w:ascii="宋体" w:hAnsi="宋体" w:cs="宋体"/>
                <w:b w:val="0"/>
                <w:i w:val="0"/>
                <w:caps w:val="0"/>
                <w:color w:val="auto"/>
                <w:spacing w:val="0"/>
                <w:w w:val="100"/>
                <w:sz w:val="21"/>
                <w:szCs w:val="21"/>
              </w:rPr>
              <w:t>分）</w:t>
            </w:r>
          </w:p>
        </w:tc>
        <w:tc>
          <w:tcPr>
            <w:tcW w:w="3077" w:type="pct"/>
            <w:shd w:val="clear" w:color="000000" w:fill="FFFFFF"/>
            <w:tcMar>
              <w:left w:w="108" w:type="dxa"/>
              <w:right w:w="108" w:type="dxa"/>
            </w:tcMar>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投标人所投的品牌具有自2016年1月1日以来（以验收证明时间为准）完成过国内同类物流系统并通过验收且已经投运项目的业绩：</w:t>
            </w:r>
          </w:p>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箱式物流系统单项合同金额大于1000万元的，每提供一个业绩得2分。本项最多提供3个业绩，最高得6分，没有不得分。</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2、提供气动物流系统运行案例的，得2分，没有不得分。</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注：投标文件中须同时提供合同、验收证明</w:t>
            </w:r>
            <w:r>
              <w:rPr>
                <w:rFonts w:hint="eastAsia" w:ascii="宋体" w:hAnsi="宋体" w:cs="宋体"/>
                <w:b w:val="0"/>
                <w:i w:val="0"/>
                <w:caps w:val="0"/>
                <w:color w:val="auto"/>
                <w:spacing w:val="0"/>
                <w:w w:val="100"/>
                <w:sz w:val="21"/>
                <w:szCs w:val="21"/>
              </w:rPr>
              <w:t>（业主盖章）</w:t>
            </w:r>
            <w:r>
              <w:rPr>
                <w:rFonts w:hint="eastAsia" w:ascii="宋体" w:hAnsi="宋体" w:cs="宋体"/>
                <w:b w:val="0"/>
                <w:i w:val="0"/>
                <w:caps w:val="0"/>
                <w:color w:val="auto"/>
                <w:spacing w:val="0"/>
                <w:w w:val="100"/>
                <w:sz w:val="21"/>
                <w:szCs w:val="21"/>
              </w:rPr>
              <w:t>复印件，未提供不得分。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88"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资质（2分）</w:t>
            </w:r>
          </w:p>
        </w:tc>
        <w:tc>
          <w:tcPr>
            <w:tcW w:w="3077" w:type="pct"/>
            <w:shd w:val="clear" w:color="000000" w:fill="FFFFFF"/>
            <w:tcMar>
              <w:left w:w="108" w:type="dxa"/>
              <w:right w:w="108" w:type="dxa"/>
            </w:tcMar>
            <w:vAlign w:val="center"/>
          </w:tcPr>
          <w:p>
            <w:pPr>
              <w:tabs>
                <w:tab w:val="left" w:pos="3060"/>
              </w:tabs>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投标人具备机电工程施工总承包二级及以上资质或建筑机电安装工程专业承包二级及以上资质的，得2分；</w:t>
            </w:r>
          </w:p>
          <w:p>
            <w:pPr>
              <w:tabs>
                <w:tab w:val="left" w:pos="3060"/>
              </w:tabs>
              <w:snapToGrid w:val="0"/>
              <w:spacing w:before="0" w:beforeAutospacing="0" w:after="0" w:afterAutospacing="0" w:line="360" w:lineRule="exact"/>
              <w:jc w:val="both"/>
              <w:textAlignment w:val="baseline"/>
              <w:rPr>
                <w:b w:val="0"/>
                <w:i w:val="0"/>
                <w:caps w:val="0"/>
                <w:color w:val="auto"/>
                <w:spacing w:val="0"/>
                <w:w w:val="100"/>
                <w:sz w:val="20"/>
              </w:rPr>
            </w:pPr>
            <w:r>
              <w:rPr>
                <w:rFonts w:hint="eastAsia" w:ascii="宋体" w:hAnsi="宋体" w:cs="宋体"/>
                <w:b w:val="0"/>
                <w:i w:val="0"/>
                <w:caps w:val="0"/>
                <w:color w:val="auto"/>
                <w:spacing w:val="0"/>
                <w:w w:val="100"/>
                <w:sz w:val="21"/>
                <w:szCs w:val="21"/>
              </w:rPr>
              <w:t>投标人具备机电工程施工总承包三级或建筑机电安装工程专业承包三级资质的，得1分；</w:t>
            </w:r>
          </w:p>
          <w:p>
            <w:pPr>
              <w:tabs>
                <w:tab w:val="left" w:pos="3060"/>
              </w:tabs>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注：投标文件中须提供相关资质证书复印件，未提供不得分。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79"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人员配置</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（2分）</w:t>
            </w:r>
          </w:p>
        </w:tc>
        <w:tc>
          <w:tcPr>
            <w:tcW w:w="3077" w:type="pct"/>
            <w:shd w:val="clear" w:color="000000" w:fill="FFFFFF"/>
            <w:tcMar>
              <w:left w:w="108" w:type="dxa"/>
              <w:right w:w="108" w:type="dxa"/>
            </w:tcMar>
            <w:vAlign w:val="center"/>
          </w:tcPr>
          <w:p>
            <w:pPr>
              <w:tabs>
                <w:tab w:val="left" w:pos="3060"/>
              </w:tabs>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拟派本项目的项目负责人具有机电工程二级及以上注册建造师证的，得2分。</w:t>
            </w:r>
          </w:p>
          <w:p>
            <w:pPr>
              <w:pStyle w:val="29"/>
              <w:snapToGrid w:val="0"/>
              <w:spacing w:before="0" w:beforeAutospacing="0" w:after="0" w:afterAutospacing="0" w:line="360" w:lineRule="exact"/>
              <w:ind w:firstLine="0" w:firstLineChars="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注：投标文件中提供注册证书复印件，同时须提供缴费期限包含</w:t>
            </w:r>
            <w:r>
              <w:rPr>
                <w:rFonts w:hint="eastAsia" w:ascii="宋体" w:hAnsi="宋体" w:cs="宋体"/>
                <w:b w:val="0"/>
                <w:i w:val="0"/>
                <w:caps w:val="0"/>
                <w:color w:val="auto"/>
                <w:spacing w:val="0"/>
                <w:w w:val="100"/>
                <w:sz w:val="21"/>
                <w:szCs w:val="21"/>
              </w:rPr>
              <w:t>2021年6月至2021年8月</w:t>
            </w:r>
            <w:r>
              <w:rPr>
                <w:rFonts w:hint="eastAsia" w:ascii="宋体" w:hAnsi="宋体" w:cs="宋体"/>
                <w:b w:val="0"/>
                <w:i w:val="0"/>
                <w:caps w:val="0"/>
                <w:color w:val="auto"/>
                <w:spacing w:val="0"/>
                <w:w w:val="100"/>
                <w:sz w:val="21"/>
                <w:szCs w:val="21"/>
              </w:rPr>
              <w:t>的投标人所属社保机构养老保险交纳清单或证明（缴费单位和投标人名称必须一致</w:t>
            </w:r>
            <w:r>
              <w:rPr>
                <w:rFonts w:hint="eastAsia" w:ascii="宋体" w:hAnsi="宋体" w:cs="宋体"/>
                <w:b w:val="0"/>
                <w:i w:val="0"/>
                <w:caps w:val="0"/>
                <w:color w:val="auto"/>
                <w:spacing w:val="0"/>
                <w:w w:val="100"/>
                <w:kern w:val="2"/>
                <w:sz w:val="21"/>
                <w:szCs w:val="21"/>
              </w:rPr>
              <w:t>（非独立法人的分公司社保也予以认可）</w:t>
            </w:r>
            <w:r>
              <w:rPr>
                <w:rFonts w:hint="eastAsia" w:ascii="宋体" w:hAnsi="宋体" w:cs="宋体"/>
                <w:b w:val="0"/>
                <w:i w:val="0"/>
                <w:caps w:val="0"/>
                <w:color w:val="auto"/>
                <w:spacing w:val="0"/>
                <w:w w:val="100"/>
                <w:sz w:val="21"/>
                <w:szCs w:val="21"/>
              </w:rPr>
              <w:t>，并加盖社保缴费证明专用章），未提供不得分。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0" w:hRule="atLeast"/>
          <w:jc w:val="center"/>
        </w:trPr>
        <w:tc>
          <w:tcPr>
            <w:tcW w:w="393" w:type="pct"/>
            <w:vMerge w:val="restar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589" w:type="pct"/>
            <w:vMerge w:val="restar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技术部分评分标准</w:t>
            </w:r>
          </w:p>
          <w:p>
            <w:pPr>
              <w:snapToGrid w:val="0"/>
              <w:spacing w:before="0" w:beforeAutospacing="0" w:after="0" w:afterAutospacing="0" w:line="360" w:lineRule="exact"/>
              <w:ind w:left="-168" w:leftChars="-80" w:right="-105"/>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（B=</w:t>
            </w:r>
            <w:r>
              <w:rPr>
                <w:rFonts w:hint="eastAsia" w:ascii="宋体" w:hAnsi="宋体" w:cs="宋体"/>
                <w:b w:val="0"/>
                <w:i w:val="0"/>
                <w:caps w:val="0"/>
                <w:color w:val="auto"/>
                <w:spacing w:val="0"/>
                <w:w w:val="100"/>
                <w:sz w:val="21"/>
                <w:szCs w:val="21"/>
              </w:rPr>
              <w:t xml:space="preserve"> 51</w:t>
            </w:r>
            <w:r>
              <w:rPr>
                <w:rFonts w:hint="eastAsia" w:ascii="宋体" w:hAnsi="宋体" w:cs="宋体"/>
                <w:b w:val="0"/>
                <w:i w:val="0"/>
                <w:caps w:val="0"/>
                <w:color w:val="auto"/>
                <w:spacing w:val="0"/>
                <w:w w:val="100"/>
                <w:sz w:val="21"/>
                <w:szCs w:val="21"/>
              </w:rPr>
              <w:t>分）</w:t>
            </w: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项目实施方案计划及技术措施</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（5分）</w:t>
            </w:r>
          </w:p>
        </w:tc>
        <w:tc>
          <w:tcPr>
            <w:tcW w:w="3077" w:type="pct"/>
            <w:shd w:val="clear" w:color="000000" w:fill="FFFFFF"/>
            <w:tcMar>
              <w:left w:w="108" w:type="dxa"/>
              <w:right w:w="108" w:type="dxa"/>
            </w:tcMa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投标文件中详细说明施工组织措施（包括技术方案、项目实施计划、工期网络图、安装调试方案、整体外观图片资料等）、验收大纲及标准、售后服务等，评审委员会根据实际情况进行横向比较打分，</w:t>
            </w:r>
            <w:r>
              <w:rPr>
                <w:rFonts w:hint="eastAsia" w:ascii="宋体" w:hAnsi="宋体" w:cs="宋体"/>
                <w:b w:val="0"/>
                <w:i w:val="0"/>
                <w:caps w:val="0"/>
                <w:color w:val="auto"/>
                <w:spacing w:val="0"/>
                <w:w w:val="100"/>
                <w:sz w:val="21"/>
                <w:szCs w:val="21"/>
              </w:rPr>
              <w:t>按5分、4分、3分、2分、1分五档赋分，</w:t>
            </w:r>
            <w:r>
              <w:rPr>
                <w:rFonts w:hint="eastAsia" w:ascii="宋体" w:hAnsi="宋体" w:cs="宋体"/>
                <w:b w:val="0"/>
                <w:i w:val="0"/>
                <w:caps w:val="0"/>
                <w:color w:val="auto"/>
                <w:spacing w:val="0"/>
                <w:w w:val="100"/>
                <w:sz w:val="21"/>
                <w:szCs w:val="21"/>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07"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质保期优惠</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（6分）</w:t>
            </w:r>
          </w:p>
        </w:tc>
        <w:tc>
          <w:tcPr>
            <w:tcW w:w="3077" w:type="pct"/>
            <w:shd w:val="clear" w:color="000000" w:fill="FFFFFF"/>
            <w:tcMar>
              <w:left w:w="108" w:type="dxa"/>
              <w:right w:w="108" w:type="dxa"/>
            </w:tcMa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质保期期限仅满足招标文件规定的质保期</w:t>
            </w:r>
            <w:r>
              <w:rPr>
                <w:rFonts w:hint="eastAsia" w:ascii="宋体" w:hAnsi="宋体" w:cs="宋体"/>
                <w:b w:val="0"/>
                <w:i w:val="0"/>
                <w:caps w:val="0"/>
                <w:color w:val="auto"/>
                <w:spacing w:val="0"/>
                <w:w w:val="100"/>
                <w:sz w:val="21"/>
                <w:szCs w:val="21"/>
              </w:rPr>
              <w:t>（至少24个月）</w:t>
            </w:r>
            <w:r>
              <w:rPr>
                <w:rFonts w:hint="eastAsia" w:ascii="宋体" w:hAnsi="宋体" w:cs="宋体"/>
                <w:b w:val="0"/>
                <w:i w:val="0"/>
                <w:caps w:val="0"/>
                <w:color w:val="auto"/>
                <w:spacing w:val="0"/>
                <w:w w:val="100"/>
                <w:sz w:val="21"/>
                <w:szCs w:val="21"/>
              </w:rPr>
              <w:t>要求的，得0分；超过招标文件规定的质保期每12个月的，得2分，最高得6分。</w:t>
            </w:r>
          </w:p>
          <w:p>
            <w:pPr>
              <w:pStyle w:val="29"/>
              <w:snapToGrid w:val="0"/>
              <w:spacing w:before="0" w:beforeAutospacing="0" w:after="0" w:afterAutospacing="0" w:line="360" w:lineRule="exact"/>
              <w:ind w:firstLine="0" w:firstLineChars="0"/>
              <w:jc w:val="both"/>
              <w:textAlignment w:val="baseline"/>
              <w:rPr>
                <w:rFonts w:ascii="宋体" w:hAnsi="宋体" w:cs="宋体"/>
                <w:b w:val="0"/>
                <w:i w:val="0"/>
                <w:caps w:val="0"/>
                <w:color w:val="auto"/>
                <w:spacing w:val="0"/>
                <w:w w:val="100"/>
                <w:sz w:val="21"/>
                <w:szCs w:val="21"/>
              </w:rPr>
            </w:pPr>
            <w:r>
              <w:rPr>
                <w:rFonts w:hint="eastAsia" w:ascii="宋体" w:hAnsi="宋体" w:cs="宋体"/>
                <w:b/>
                <w:bCs/>
                <w:i w:val="0"/>
                <w:caps w:val="0"/>
                <w:color w:val="auto"/>
                <w:spacing w:val="0"/>
                <w:w w:val="100"/>
                <w:sz w:val="21"/>
                <w:szCs w:val="21"/>
              </w:rPr>
              <w:t>注：质保期优惠包含人工、材料及配件费（含附件列表）等。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73"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  备品备件等</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（3分）</w:t>
            </w:r>
          </w:p>
        </w:tc>
        <w:tc>
          <w:tcPr>
            <w:tcW w:w="3077" w:type="pct"/>
            <w:shd w:val="clear" w:color="000000" w:fill="FFFFFF"/>
            <w:tcMar>
              <w:left w:w="108" w:type="dxa"/>
              <w:right w:w="108" w:type="dxa"/>
            </w:tcMar>
            <w:vAlign w:val="center"/>
          </w:tcPr>
          <w:p>
            <w:pPr>
              <w:pStyle w:val="9"/>
              <w:snapToGrid w:val="0"/>
              <w:spacing w:before="100" w:beforeAutospacing="0" w:after="100" w:afterAutospacing="0" w:line="360" w:lineRule="exact"/>
              <w:jc w:val="left"/>
              <w:textAlignment w:val="baseline"/>
              <w:rPr>
                <w:rFonts w:ascii="宋体" w:hAnsi="宋体" w:eastAsia="宋体" w:cs="宋体"/>
                <w:b w:val="0"/>
                <w:i w:val="0"/>
                <w:caps w:val="0"/>
                <w:color w:val="auto"/>
                <w:spacing w:val="0"/>
                <w:w w:val="100"/>
                <w:sz w:val="21"/>
                <w:szCs w:val="21"/>
              </w:rPr>
            </w:pPr>
            <w:r>
              <w:rPr>
                <w:rFonts w:hint="eastAsia" w:ascii="宋体" w:hAnsi="宋体" w:eastAsia="宋体" w:cs="宋体"/>
                <w:b w:val="0"/>
                <w:i w:val="0"/>
                <w:caps w:val="0"/>
                <w:color w:val="auto"/>
                <w:spacing w:val="0"/>
                <w:w w:val="100"/>
                <w:sz w:val="21"/>
                <w:szCs w:val="21"/>
              </w:rPr>
              <w:t>投标人提供的材料、辅助材料、专用工具及备品备件（易损件）等合理性由专家横向比较后进行打分，</w:t>
            </w:r>
            <w:r>
              <w:rPr>
                <w:rFonts w:hint="eastAsia" w:ascii="宋体" w:hAnsi="宋体" w:eastAsia="宋体" w:cs="宋体"/>
                <w:b w:val="0"/>
                <w:i w:val="0"/>
                <w:caps w:val="0"/>
                <w:color w:val="auto"/>
                <w:spacing w:val="0"/>
                <w:w w:val="100"/>
                <w:sz w:val="21"/>
                <w:szCs w:val="21"/>
              </w:rPr>
              <w:t>按3分、2分、1分三档赋分，未提供不得分。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873"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系统功能演示</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（10分）</w:t>
            </w:r>
          </w:p>
        </w:tc>
        <w:tc>
          <w:tcPr>
            <w:tcW w:w="3077" w:type="pct"/>
            <w:shd w:val="clear" w:color="000000" w:fill="FFFFFF"/>
            <w:tcMar>
              <w:left w:w="108" w:type="dxa"/>
              <w:right w:w="108" w:type="dxa"/>
            </w:tcMar>
            <w:vAlign w:val="center"/>
          </w:tcPr>
          <w:p>
            <w:pPr>
              <w:tabs>
                <w:tab w:val="left" w:pos="3060"/>
              </w:tabs>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提供系统技术要求以下条款中描述的功能在使用医院项目上的实物视频演示（单独封装放入技术标内）,系统技术要求中3.1.5智能监控系统、</w:t>
            </w:r>
            <w:r>
              <w:rPr>
                <w:rFonts w:hint="eastAsia" w:ascii="宋体" w:hAnsi="宋体" w:cs="宋体"/>
                <w:b w:val="0"/>
                <w:i w:val="0"/>
                <w:caps w:val="0"/>
                <w:color w:val="auto"/>
                <w:spacing w:val="0"/>
                <w:w w:val="100"/>
                <w:sz w:val="21"/>
                <w:szCs w:val="21"/>
                <w:lang w:bidi="ar"/>
              </w:rPr>
              <w:t>5.1.3.10 信息化对接、</w:t>
            </w:r>
            <w:r>
              <w:rPr>
                <w:rFonts w:hint="eastAsia" w:ascii="宋体" w:hAnsi="宋体" w:cs="宋体"/>
                <w:b w:val="0"/>
                <w:i w:val="0"/>
                <w:caps w:val="0"/>
                <w:color w:val="auto"/>
                <w:spacing w:val="0"/>
                <w:w w:val="100"/>
                <w:sz w:val="21"/>
                <w:szCs w:val="21"/>
              </w:rPr>
              <w:t>6.4.5物流站点智能交互系统、6.4.6智能站点安全防护系统、6.4.7物品电子化全过程追溯系统并提供所演示使用医院单位出具的证明文件。</w:t>
            </w:r>
          </w:p>
          <w:p>
            <w:pPr>
              <w:tabs>
                <w:tab w:val="left" w:pos="3060"/>
              </w:tabs>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以上条款一项符合要求的，得2分，未提供所演示使用医院单位出具的证明文件不得分。</w:t>
            </w:r>
          </w:p>
          <w:p>
            <w:pPr>
              <w:tabs>
                <w:tab w:val="left" w:pos="3060"/>
              </w:tabs>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注：演示时间不超过10分钟。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16" w:hRule="atLeast"/>
          <w:jc w:val="center"/>
        </w:trPr>
        <w:tc>
          <w:tcPr>
            <w:tcW w:w="393"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589" w:type="pct"/>
            <w:vMerge w:val="continue"/>
            <w:shd w:val="clear" w:color="000000" w:fill="FFFFFF"/>
            <w:tcMar>
              <w:left w:w="108" w:type="dxa"/>
              <w:right w:w="108" w:type="dxa"/>
            </w:tcMar>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941" w:type="pct"/>
            <w:shd w:val="clear" w:color="000000" w:fill="FFFFFF"/>
            <w:tcMar>
              <w:left w:w="108" w:type="dxa"/>
              <w:right w:w="108" w:type="dxa"/>
            </w:tcMar>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技术参数指标响应情况</w:t>
            </w:r>
          </w:p>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w:t>
            </w:r>
            <w:r>
              <w:rPr>
                <w:rFonts w:hint="eastAsia" w:ascii="宋体" w:hAnsi="宋体" w:cs="宋体"/>
                <w:b w:val="0"/>
                <w:i w:val="0"/>
                <w:caps w:val="0"/>
                <w:color w:val="auto"/>
                <w:spacing w:val="0"/>
                <w:w w:val="100"/>
                <w:sz w:val="21"/>
                <w:szCs w:val="21"/>
              </w:rPr>
              <w:t>27</w:t>
            </w:r>
            <w:r>
              <w:rPr>
                <w:rFonts w:hint="eastAsia" w:ascii="宋体" w:hAnsi="宋体" w:cs="宋体"/>
                <w:b w:val="0"/>
                <w:i w:val="0"/>
                <w:caps w:val="0"/>
                <w:color w:val="auto"/>
                <w:spacing w:val="0"/>
                <w:w w:val="100"/>
                <w:sz w:val="21"/>
                <w:szCs w:val="21"/>
              </w:rPr>
              <w:t>分）</w:t>
            </w:r>
          </w:p>
        </w:tc>
        <w:tc>
          <w:tcPr>
            <w:tcW w:w="3077" w:type="pct"/>
            <w:shd w:val="clear" w:color="000000" w:fill="FFFFFF"/>
            <w:tcMar>
              <w:left w:w="108" w:type="dxa"/>
              <w:right w:w="108" w:type="dxa"/>
            </w:tcMar>
            <w:vAlign w:val="center"/>
          </w:tcPr>
          <w:p>
            <w:pPr>
              <w:pStyle w:val="65"/>
              <w:snapToGrid w:val="0"/>
              <w:spacing w:before="0" w:beforeAutospacing="0" w:after="0" w:afterAutospacing="0" w:line="360" w:lineRule="exact"/>
              <w:jc w:val="both"/>
              <w:textAlignment w:val="baseline"/>
              <w:rPr>
                <w:rFonts w:hAnsi="宋体" w:eastAsia="宋体"/>
                <w:b w:val="0"/>
                <w:i w:val="0"/>
                <w:caps w:val="0"/>
                <w:color w:val="auto"/>
                <w:spacing w:val="0"/>
                <w:w w:val="100"/>
                <w:sz w:val="21"/>
                <w:szCs w:val="21"/>
                <w:lang w:val="zh-CN" w:bidi="zh-CN"/>
              </w:rPr>
            </w:pPr>
            <w:r>
              <w:rPr>
                <w:rFonts w:hint="eastAsia" w:hAnsi="宋体" w:eastAsia="宋体"/>
                <w:b w:val="0"/>
                <w:i w:val="0"/>
                <w:caps w:val="0"/>
                <w:color w:val="auto"/>
                <w:spacing w:val="0"/>
                <w:w w:val="100"/>
                <w:sz w:val="21"/>
                <w:szCs w:val="21"/>
                <w:lang w:val="zh-CN" w:bidi="zh-CN"/>
              </w:rPr>
              <w:t>根据各投标人所投设备性能以及技术参数和设备质量对招标文件各项基本要求（招标货物清单及技术要求中各项条款）的逐项响应、承诺等方面情况由评委进行评议打分，投标人所投设备完全满足招标文件技术规范及要求的，得</w:t>
            </w:r>
            <w:r>
              <w:rPr>
                <w:rFonts w:hint="eastAsia" w:hAnsi="宋体" w:eastAsia="宋体"/>
                <w:b w:val="0"/>
                <w:i w:val="0"/>
                <w:caps w:val="0"/>
                <w:color w:val="auto"/>
                <w:spacing w:val="0"/>
                <w:w w:val="100"/>
                <w:sz w:val="21"/>
                <w:szCs w:val="21"/>
                <w:lang w:bidi="zh-CN"/>
              </w:rPr>
              <w:t>27</w:t>
            </w:r>
            <w:r>
              <w:rPr>
                <w:rFonts w:hint="eastAsia" w:hAnsi="宋体" w:eastAsia="宋体"/>
                <w:b w:val="0"/>
                <w:i w:val="0"/>
                <w:caps w:val="0"/>
                <w:color w:val="auto"/>
                <w:spacing w:val="0"/>
                <w:w w:val="100"/>
                <w:sz w:val="21"/>
                <w:szCs w:val="21"/>
                <w:lang w:val="zh-CN" w:bidi="zh-CN"/>
              </w:rPr>
              <w:t xml:space="preserve">分。有负偏离情况的，评标委员会将根据该技术参数的负偏离对所投设备的使用影响程度进行以下扣分： </w:t>
            </w:r>
          </w:p>
          <w:p>
            <w:pPr>
              <w:pStyle w:val="65"/>
              <w:snapToGrid w:val="0"/>
              <w:spacing w:before="0" w:beforeAutospacing="0" w:after="0" w:afterAutospacing="0" w:line="360" w:lineRule="exact"/>
              <w:jc w:val="both"/>
              <w:textAlignment w:val="baseline"/>
              <w:rPr>
                <w:rFonts w:hAnsi="宋体" w:eastAsia="宋体"/>
                <w:b w:val="0"/>
                <w:i w:val="0"/>
                <w:caps w:val="0"/>
                <w:color w:val="auto"/>
                <w:spacing w:val="0"/>
                <w:w w:val="100"/>
                <w:sz w:val="21"/>
                <w:szCs w:val="21"/>
                <w:lang w:bidi="zh-CN"/>
              </w:rPr>
            </w:pPr>
            <w:r>
              <w:rPr>
                <w:rFonts w:hint="eastAsia" w:hAnsi="宋体" w:eastAsia="宋体"/>
                <w:b w:val="0"/>
                <w:i w:val="0"/>
                <w:caps w:val="0"/>
                <w:color w:val="auto"/>
                <w:spacing w:val="0"/>
                <w:w w:val="100"/>
                <w:sz w:val="21"/>
                <w:szCs w:val="21"/>
                <w:lang w:val="zh-CN" w:bidi="zh-CN"/>
              </w:rPr>
              <w:t xml:space="preserve">(1)技术要求中标注 “▲”号的指标，每负偏离一项扣2分； </w:t>
            </w:r>
            <w:r>
              <w:rPr>
                <w:rFonts w:hint="eastAsia" w:hAnsi="宋体" w:eastAsia="宋体"/>
                <w:b w:val="0"/>
                <w:i w:val="0"/>
                <w:caps w:val="0"/>
                <w:color w:val="auto"/>
                <w:spacing w:val="0"/>
                <w:w w:val="100"/>
                <w:sz w:val="21"/>
                <w:szCs w:val="21"/>
                <w:lang w:bidi="zh-CN"/>
              </w:rPr>
              <w:t>其他指标，</w:t>
            </w:r>
            <w:r>
              <w:rPr>
                <w:rFonts w:hint="eastAsia" w:hAnsi="宋体" w:eastAsia="宋体"/>
                <w:b w:val="0"/>
                <w:i w:val="0"/>
                <w:caps w:val="0"/>
                <w:color w:val="auto"/>
                <w:spacing w:val="0"/>
                <w:w w:val="100"/>
                <w:sz w:val="21"/>
                <w:szCs w:val="21"/>
                <w:lang w:val="zh-CN" w:bidi="zh-CN"/>
              </w:rPr>
              <w:t>每负偏离一项扣</w:t>
            </w:r>
            <w:r>
              <w:rPr>
                <w:rFonts w:hint="eastAsia" w:hAnsi="宋体" w:eastAsia="宋体"/>
                <w:b w:val="0"/>
                <w:i w:val="0"/>
                <w:caps w:val="0"/>
                <w:color w:val="auto"/>
                <w:spacing w:val="0"/>
                <w:w w:val="100"/>
                <w:sz w:val="21"/>
                <w:szCs w:val="21"/>
                <w:lang w:bidi="zh-CN"/>
              </w:rPr>
              <w:t>1</w:t>
            </w:r>
            <w:r>
              <w:rPr>
                <w:rFonts w:hint="eastAsia" w:hAnsi="宋体" w:eastAsia="宋体"/>
                <w:b w:val="0"/>
                <w:i w:val="0"/>
                <w:caps w:val="0"/>
                <w:color w:val="auto"/>
                <w:spacing w:val="0"/>
                <w:w w:val="100"/>
                <w:sz w:val="21"/>
                <w:szCs w:val="21"/>
                <w:lang w:val="zh-CN" w:bidi="zh-CN"/>
              </w:rPr>
              <w:t>分，扣完为止。</w:t>
            </w:r>
          </w:p>
          <w:p>
            <w:pPr>
              <w:pStyle w:val="65"/>
              <w:snapToGrid w:val="0"/>
              <w:spacing w:before="0" w:beforeAutospacing="0" w:after="0" w:afterAutospacing="0" w:line="360" w:lineRule="exact"/>
              <w:jc w:val="both"/>
              <w:textAlignment w:val="baseline"/>
              <w:rPr>
                <w:rFonts w:hAnsi="宋体" w:eastAsia="宋体"/>
                <w:b w:val="0"/>
                <w:i w:val="0"/>
                <w:caps w:val="0"/>
                <w:color w:val="auto"/>
                <w:spacing w:val="0"/>
                <w:w w:val="100"/>
                <w:sz w:val="21"/>
                <w:szCs w:val="21"/>
                <w:lang w:val="zh-CN" w:bidi="zh-CN"/>
              </w:rPr>
            </w:pPr>
            <w:r>
              <w:rPr>
                <w:rFonts w:hint="eastAsia" w:hAnsi="宋体" w:eastAsia="宋体"/>
                <w:b w:val="0"/>
                <w:i w:val="0"/>
                <w:caps w:val="0"/>
                <w:color w:val="auto"/>
                <w:spacing w:val="0"/>
                <w:w w:val="100"/>
                <w:sz w:val="21"/>
                <w:szCs w:val="21"/>
                <w:lang w:val="zh-CN" w:bidi="zh-CN"/>
              </w:rPr>
              <w:t>(2)正偏离不加分。</w:t>
            </w:r>
          </w:p>
          <w:p>
            <w:pPr>
              <w:pStyle w:val="65"/>
              <w:snapToGrid w:val="0"/>
              <w:spacing w:before="0" w:beforeAutospacing="0" w:after="0" w:afterAutospacing="0" w:line="360" w:lineRule="exact"/>
              <w:jc w:val="both"/>
              <w:textAlignment w:val="baseline"/>
              <w:rPr>
                <w:rFonts w:hAnsi="宋体" w:eastAsia="宋体"/>
                <w:b w:val="0"/>
                <w:i w:val="0"/>
                <w:caps w:val="0"/>
                <w:color w:val="auto"/>
                <w:spacing w:val="0"/>
                <w:w w:val="100"/>
                <w:sz w:val="21"/>
                <w:szCs w:val="21"/>
                <w:lang w:val="zh-CN" w:bidi="zh-CN"/>
              </w:rPr>
            </w:pPr>
            <w:r>
              <w:rPr>
                <w:rFonts w:hint="eastAsia" w:hAnsi="宋体" w:eastAsia="宋体"/>
                <w:b w:val="0"/>
                <w:i w:val="0"/>
                <w:caps w:val="0"/>
                <w:color w:val="auto"/>
                <w:spacing w:val="0"/>
                <w:w w:val="100"/>
                <w:sz w:val="21"/>
                <w:szCs w:val="21"/>
                <w:lang w:bidi="zh-CN"/>
              </w:rPr>
              <w:t>(3)本打分项不对系统功能演示部分技术参数进行评分。</w:t>
            </w:r>
            <w:r>
              <w:rPr>
                <w:rFonts w:hint="eastAsia" w:hAnsi="宋体" w:eastAsia="宋体"/>
                <w:b w:val="0"/>
                <w:i w:val="0"/>
                <w:caps w:val="0"/>
                <w:color w:val="auto"/>
                <w:spacing w:val="0"/>
                <w:w w:val="100"/>
                <w:sz w:val="21"/>
                <w:szCs w:val="21"/>
                <w:lang w:val="zh-CN" w:bidi="zh-CN"/>
              </w:rPr>
              <w:t xml:space="preserve"> </w:t>
            </w:r>
          </w:p>
          <w:p>
            <w:pPr>
              <w:pStyle w:val="65"/>
              <w:snapToGrid w:val="0"/>
              <w:spacing w:before="0" w:beforeAutospacing="0" w:after="0" w:afterAutospacing="0" w:line="360" w:lineRule="exact"/>
              <w:jc w:val="both"/>
              <w:textAlignment w:val="baseline"/>
              <w:rPr>
                <w:rFonts w:hAnsi="宋体" w:eastAsia="宋体"/>
                <w:b w:val="0"/>
                <w:i w:val="0"/>
                <w:caps w:val="0"/>
                <w:color w:val="auto"/>
                <w:spacing w:val="0"/>
                <w:w w:val="100"/>
                <w:sz w:val="21"/>
                <w:szCs w:val="21"/>
              </w:rPr>
            </w:pPr>
            <w:r>
              <w:rPr>
                <w:rFonts w:hint="eastAsia" w:hAnsi="宋体" w:eastAsia="宋体"/>
                <w:b w:val="0"/>
                <w:i w:val="0"/>
                <w:caps w:val="0"/>
                <w:color w:val="auto"/>
                <w:spacing w:val="0"/>
                <w:w w:val="100"/>
                <w:sz w:val="21"/>
                <w:szCs w:val="21"/>
                <w:lang w:val="zh-CN" w:bidi="zh-CN"/>
              </w:rPr>
              <w:t>注：实质性技术要求条款以“★”号标注，有一条负偏离即为无效标。</w:t>
            </w:r>
          </w:p>
        </w:tc>
      </w:tr>
    </w:tbl>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u w:val="single"/>
        </w:rPr>
      </w:pPr>
      <w:r>
        <w:rPr>
          <w:rFonts w:hint="eastAsia" w:ascii="宋体" w:hAnsi="宋体" w:cs="宋体"/>
          <w:b/>
          <w:i w:val="0"/>
          <w:caps w:val="0"/>
          <w:color w:val="auto"/>
          <w:spacing w:val="0"/>
          <w:w w:val="100"/>
          <w:sz w:val="21"/>
          <w:szCs w:val="21"/>
          <w:u w:val="single" w:color="000000"/>
        </w:rPr>
        <w:t>注：</w:t>
      </w:r>
      <w:r>
        <w:rPr>
          <w:rFonts w:hint="eastAsia" w:ascii="宋体" w:hAnsi="宋体" w:cs="宋体"/>
          <w:b/>
          <w:bCs/>
          <w:i w:val="0"/>
          <w:iCs/>
          <w:caps w:val="0"/>
          <w:color w:val="auto"/>
          <w:spacing w:val="0"/>
          <w:w w:val="100"/>
          <w:sz w:val="21"/>
          <w:szCs w:val="21"/>
          <w:u w:val="single" w:color="000000"/>
        </w:rPr>
        <w:t>1.所有证书都应在有效期内，逾期不得分。2.上述评分项目，任何由于投标人原因导致书面及证明材料缺失、字迹模糊无法分辨、内容错漏的情形，均可能导致该投标人的评审项失分。3.中标后招标人将对中标单位的相关评分（包括技术标准和要求中要求提供的证书、报告等内容，如有）原件进行核查，投标人须对提供的相关证明材料真实性负责，如有虚假，将依法承担相应责任，如中标则作无效标处理。</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由评标委员会全体成员负责对投标文件的技术标部分采用记名方式各自评分。如发现某个单项的评分超出了规定的分值范围的，则该张评分表无效。各投标人技术标得分为：如评标专家为7人及以上，则从评标专家的有效评分中扣除一个最高总分和一个最低总分后的算术平均值（保留小数2位）。</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（三）投标文件的商务标评审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1、由评标委员会全体成员对投标文件的报价进行评审。评标专家应对报价的范围、数量、单价、费用组成和总价等进行全面审阅和对比分析，找出报价差异的原因及存在的问题。</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2、报价评审应以报价口径范围一致的投标评标价为依据。投标评标价应在最终报价的基础上，按照招标文件约定的因素和方法进行计算。</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3、评标基准价由评标委员会依据下述方法计算，除计算差错外，确认后的评标基准价在本次招标期间保持不变。</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计算差错，仅限于以下两种情况：（1）纯算术性四则运算差错；（2）未按约定的计算方法，多计或者少计投标人报价的。由于评标差错，导致否决投标错误，重新评标纠正等其他情况，不属于计算差错。</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4、报价评分（0-30分）</w:t>
      </w:r>
    </w:p>
    <w:p>
      <w:pPr>
        <w:snapToGrid w:val="0"/>
        <w:spacing w:before="0" w:beforeAutospacing="0" w:after="156" w:afterAutospacing="0" w:line="360" w:lineRule="exact"/>
        <w:ind w:firstLine="420" w:firstLineChars="200"/>
        <w:jc w:val="left"/>
        <w:textAlignment w:val="baseline"/>
        <w:rPr>
          <w:rFonts w:ascii="宋体" w:hAnsi="宋体" w:cs="宋体"/>
          <w:b/>
          <w:i w:val="0"/>
          <w:caps w:val="0"/>
          <w:color w:val="auto"/>
          <w:spacing w:val="0"/>
          <w:w w:val="100"/>
          <w:sz w:val="20"/>
          <w:szCs w:val="21"/>
        </w:rPr>
      </w:pPr>
      <w:r>
        <w:rPr>
          <w:rFonts w:hint="eastAsia" w:ascii="宋体" w:hAnsi="宋体" w:cs="宋体"/>
          <w:b w:val="0"/>
          <w:i w:val="0"/>
          <w:caps w:val="0"/>
          <w:color w:val="auto"/>
          <w:spacing w:val="0"/>
          <w:w w:val="100"/>
          <w:sz w:val="21"/>
          <w:szCs w:val="21"/>
        </w:rPr>
        <w:t>☑</w:t>
      </w:r>
      <w:r>
        <w:rPr>
          <w:rFonts w:hint="eastAsia" w:ascii="宋体" w:hAnsi="宋体" w:cs="宋体"/>
          <w:b/>
          <w:i w:val="0"/>
          <w:caps w:val="0"/>
          <w:color w:val="auto"/>
          <w:spacing w:val="0"/>
          <w:w w:val="100"/>
          <w:sz w:val="21"/>
          <w:szCs w:val="21"/>
        </w:rPr>
        <w:t xml:space="preserve">  平均价法</w:t>
      </w:r>
    </w:p>
    <w:tbl>
      <w:tblPr>
        <w:tblStyle w:val="3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2"/>
        <w:gridCol w:w="756"/>
        <w:gridCol w:w="6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133" w:type="pct"/>
            <w:vAlign w:val="center"/>
          </w:tcPr>
          <w:p>
            <w:pPr>
              <w:pStyle w:val="77"/>
              <w:snapToGrid w:val="0"/>
              <w:spacing w:before="0" w:beforeAutospacing="0" w:after="0" w:afterAutospacing="0" w:line="240" w:lineRule="auto"/>
              <w:ind w:firstLine="0" w:firstLineChars="0"/>
              <w:jc w:val="center"/>
              <w:textAlignment w:val="baseline"/>
              <w:rPr>
                <w:rFonts w:ascii="宋体" w:hAnsi="宋体" w:cs="宋体"/>
                <w:b/>
                <w:i w:val="0"/>
                <w:caps w:val="0"/>
                <w:color w:val="auto"/>
                <w:spacing w:val="0"/>
                <w:w w:val="100"/>
                <w:sz w:val="21"/>
              </w:rPr>
            </w:pPr>
            <w:r>
              <w:rPr>
                <w:rFonts w:hint="eastAsia" w:ascii="宋体" w:hAnsi="宋体" w:cs="宋体"/>
                <w:b/>
                <w:i w:val="0"/>
                <w:caps w:val="0"/>
                <w:color w:val="auto"/>
                <w:spacing w:val="0"/>
                <w:w w:val="100"/>
                <w:sz w:val="21"/>
              </w:rPr>
              <w:t>评价项目</w:t>
            </w:r>
          </w:p>
        </w:tc>
        <w:tc>
          <w:tcPr>
            <w:tcW w:w="384" w:type="pct"/>
            <w:vAlign w:val="center"/>
          </w:tcPr>
          <w:p>
            <w:pPr>
              <w:pStyle w:val="77"/>
              <w:snapToGrid w:val="0"/>
              <w:spacing w:before="0" w:beforeAutospacing="0" w:after="0" w:afterAutospacing="0" w:line="240" w:lineRule="auto"/>
              <w:ind w:firstLine="0" w:firstLineChars="0"/>
              <w:jc w:val="center"/>
              <w:textAlignment w:val="baseline"/>
              <w:rPr>
                <w:rFonts w:ascii="宋体" w:hAnsi="宋体" w:cs="宋体"/>
                <w:b/>
                <w:i w:val="0"/>
                <w:caps w:val="0"/>
                <w:color w:val="auto"/>
                <w:spacing w:val="0"/>
                <w:w w:val="100"/>
                <w:sz w:val="21"/>
              </w:rPr>
            </w:pPr>
            <w:r>
              <w:rPr>
                <w:rFonts w:hint="eastAsia" w:ascii="宋体" w:hAnsi="宋体" w:cs="宋体"/>
                <w:b/>
                <w:i w:val="0"/>
                <w:caps w:val="0"/>
                <w:color w:val="auto"/>
                <w:spacing w:val="0"/>
                <w:w w:val="100"/>
                <w:sz w:val="21"/>
              </w:rPr>
              <w:t>分值</w:t>
            </w:r>
          </w:p>
        </w:tc>
        <w:tc>
          <w:tcPr>
            <w:tcW w:w="3483" w:type="pct"/>
            <w:vAlign w:val="center"/>
          </w:tcPr>
          <w:p>
            <w:pPr>
              <w:pStyle w:val="77"/>
              <w:snapToGrid w:val="0"/>
              <w:spacing w:before="0" w:beforeAutospacing="0" w:after="0" w:afterAutospacing="0" w:line="240" w:lineRule="auto"/>
              <w:ind w:firstLine="0" w:firstLineChars="0"/>
              <w:jc w:val="center"/>
              <w:textAlignment w:val="baseline"/>
              <w:rPr>
                <w:rFonts w:ascii="宋体" w:hAnsi="宋体" w:cs="宋体"/>
                <w:b/>
                <w:i w:val="0"/>
                <w:caps w:val="0"/>
                <w:color w:val="auto"/>
                <w:spacing w:val="0"/>
                <w:w w:val="100"/>
                <w:sz w:val="21"/>
              </w:rPr>
            </w:pPr>
            <w:r>
              <w:rPr>
                <w:rFonts w:hint="eastAsia" w:ascii="宋体" w:hAnsi="宋体" w:cs="宋体"/>
                <w:b/>
                <w:i w:val="0"/>
                <w:caps w:val="0"/>
                <w:color w:val="auto"/>
                <w:spacing w:val="0"/>
                <w:w w:val="100"/>
                <w:sz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33" w:type="pct"/>
            <w:vAlign w:val="center"/>
          </w:tcPr>
          <w:p>
            <w:pPr>
              <w:pStyle w:val="77"/>
              <w:snapToGrid w:val="0"/>
              <w:spacing w:before="0" w:beforeAutospacing="0" w:after="0" w:afterAutospacing="0" w:line="240" w:lineRule="auto"/>
              <w:ind w:firstLine="0" w:firstLineChars="0"/>
              <w:jc w:val="center"/>
              <w:textAlignment w:val="baseline"/>
              <w:rPr>
                <w:rFonts w:ascii="宋体" w:hAnsi="宋体" w:cs="宋体"/>
                <w:b w:val="0"/>
                <w:i w:val="0"/>
                <w:caps w:val="0"/>
                <w:color w:val="auto"/>
                <w:spacing w:val="0"/>
                <w:w w:val="100"/>
                <w:sz w:val="21"/>
              </w:rPr>
            </w:pPr>
            <w:r>
              <w:rPr>
                <w:rFonts w:hint="eastAsia" w:ascii="宋体" w:hAnsi="宋体" w:cs="宋体"/>
                <w:b w:val="0"/>
                <w:i w:val="0"/>
                <w:caps w:val="0"/>
                <w:color w:val="auto"/>
                <w:spacing w:val="0"/>
                <w:w w:val="100"/>
                <w:sz w:val="21"/>
              </w:rPr>
              <w:t>投标报价</w:t>
            </w:r>
          </w:p>
          <w:p>
            <w:pPr>
              <w:pStyle w:val="77"/>
              <w:snapToGrid w:val="0"/>
              <w:spacing w:before="0" w:beforeAutospacing="0" w:after="0" w:afterAutospacing="0" w:line="240" w:lineRule="auto"/>
              <w:ind w:firstLine="0" w:firstLineChars="0"/>
              <w:jc w:val="center"/>
              <w:textAlignment w:val="baseline"/>
              <w:rPr>
                <w:rFonts w:ascii="宋体" w:hAnsi="宋体" w:cs="宋体"/>
                <w:b w:val="0"/>
                <w:i w:val="0"/>
                <w:caps w:val="0"/>
                <w:color w:val="auto"/>
                <w:spacing w:val="0"/>
                <w:w w:val="100"/>
                <w:sz w:val="21"/>
              </w:rPr>
            </w:pPr>
          </w:p>
        </w:tc>
        <w:tc>
          <w:tcPr>
            <w:tcW w:w="384" w:type="pct"/>
            <w:vAlign w:val="center"/>
          </w:tcPr>
          <w:p>
            <w:pPr>
              <w:pStyle w:val="77"/>
              <w:snapToGrid w:val="0"/>
              <w:spacing w:before="0" w:beforeAutospacing="0" w:after="0" w:afterAutospacing="0" w:line="240" w:lineRule="auto"/>
              <w:ind w:firstLine="0" w:firstLineChars="0"/>
              <w:jc w:val="center"/>
              <w:textAlignment w:val="baseline"/>
              <w:rPr>
                <w:rFonts w:ascii="宋体" w:hAnsi="宋体" w:cs="宋体"/>
                <w:b w:val="0"/>
                <w:i w:val="0"/>
                <w:caps w:val="0"/>
                <w:color w:val="auto"/>
                <w:spacing w:val="0"/>
                <w:w w:val="100"/>
                <w:sz w:val="21"/>
              </w:rPr>
            </w:pPr>
            <w:r>
              <w:rPr>
                <w:rFonts w:hint="eastAsia" w:ascii="宋体" w:hAnsi="宋体" w:cs="宋体"/>
                <w:b w:val="0"/>
                <w:i w:val="0"/>
                <w:caps w:val="0"/>
                <w:color w:val="auto"/>
                <w:spacing w:val="0"/>
                <w:w w:val="100"/>
                <w:sz w:val="21"/>
              </w:rPr>
              <w:t>30分</w:t>
            </w:r>
          </w:p>
        </w:tc>
        <w:tc>
          <w:tcPr>
            <w:tcW w:w="3483" w:type="pct"/>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（1）评分范围：通过符合性审查的所有投标文件进入评分范围。</w:t>
            </w:r>
          </w:p>
          <w:p>
            <w:pPr>
              <w:pStyle w:val="77"/>
              <w:snapToGrid w:val="0"/>
              <w:spacing w:before="0" w:beforeAutospacing="0" w:after="0" w:afterAutospacing="0" w:line="360" w:lineRule="exact"/>
              <w:ind w:firstLine="0" w:firstLineChars="0"/>
              <w:jc w:val="both"/>
              <w:textAlignment w:val="baseline"/>
              <w:rPr>
                <w:rFonts w:ascii="宋体" w:hAnsi="宋体" w:cs="宋体"/>
                <w:b w:val="0"/>
                <w:i w:val="0"/>
                <w:caps w:val="0"/>
                <w:color w:val="auto"/>
                <w:spacing w:val="0"/>
                <w:w w:val="100"/>
                <w:sz w:val="21"/>
              </w:rPr>
            </w:pPr>
            <w:r>
              <w:rPr>
                <w:rFonts w:hint="eastAsia" w:ascii="宋体" w:hAnsi="宋体" w:cs="宋体"/>
                <w:b w:val="0"/>
                <w:i w:val="0"/>
                <w:caps w:val="0"/>
                <w:color w:val="auto"/>
                <w:spacing w:val="0"/>
                <w:w w:val="100"/>
                <w:sz w:val="21"/>
              </w:rPr>
              <w:t>（2）评标基准价：进入评分范围的投标评标价的算术平均值为评标基准价（投标评标价在5个（含）至7个（含）时，去除一个最高价和一个最低价；投标评标价在8个及以上时，去除一个最高、次高价和一个最低、次低价）。</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（3）根据投标文件的投标评标价与评标基准价对比，计算各投标人商务报价的得分值。即：</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a.投标评标价等于评标基准价时，得满分</w:t>
            </w:r>
            <w:r>
              <w:rPr>
                <w:rFonts w:hint="eastAsia" w:ascii="宋体" w:hAnsi="宋体" w:cs="宋体"/>
                <w:b/>
                <w:i w:val="0"/>
                <w:caps w:val="0"/>
                <w:color w:val="auto"/>
                <w:spacing w:val="0"/>
                <w:w w:val="100"/>
                <w:sz w:val="21"/>
                <w:szCs w:val="21"/>
              </w:rPr>
              <w:t>（30分）</w:t>
            </w:r>
            <w:r>
              <w:rPr>
                <w:rFonts w:hint="eastAsia" w:ascii="宋体" w:hAnsi="宋体" w:cs="宋体"/>
                <w:b w:val="0"/>
                <w:i w:val="0"/>
                <w:caps w:val="0"/>
                <w:color w:val="auto"/>
                <w:spacing w:val="0"/>
                <w:w w:val="100"/>
                <w:sz w:val="21"/>
                <w:szCs w:val="21"/>
              </w:rPr>
              <w:t>；</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b.投标评标价每低于评标基准价1个百分点，扣1分；</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c.投标评标价每高于评标基准价1个百分点，扣2分。</w:t>
            </w:r>
          </w:p>
          <w:p>
            <w:pPr>
              <w:pStyle w:val="77"/>
              <w:snapToGrid w:val="0"/>
              <w:spacing w:before="0" w:beforeAutospacing="0" w:after="0" w:afterAutospacing="0" w:line="360" w:lineRule="exact"/>
              <w:ind w:firstLine="0" w:firstLineChars="0"/>
              <w:jc w:val="both"/>
              <w:textAlignment w:val="baseline"/>
              <w:rPr>
                <w:rFonts w:ascii="宋体" w:hAnsi="宋体" w:cs="宋体"/>
                <w:b w:val="0"/>
                <w:i w:val="0"/>
                <w:caps w:val="0"/>
                <w:color w:val="auto"/>
                <w:spacing w:val="0"/>
                <w:w w:val="100"/>
                <w:sz w:val="21"/>
              </w:rPr>
            </w:pPr>
            <w:r>
              <w:rPr>
                <w:rFonts w:hint="eastAsia" w:ascii="宋体" w:hAnsi="宋体" w:cs="宋体"/>
                <w:b w:val="0"/>
                <w:i w:val="0"/>
                <w:caps w:val="0"/>
                <w:color w:val="auto"/>
                <w:spacing w:val="0"/>
                <w:w w:val="100"/>
                <w:sz w:val="21"/>
              </w:rPr>
              <w:t>以上报价得分不足一个百分点时，使用直线插入法计算，保留小数2位。</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如投标报价评分不足0分的，则按0分计取。</w:t>
            </w:r>
          </w:p>
        </w:tc>
      </w:tr>
    </w:tbl>
    <w:p>
      <w:pPr>
        <w:snapToGrid w:val="0"/>
        <w:spacing w:before="0" w:beforeAutospacing="0" w:after="0" w:afterAutospacing="0" w:line="360" w:lineRule="exact"/>
        <w:ind w:firstLine="402" w:firstLineChars="200"/>
        <w:jc w:val="both"/>
        <w:textAlignment w:val="baseline"/>
        <w:rPr>
          <w:rFonts w:ascii="宋体" w:hAnsi="宋体" w:cs="宋体"/>
          <w:b/>
          <w:i w:val="0"/>
          <w:caps w:val="0"/>
          <w:color w:val="auto"/>
          <w:spacing w:val="0"/>
          <w:w w:val="100"/>
          <w:sz w:val="20"/>
          <w:szCs w:val="20"/>
        </w:rPr>
      </w:pPr>
    </w:p>
    <w:p>
      <w:pPr>
        <w:snapToGrid w:val="0"/>
        <w:spacing w:before="0" w:beforeAutospacing="0" w:after="0" w:afterAutospacing="0" w:line="360" w:lineRule="exact"/>
        <w:ind w:firstLine="422"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（四）投标文件的综合评分：</w:t>
      </w:r>
      <w:r>
        <w:rPr>
          <w:rFonts w:hint="eastAsia" w:ascii="宋体" w:hAnsi="宋体" w:cs="宋体"/>
          <w:b w:val="0"/>
          <w:i w:val="0"/>
          <w:caps w:val="0"/>
          <w:color w:val="auto"/>
          <w:spacing w:val="0"/>
          <w:w w:val="100"/>
          <w:sz w:val="21"/>
          <w:szCs w:val="21"/>
        </w:rPr>
        <w:t>投标文件的技术标评分、商务标评分的总和。</w:t>
      </w:r>
    </w:p>
    <w:p>
      <w:pPr>
        <w:snapToGrid w:val="0"/>
        <w:spacing w:before="0" w:beforeAutospacing="0" w:after="0" w:afterAutospacing="0" w:line="360" w:lineRule="exact"/>
        <w:ind w:firstLine="422"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（五）对投标人进行排序，推荐中标候选人</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评标委员会根据综合评分对进入评分范围的投标文件按最终得分由高到低进行排序，评分相同时，报价低者优先；评分、报价均相同时，技术得分高优先；评分、报价、技术得分均相同时，由招标人通过抽签方式排序。</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2、评标委员会根据投标人须知前附表7.1规定，</w:t>
      </w:r>
      <w:r>
        <w:rPr>
          <w:rFonts w:hint="eastAsia" w:ascii="宋体" w:hAnsi="宋体" w:cs="宋体"/>
          <w:b w:val="0"/>
          <w:i w:val="0"/>
          <w:caps w:val="0"/>
          <w:strike/>
          <w:color w:val="auto"/>
          <w:spacing w:val="0"/>
          <w:w w:val="100"/>
          <w:sz w:val="21"/>
          <w:szCs w:val="21"/>
        </w:rPr>
        <w:t>确定中标人或</w:t>
      </w:r>
      <w:r>
        <w:rPr>
          <w:rFonts w:hint="eastAsia" w:ascii="宋体" w:hAnsi="宋体" w:cs="宋体"/>
          <w:b w:val="0"/>
          <w:i w:val="0"/>
          <w:caps w:val="0"/>
          <w:color w:val="auto"/>
          <w:spacing w:val="0"/>
          <w:w w:val="100"/>
          <w:sz w:val="21"/>
          <w:szCs w:val="21"/>
        </w:rPr>
        <w:t>推荐中标候选人。</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五、完成评标报告</w:t>
      </w:r>
    </w:p>
    <w:p>
      <w:pPr>
        <w:snapToGrid w:val="0"/>
        <w:spacing w:before="0" w:beforeAutospacing="0" w:after="0" w:afterAutospacing="0" w:line="360" w:lineRule="exact"/>
        <w:ind w:firstLine="422"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（一）评标委员会应当向招标人提交书面评标报告。</w:t>
      </w:r>
      <w:r>
        <w:rPr>
          <w:rFonts w:hint="eastAsia" w:ascii="宋体" w:hAnsi="宋体" w:cs="宋体"/>
          <w:b w:val="0"/>
          <w:i w:val="0"/>
          <w:caps w:val="0"/>
          <w:color w:val="auto"/>
          <w:spacing w:val="0"/>
          <w:w w:val="100"/>
          <w:sz w:val="21"/>
          <w:szCs w:val="21"/>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（二）评标报告应包括以下内容：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1、开标记录；</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2、评标内容、过程和结果；</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3、询标澄清纪要；</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4、否决投标情况说明及依据；</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5、推荐中标候选人；</w:t>
      </w:r>
    </w:p>
    <w:p>
      <w:pPr>
        <w:snapToGrid w:val="0"/>
        <w:spacing w:before="0" w:beforeAutospacing="0" w:after="0" w:afterAutospacing="0" w:line="360" w:lineRule="exact"/>
        <w:ind w:firstLine="420" w:firstLineChars="200"/>
        <w:jc w:val="both"/>
        <w:textAlignment w:val="baseline"/>
        <w:rPr>
          <w:rFonts w:ascii="宋体" w:hAnsi="宋体" w:cs="宋体"/>
          <w:b w:val="0"/>
          <w:i w:val="0"/>
          <w:iCs/>
          <w:caps w:val="0"/>
          <w:color w:val="auto"/>
          <w:spacing w:val="0"/>
          <w:w w:val="100"/>
          <w:sz w:val="20"/>
          <w:szCs w:val="21"/>
        </w:rPr>
      </w:pPr>
      <w:r>
        <w:rPr>
          <w:rFonts w:hint="eastAsia" w:ascii="宋体" w:hAnsi="宋体" w:cs="宋体"/>
          <w:b w:val="0"/>
          <w:i w:val="0"/>
          <w:caps w:val="0"/>
          <w:color w:val="auto"/>
          <w:spacing w:val="0"/>
          <w:w w:val="100"/>
          <w:sz w:val="21"/>
          <w:szCs w:val="21"/>
        </w:rPr>
        <w:t>6、中标候选人投标资格条件业绩和评分业绩</w:t>
      </w:r>
      <w:r>
        <w:rPr>
          <w:rFonts w:hint="eastAsia" w:ascii="宋体" w:hAnsi="宋体" w:cs="宋体"/>
          <w:b w:val="0"/>
          <w:i w:val="0"/>
          <w:iCs/>
          <w:caps w:val="0"/>
          <w:color w:val="auto"/>
          <w:spacing w:val="0"/>
          <w:w w:val="100"/>
          <w:sz w:val="21"/>
          <w:szCs w:val="21"/>
        </w:rPr>
        <w:t>（招标文件对投标资格或评分有业绩要求的）；</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7、其他建议。</w:t>
      </w:r>
      <w:bookmarkStart w:id="395" w:name="_Toc152045609"/>
      <w:bookmarkStart w:id="396" w:name="_Toc392345963"/>
      <w:bookmarkStart w:id="397" w:name="_Toc229646768"/>
      <w:bookmarkStart w:id="398" w:name="_Toc144974577"/>
      <w:bookmarkStart w:id="399" w:name="_Toc152042387"/>
    </w:p>
    <w:p>
      <w:pPr>
        <w:pStyle w:val="3"/>
        <w:snapToGrid w:val="0"/>
        <w:spacing w:before="120" w:beforeAutospacing="0" w:after="120" w:afterAutospacing="0" w:line="400" w:lineRule="exact"/>
        <w:ind w:firstLine="65" w:firstLineChars="31"/>
        <w:jc w:val="center"/>
        <w:textAlignment w:val="baseline"/>
        <w:rPr>
          <w:b/>
          <w:i w:val="0"/>
          <w:caps w:val="0"/>
          <w:color w:val="auto"/>
          <w:spacing w:val="0"/>
          <w:w w:val="100"/>
          <w:sz w:val="28"/>
        </w:rPr>
      </w:pPr>
      <w:bookmarkStart w:id="400" w:name="_Toc2565"/>
      <w:r>
        <w:rPr>
          <w:rFonts w:hint="eastAsia" w:ascii="宋体" w:hAnsi="宋体" w:eastAsia="宋体" w:cs="宋体"/>
          <w:b/>
          <w:bCs w:val="0"/>
          <w:i w:val="0"/>
          <w:caps w:val="0"/>
          <w:color w:val="auto"/>
          <w:spacing w:val="0"/>
          <w:w w:val="100"/>
          <w:sz w:val="21"/>
          <w:szCs w:val="21"/>
        </w:rPr>
        <w:br w:type="page"/>
      </w:r>
    </w:p>
    <w:p>
      <w:pPr>
        <w:snapToGrid w:val="0"/>
        <w:spacing w:before="120" w:beforeAutospacing="0" w:after="120" w:afterAutospacing="0" w:line="400" w:lineRule="exact"/>
        <w:ind w:firstLine="87" w:firstLineChars="31"/>
        <w:jc w:val="center"/>
        <w:textAlignment w:val="baseline"/>
        <w:rPr>
          <w:b/>
          <w:i w:val="0"/>
          <w:caps w:val="0"/>
          <w:color w:val="auto"/>
          <w:spacing w:val="0"/>
          <w:w w:val="100"/>
          <w:sz w:val="28"/>
        </w:rPr>
      </w:pPr>
      <w:r>
        <w:rPr>
          <w:rFonts w:hint="eastAsia"/>
          <w:b/>
          <w:i w:val="0"/>
          <w:caps w:val="0"/>
          <w:color w:val="auto"/>
          <w:spacing w:val="0"/>
          <w:w w:val="100"/>
          <w:sz w:val="28"/>
        </w:rPr>
        <w:t>第四章 合同条款及格式</w:t>
      </w:r>
      <w:bookmarkEnd w:id="395"/>
      <w:bookmarkEnd w:id="396"/>
      <w:bookmarkEnd w:id="397"/>
      <w:bookmarkEnd w:id="398"/>
      <w:bookmarkEnd w:id="399"/>
      <w:bookmarkEnd w:id="400"/>
    </w:p>
    <w:p>
      <w:pPr>
        <w:keepLines/>
        <w:snapToGrid w:val="0"/>
        <w:spacing w:before="468" w:beforeAutospacing="0" w:after="156" w:afterAutospacing="0" w:line="400" w:lineRule="exact"/>
        <w:ind w:firstLine="301"/>
        <w:jc w:val="center"/>
        <w:textAlignment w:val="baseline"/>
        <w:rPr>
          <w:b/>
          <w:bCs/>
          <w:i w:val="0"/>
          <w:caps w:val="0"/>
          <w:color w:val="auto"/>
          <w:spacing w:val="0"/>
          <w:w w:val="100"/>
          <w:sz w:val="24"/>
          <w:szCs w:val="24"/>
        </w:rPr>
      </w:pPr>
      <w:bookmarkStart w:id="401" w:name="_Toc297017781"/>
      <w:bookmarkStart w:id="402" w:name="_Toc18320"/>
      <w:bookmarkStart w:id="403" w:name="_Toc406074420"/>
      <w:r>
        <w:rPr>
          <w:rFonts w:hint="eastAsia"/>
          <w:b/>
          <w:bCs/>
          <w:i w:val="0"/>
          <w:caps w:val="0"/>
          <w:color w:val="auto"/>
          <w:spacing w:val="0"/>
          <w:w w:val="100"/>
          <w:sz w:val="24"/>
          <w:szCs w:val="24"/>
        </w:rPr>
        <w:t>一、合同协议书</w:t>
      </w:r>
      <w:bookmarkEnd w:id="401"/>
      <w:bookmarkEnd w:id="402"/>
      <w:bookmarkEnd w:id="403"/>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甲方（发包人、总承包单位）：</w:t>
      </w:r>
      <w:r>
        <w:rPr>
          <w:rFonts w:hint="eastAsia" w:ascii="宋体" w:hAnsi="宋体" w:cs="宋体"/>
          <w:b w:val="0"/>
          <w:i w:val="0"/>
          <w:caps w:val="0"/>
          <w:color w:val="auto"/>
          <w:spacing w:val="0"/>
          <w:w w:val="100"/>
          <w:sz w:val="21"/>
          <w:szCs w:val="21"/>
          <w:u w:val="single" w:color="000000"/>
        </w:rPr>
        <w:t>浙江中成建工集团有限公司</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乙方（承包人）：</w:t>
      </w:r>
      <w:r>
        <w:rPr>
          <w:rFonts w:hint="eastAsia" w:ascii="宋体" w:hAnsi="宋体" w:cs="宋体"/>
          <w:b w:val="0"/>
          <w:i w:val="0"/>
          <w:caps w:val="0"/>
          <w:color w:val="auto"/>
          <w:spacing w:val="0"/>
          <w:w w:val="100"/>
          <w:sz w:val="21"/>
          <w:szCs w:val="21"/>
          <w:u w:val="single" w:color="000000"/>
        </w:rPr>
        <w:t xml:space="preserve">             （承包人名称）           </w:t>
      </w:r>
    </w:p>
    <w:p>
      <w:pPr>
        <w:keepLine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丙方（业主、使用人）：</w:t>
      </w:r>
      <w:r>
        <w:rPr>
          <w:rFonts w:hint="eastAsia" w:ascii="宋体" w:hAnsi="宋体" w:cs="宋体"/>
          <w:b w:val="0"/>
          <w:i w:val="0"/>
          <w:caps w:val="0"/>
          <w:color w:val="auto"/>
          <w:spacing w:val="0"/>
          <w:w w:val="100"/>
          <w:sz w:val="21"/>
          <w:szCs w:val="21"/>
          <w:u w:val="single" w:color="000000"/>
        </w:rPr>
        <w:t>绍兴市中医院、</w:t>
      </w:r>
    </w:p>
    <w:p>
      <w:pPr>
        <w:keepLines/>
        <w:snapToGrid w:val="0"/>
        <w:spacing w:before="0" w:beforeAutospacing="0" w:after="0" w:afterAutospacing="0" w:line="360" w:lineRule="exact"/>
        <w:ind w:firstLine="420" w:firstLineChars="200"/>
        <w:jc w:val="both"/>
        <w:textAlignment w:val="baseline"/>
        <w:rPr>
          <w:rFonts w:ascii="宋体" w:hAnsi="宋体" w:cs="宋体"/>
          <w:b/>
          <w:bCs/>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丁方（代建单位）绍兴市城投建设开发有限公司</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鉴于：丙方为绍兴市中医院改扩建工程建设项目业主单位，丁方为该项目代建方，甲方为该项目总承包单位。现由</w:t>
      </w:r>
      <w:r>
        <w:rPr>
          <w:rFonts w:hint="eastAsia" w:ascii="宋体" w:hAnsi="宋体" w:cs="宋体"/>
          <w:b w:val="0"/>
          <w:i w:val="0"/>
          <w:caps w:val="0"/>
          <w:color w:val="auto"/>
          <w:spacing w:val="0"/>
          <w:w w:val="100"/>
          <w:sz w:val="21"/>
          <w:szCs w:val="21"/>
        </w:rPr>
        <w:t>甲方作为发包人对所需的进行招标（招标编号：         ）。经甲方定标确定为该承包人（乙方）。甲乙丙丁四方同意按照下面的条款和条件，签署本合同。</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一、项目概况</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1、项目名称：</w:t>
      </w:r>
      <w:r>
        <w:rPr>
          <w:rFonts w:hint="eastAsia" w:ascii="宋体" w:hAnsi="宋体" w:cs="宋体"/>
          <w:b w:val="0"/>
          <w:i w:val="0"/>
          <w:caps w:val="0"/>
          <w:color w:val="auto"/>
          <w:spacing w:val="0"/>
          <w:w w:val="100"/>
          <w:sz w:val="21"/>
          <w:szCs w:val="21"/>
          <w:u w:val="single" w:color="000000"/>
        </w:rPr>
        <w:t>绍兴市中医院改扩建工程EPC总承包内医疗物流系统项目。</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u w:val="single"/>
        </w:rPr>
      </w:pPr>
      <w:r>
        <w:rPr>
          <w:rFonts w:hint="eastAsia" w:ascii="宋体" w:hAnsi="宋体" w:cs="宋体"/>
          <w:b w:val="0"/>
          <w:i w:val="0"/>
          <w:caps w:val="0"/>
          <w:color w:val="auto"/>
          <w:spacing w:val="0"/>
          <w:w w:val="100"/>
          <w:sz w:val="21"/>
          <w:szCs w:val="21"/>
        </w:rPr>
        <w:t>2、项目地点：</w:t>
      </w:r>
      <w:r>
        <w:rPr>
          <w:rFonts w:hint="eastAsia" w:ascii="宋体" w:hAnsi="宋体" w:cs="宋体"/>
          <w:b w:val="0"/>
          <w:i w:val="0"/>
          <w:caps w:val="0"/>
          <w:color w:val="auto"/>
          <w:spacing w:val="0"/>
          <w:w w:val="100"/>
          <w:sz w:val="21"/>
          <w:szCs w:val="21"/>
          <w:u w:val="single" w:color="000000"/>
        </w:rPr>
        <w:t>项目位于越城区稽山路以东、环城东路及新世纪公寓以西、人民中路以北、东街以南地块。</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3、项目内容：</w:t>
      </w:r>
      <w:r>
        <w:rPr>
          <w:rStyle w:val="80"/>
          <w:rFonts w:hint="eastAsia" w:ascii="宋体" w:hAnsi="宋体" w:cs="宋体"/>
          <w:b w:val="0"/>
          <w:bCs/>
          <w:i w:val="0"/>
          <w:caps w:val="0"/>
          <w:color w:val="auto"/>
          <w:spacing w:val="0"/>
          <w:w w:val="100"/>
          <w:sz w:val="21"/>
          <w:szCs w:val="21"/>
          <w:u w:val="single" w:color="000000"/>
        </w:rPr>
        <w:t>本招标项目为交钥匙工程</w:t>
      </w:r>
      <w:r>
        <w:rPr>
          <w:rStyle w:val="80"/>
          <w:rFonts w:hint="eastAsia" w:ascii="宋体" w:hAnsi="宋体" w:cs="宋体"/>
          <w:b w:val="0"/>
          <w:i w:val="0"/>
          <w:caps w:val="0"/>
          <w:color w:val="auto"/>
          <w:spacing w:val="0"/>
          <w:w w:val="100"/>
          <w:sz w:val="21"/>
          <w:szCs w:val="21"/>
          <w:u w:val="single" w:color="000000"/>
        </w:rPr>
        <w:t>，包括绍兴市中医院改扩建工程内医疗物流的气动物流传输系统和中型箱式物流传输系统的深化设计及施工，具体内容包括但不限于：完成按业主需求的施工图和技术规范要求的全部内容，包括物流系统的设备材料供货、物流井道（含改扩建区的中型箱式物流土建的物流井道）、运输、卸货、保管、施工、安装调试、检测及设备机房内的装饰装修（含水电暖）等，如有图纸、清单不明确或缺项的内容须无条件按业主要求进行设计和施工，及对现有建筑物的物流管道等的结构补强加固（招标人提供结构参考图纸）、预留孔洞、设备基础、预埋构件、预埋管、套管及其封堵，并最终通过验收；同时负责技术服务与培训，提交相关完整的技术资料（含操作手册）、施工技术档案以及质保期内的维修保养（含质保期内的维保人员驻点服务）等内容。</w:t>
      </w:r>
      <w:r>
        <w:rPr>
          <w:rFonts w:hint="eastAsia" w:ascii="宋体" w:hAnsi="宋体" w:cs="宋体"/>
          <w:b w:val="0"/>
          <w:i w:val="0"/>
          <w:caps w:val="0"/>
          <w:color w:val="auto"/>
          <w:spacing w:val="0"/>
          <w:w w:val="100"/>
          <w:sz w:val="21"/>
          <w:szCs w:val="21"/>
          <w:u w:val="single" w:color="000000"/>
        </w:rPr>
        <w:t>具体详见招标文件技术标准和要求。</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二、合同范围和条件</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本合同的范围和条件应与上述规定的合同文件内容一致。</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三、合同标的及数量</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本合同要求提供的产品、规格和数量见招标文件相关要求。</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四、合同工期</w:t>
      </w:r>
    </w:p>
    <w:p>
      <w:pPr>
        <w:pStyle w:val="66"/>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rPr>
      </w:pPr>
      <w:r>
        <w:rPr>
          <w:rFonts w:hint="eastAsia" w:ascii="宋体" w:hAnsi="宋体" w:cs="宋体"/>
          <w:b w:val="0"/>
          <w:i w:val="0"/>
          <w:caps w:val="0"/>
          <w:color w:val="auto"/>
          <w:spacing w:val="0"/>
          <w:w w:val="100"/>
          <w:sz w:val="21"/>
        </w:rPr>
        <w:t>计划开工日期：</w:t>
      </w:r>
      <w:r>
        <w:rPr>
          <w:rFonts w:hint="eastAsia" w:ascii="宋体" w:hAnsi="宋体" w:cs="宋体"/>
          <w:b w:val="0"/>
          <w:i w:val="0"/>
          <w:caps w:val="0"/>
          <w:color w:val="auto"/>
          <w:spacing w:val="0"/>
          <w:w w:val="100"/>
          <w:sz w:val="21"/>
          <w:u w:val="single" w:color="000000"/>
        </w:rPr>
        <w:t xml:space="preserve">  /  </w:t>
      </w:r>
      <w:r>
        <w:rPr>
          <w:rFonts w:hint="eastAsia" w:ascii="宋体" w:hAnsi="宋体" w:cs="宋体"/>
          <w:b w:val="0"/>
          <w:i w:val="0"/>
          <w:caps w:val="0"/>
          <w:color w:val="auto"/>
          <w:spacing w:val="0"/>
          <w:w w:val="100"/>
          <w:sz w:val="21"/>
        </w:rPr>
        <w:t>年</w:t>
      </w:r>
      <w:r>
        <w:rPr>
          <w:rFonts w:hint="eastAsia" w:ascii="宋体" w:hAnsi="宋体" w:cs="宋体"/>
          <w:b w:val="0"/>
          <w:i w:val="0"/>
          <w:caps w:val="0"/>
          <w:color w:val="auto"/>
          <w:spacing w:val="0"/>
          <w:w w:val="100"/>
          <w:sz w:val="21"/>
          <w:u w:val="single" w:color="000000"/>
        </w:rPr>
        <w:t xml:space="preserve"> / </w:t>
      </w:r>
      <w:r>
        <w:rPr>
          <w:rFonts w:hint="eastAsia" w:ascii="宋体" w:hAnsi="宋体" w:cs="宋体"/>
          <w:b w:val="0"/>
          <w:i w:val="0"/>
          <w:caps w:val="0"/>
          <w:color w:val="auto"/>
          <w:spacing w:val="0"/>
          <w:w w:val="100"/>
          <w:sz w:val="21"/>
        </w:rPr>
        <w:t>月</w:t>
      </w:r>
      <w:r>
        <w:rPr>
          <w:rFonts w:hint="eastAsia" w:ascii="宋体" w:hAnsi="宋体" w:cs="宋体"/>
          <w:b w:val="0"/>
          <w:i w:val="0"/>
          <w:caps w:val="0"/>
          <w:color w:val="auto"/>
          <w:spacing w:val="0"/>
          <w:w w:val="100"/>
          <w:sz w:val="21"/>
          <w:u w:val="single" w:color="000000"/>
        </w:rPr>
        <w:t xml:space="preserve"> / </w:t>
      </w:r>
      <w:r>
        <w:rPr>
          <w:rFonts w:hint="eastAsia" w:ascii="宋体" w:hAnsi="宋体" w:cs="宋体"/>
          <w:b w:val="0"/>
          <w:i w:val="0"/>
          <w:caps w:val="0"/>
          <w:color w:val="auto"/>
          <w:spacing w:val="0"/>
          <w:w w:val="100"/>
          <w:sz w:val="21"/>
        </w:rPr>
        <w:t>日。(以开工报告日期为准）</w:t>
      </w:r>
    </w:p>
    <w:p>
      <w:pPr>
        <w:pStyle w:val="66"/>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rPr>
      </w:pPr>
      <w:r>
        <w:rPr>
          <w:rFonts w:hint="eastAsia" w:ascii="宋体" w:hAnsi="宋体" w:cs="宋体"/>
          <w:b w:val="0"/>
          <w:i w:val="0"/>
          <w:caps w:val="0"/>
          <w:color w:val="auto"/>
          <w:spacing w:val="0"/>
          <w:w w:val="100"/>
          <w:sz w:val="21"/>
        </w:rPr>
        <w:t>计划竣工日期：</w:t>
      </w:r>
      <w:r>
        <w:rPr>
          <w:rFonts w:hint="eastAsia" w:ascii="宋体" w:hAnsi="宋体" w:cs="宋体"/>
          <w:b w:val="0"/>
          <w:i w:val="0"/>
          <w:caps w:val="0"/>
          <w:color w:val="auto"/>
          <w:spacing w:val="0"/>
          <w:w w:val="100"/>
          <w:sz w:val="21"/>
          <w:u w:val="single" w:color="000000"/>
        </w:rPr>
        <w:t xml:space="preserve"> /  </w:t>
      </w:r>
      <w:r>
        <w:rPr>
          <w:rFonts w:hint="eastAsia" w:ascii="宋体" w:hAnsi="宋体" w:cs="宋体"/>
          <w:b w:val="0"/>
          <w:i w:val="0"/>
          <w:caps w:val="0"/>
          <w:color w:val="auto"/>
          <w:spacing w:val="0"/>
          <w:w w:val="100"/>
          <w:sz w:val="21"/>
        </w:rPr>
        <w:t>年</w:t>
      </w:r>
      <w:r>
        <w:rPr>
          <w:rFonts w:hint="eastAsia" w:ascii="宋体" w:hAnsi="宋体" w:cs="宋体"/>
          <w:b w:val="0"/>
          <w:i w:val="0"/>
          <w:caps w:val="0"/>
          <w:color w:val="auto"/>
          <w:spacing w:val="0"/>
          <w:w w:val="100"/>
          <w:sz w:val="21"/>
          <w:u w:val="single" w:color="000000"/>
        </w:rPr>
        <w:t xml:space="preserve"> / </w:t>
      </w:r>
      <w:r>
        <w:rPr>
          <w:rFonts w:hint="eastAsia" w:ascii="宋体" w:hAnsi="宋体" w:cs="宋体"/>
          <w:b w:val="0"/>
          <w:i w:val="0"/>
          <w:caps w:val="0"/>
          <w:color w:val="auto"/>
          <w:spacing w:val="0"/>
          <w:w w:val="100"/>
          <w:sz w:val="21"/>
        </w:rPr>
        <w:t>月</w:t>
      </w:r>
      <w:r>
        <w:rPr>
          <w:rFonts w:hint="eastAsia" w:ascii="宋体" w:hAnsi="宋体" w:cs="宋体"/>
          <w:b w:val="0"/>
          <w:i w:val="0"/>
          <w:caps w:val="0"/>
          <w:color w:val="auto"/>
          <w:spacing w:val="0"/>
          <w:w w:val="100"/>
          <w:sz w:val="21"/>
          <w:u w:val="single" w:color="000000"/>
        </w:rPr>
        <w:t xml:space="preserve"> / </w:t>
      </w:r>
      <w:r>
        <w:rPr>
          <w:rFonts w:hint="eastAsia" w:ascii="宋体" w:hAnsi="宋体" w:cs="宋体"/>
          <w:b w:val="0"/>
          <w:i w:val="0"/>
          <w:caps w:val="0"/>
          <w:color w:val="auto"/>
          <w:spacing w:val="0"/>
          <w:w w:val="100"/>
          <w:sz w:val="21"/>
        </w:rPr>
        <w:t>日。</w:t>
      </w:r>
    </w:p>
    <w:p>
      <w:pPr>
        <w:pStyle w:val="66"/>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rPr>
      </w:pPr>
      <w:r>
        <w:rPr>
          <w:rFonts w:hint="eastAsia" w:ascii="宋体" w:hAnsi="宋体" w:cs="宋体"/>
          <w:b w:val="0"/>
          <w:i w:val="0"/>
          <w:caps w:val="0"/>
          <w:color w:val="auto"/>
          <w:spacing w:val="0"/>
          <w:w w:val="100"/>
          <w:sz w:val="21"/>
          <w:u w:val="single" w:color="000000"/>
        </w:rPr>
        <w:t>扩建区120天（中标通知书发出之日起开始），改建区与改造工程施工进度同步</w:t>
      </w:r>
      <w:r>
        <w:rPr>
          <w:rFonts w:hint="eastAsia" w:ascii="宋体" w:hAnsi="宋体" w:cs="宋体"/>
          <w:b w:val="0"/>
          <w:i w:val="0"/>
          <w:caps w:val="0"/>
          <w:color w:val="auto"/>
          <w:spacing w:val="0"/>
          <w:w w:val="100"/>
          <w:sz w:val="21"/>
        </w:rPr>
        <w:t>。</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五、质量标准</w:t>
      </w:r>
    </w:p>
    <w:p>
      <w:pPr>
        <w:pStyle w:val="12"/>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合格，并一次性通过相关机构检测</w:t>
      </w:r>
      <w:r>
        <w:rPr>
          <w:rFonts w:hint="eastAsia" w:ascii="宋体" w:hAnsi="宋体" w:cs="宋体"/>
          <w:b w:val="0"/>
          <w:i w:val="0"/>
          <w:caps w:val="0"/>
          <w:color w:val="auto"/>
          <w:spacing w:val="0"/>
          <w:w w:val="100"/>
          <w:sz w:val="21"/>
          <w:szCs w:val="21"/>
        </w:rPr>
        <w:t>。配合总承包单位争创钱江杯、鲁班奖。</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六、合同总价</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本合同为固定总价合同，</w:t>
      </w:r>
      <w:r>
        <w:rPr>
          <w:rFonts w:hint="eastAsia" w:ascii="宋体" w:hAnsi="宋体" w:cs="宋体"/>
          <w:b w:val="0"/>
          <w:i w:val="0"/>
          <w:caps w:val="0"/>
          <w:color w:val="auto"/>
          <w:spacing w:val="0"/>
          <w:w w:val="100"/>
          <w:sz w:val="21"/>
          <w:szCs w:val="21"/>
        </w:rPr>
        <w:t>合同总价（含税中标价）为</w:t>
      </w:r>
      <w:r>
        <w:rPr>
          <w:rFonts w:hint="eastAsia" w:ascii="宋体" w:hAnsi="宋体" w:cs="宋体"/>
          <w:b w:val="0"/>
          <w:i w:val="0"/>
          <w:caps w:val="0"/>
          <w:color w:val="auto"/>
          <w:spacing w:val="0"/>
          <w:w w:val="100"/>
          <w:sz w:val="21"/>
          <w:szCs w:val="21"/>
          <w:u w:val="single" w:color="FF0000"/>
        </w:rPr>
        <w:t xml:space="preserve">        </w:t>
      </w:r>
      <w:r>
        <w:rPr>
          <w:rFonts w:hint="eastAsia" w:ascii="宋体" w:hAnsi="宋体" w:cs="宋体"/>
          <w:b w:val="0"/>
          <w:i w:val="0"/>
          <w:caps w:val="0"/>
          <w:color w:val="auto"/>
          <w:spacing w:val="0"/>
          <w:w w:val="100"/>
          <w:sz w:val="21"/>
          <w:szCs w:val="21"/>
        </w:rPr>
        <w:t>，大写</w:t>
      </w:r>
      <w:r>
        <w:rPr>
          <w:rFonts w:hint="eastAsia" w:ascii="宋体" w:hAnsi="宋体" w:cs="宋体"/>
          <w:b w:val="0"/>
          <w:i w:val="0"/>
          <w:caps w:val="0"/>
          <w:color w:val="auto"/>
          <w:spacing w:val="0"/>
          <w:w w:val="100"/>
          <w:sz w:val="21"/>
          <w:szCs w:val="21"/>
          <w:u w:val="single" w:color="FF0000"/>
        </w:rPr>
        <w:t xml:space="preserve">      </w:t>
      </w:r>
      <w:r>
        <w:rPr>
          <w:rFonts w:hint="eastAsia" w:ascii="宋体" w:hAnsi="宋体" w:cs="宋体"/>
          <w:b w:val="0"/>
          <w:i w:val="0"/>
          <w:caps w:val="0"/>
          <w:color w:val="auto"/>
          <w:spacing w:val="0"/>
          <w:w w:val="100"/>
          <w:sz w:val="21"/>
          <w:szCs w:val="21"/>
        </w:rPr>
        <w:t xml:space="preserve">。 </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甲方同意并丙、丁方确认，工程量及各种相关一切费用不再增加。图纸中设备或材料若已有变更升级的相应设备或材料，则需经甲方同意并丙、丁方确认变更为升级后的设备或材料，费用不再增加。丙、丁方有权增减工作范围，该费用应予以增减。甲方所有的变更，必须经过丙、丁方书面同意。</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七、项目负责人</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u w:val="single"/>
        </w:rPr>
      </w:pPr>
      <w:r>
        <w:rPr>
          <w:rFonts w:hint="eastAsia" w:ascii="宋体" w:hAnsi="宋体" w:cs="宋体"/>
          <w:b w:val="0"/>
          <w:i w:val="0"/>
          <w:caps w:val="0"/>
          <w:color w:val="auto"/>
          <w:spacing w:val="0"/>
          <w:w w:val="100"/>
          <w:sz w:val="21"/>
          <w:szCs w:val="21"/>
        </w:rPr>
        <w:t>乙方项目负责人：身份证号</w:t>
      </w:r>
      <w:r>
        <w:rPr>
          <w:rFonts w:hint="eastAsia" w:ascii="宋体" w:hAnsi="宋体" w:cs="宋体"/>
          <w:b w:val="0"/>
          <w:i w:val="0"/>
          <w:caps w:val="0"/>
          <w:color w:val="auto"/>
          <w:spacing w:val="0"/>
          <w:w w:val="100"/>
          <w:sz w:val="21"/>
          <w:szCs w:val="21"/>
          <w:u w:val="single" w:color="000000"/>
        </w:rPr>
        <w:t>：                   。</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八、合同文件</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下列文件构成本合同的组成部分：</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投标文件、招标文件、中标通知书、成交合同、合同补充条款、补充协议或说明</w:t>
      </w:r>
      <w:r>
        <w:rPr>
          <w:rFonts w:hint="eastAsia" w:ascii="宋体" w:hAnsi="宋体" w:cs="宋体"/>
          <w:b w:val="0"/>
          <w:i w:val="0"/>
          <w:caps w:val="0"/>
          <w:strike/>
          <w:color w:val="auto"/>
          <w:spacing w:val="0"/>
          <w:w w:val="100"/>
          <w:sz w:val="21"/>
          <w:szCs w:val="21"/>
        </w:rPr>
        <w:t>（按从后往前的顺序解释）</w:t>
      </w:r>
      <w:r>
        <w:rPr>
          <w:rFonts w:hint="eastAsia" w:ascii="宋体" w:hAnsi="宋体" w:cs="宋体"/>
          <w:b w:val="0"/>
          <w:i w:val="0"/>
          <w:caps w:val="0"/>
          <w:color w:val="auto"/>
          <w:spacing w:val="0"/>
          <w:w w:val="100"/>
          <w:sz w:val="21"/>
          <w:szCs w:val="21"/>
        </w:rPr>
        <w:t>。</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九、签订时间</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本合同于年月日签订。</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十、签订地点</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本合同在签订。</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十一、补充地点</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合同未尽事宜，合同当事人另行签订补充协议，补充协议是合同的组成部分。</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十二、合同的生效</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本合同在乙方向甲方提交全部履约保证金后，且经甲乙丙丁四方法定代表人或授权代表签字并加盖公章之日起生效。</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合同一式16份，正4份（甲、乙、丙、丁方各1份），副本12 份（甲、乙、丙、丁方各3份）。</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甲方：(盖章）                          乙方：(盖章）</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法定代表人或                                    法定代表人或</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其委托代理人：</w:t>
      </w:r>
      <w:r>
        <w:rPr>
          <w:rFonts w:hint="eastAsia" w:ascii="宋体" w:hAnsi="宋体" w:cs="宋体"/>
          <w:b w:val="0"/>
          <w:i w:val="0"/>
          <w:caps w:val="0"/>
          <w:color w:val="auto"/>
          <w:spacing w:val="0"/>
          <w:w w:val="100"/>
          <w:sz w:val="21"/>
          <w:szCs w:val="21"/>
          <w:u w:val="single" w:color="000000"/>
        </w:rPr>
        <w:t xml:space="preserve">       （签字）</w:t>
      </w:r>
      <w:r>
        <w:rPr>
          <w:rFonts w:hint="eastAsia" w:ascii="宋体" w:hAnsi="宋体" w:cs="宋体"/>
          <w:b w:val="0"/>
          <w:i w:val="0"/>
          <w:caps w:val="0"/>
          <w:color w:val="auto"/>
          <w:spacing w:val="0"/>
          <w:w w:val="100"/>
          <w:sz w:val="21"/>
          <w:szCs w:val="21"/>
        </w:rPr>
        <w:t xml:space="preserve">                   委托代理人：</w:t>
      </w:r>
      <w:r>
        <w:rPr>
          <w:rFonts w:hint="eastAsia" w:ascii="宋体" w:hAnsi="宋体" w:cs="宋体"/>
          <w:b w:val="0"/>
          <w:i w:val="0"/>
          <w:caps w:val="0"/>
          <w:color w:val="auto"/>
          <w:spacing w:val="0"/>
          <w:w w:val="100"/>
          <w:sz w:val="21"/>
          <w:szCs w:val="21"/>
          <w:u w:val="single" w:color="000000"/>
        </w:rPr>
        <w:t xml:space="preserve">        (签字) </w:t>
      </w:r>
    </w:p>
    <w:p>
      <w:pPr>
        <w:tabs>
          <w:tab w:val="left" w:pos="450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地址：                                          地址：</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邮政编码：                                      邮政编码：</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    话：                                      电    话：</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传    真：                                      传    真：</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6"/>
          <w:w w:val="100"/>
          <w:sz w:val="20"/>
          <w:szCs w:val="21"/>
          <w:u w:val="single"/>
        </w:rPr>
      </w:pPr>
      <w:r>
        <w:rPr>
          <w:rFonts w:hint="eastAsia" w:ascii="宋体" w:hAnsi="宋体" w:cs="宋体"/>
          <w:b w:val="0"/>
          <w:i w:val="0"/>
          <w:caps w:val="0"/>
          <w:color w:val="auto"/>
          <w:spacing w:val="0"/>
          <w:w w:val="100"/>
          <w:sz w:val="21"/>
          <w:szCs w:val="21"/>
        </w:rPr>
        <w:t>开户银行：                                      开户银行：</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银行账号：                                      银行账号：</w:t>
      </w:r>
    </w:p>
    <w:p>
      <w:pPr>
        <w:tabs>
          <w:tab w:val="left" w:pos="4680"/>
        </w:tabs>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tabs>
          <w:tab w:val="left" w:pos="414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监督方：</w:t>
      </w:r>
      <w:r>
        <w:rPr>
          <w:rFonts w:hint="eastAsia" w:ascii="宋体" w:hAnsi="宋体" w:cs="宋体"/>
          <w:b w:val="0"/>
          <w:i w:val="0"/>
          <w:caps w:val="0"/>
          <w:color w:val="auto"/>
          <w:spacing w:val="0"/>
          <w:w w:val="100"/>
          <w:sz w:val="21"/>
          <w:szCs w:val="21"/>
          <w:u w:val="single" w:color="000000"/>
        </w:rPr>
        <w:t xml:space="preserve">绍兴市中医院（盖章） </w:t>
      </w:r>
      <w:r>
        <w:rPr>
          <w:rFonts w:hint="eastAsia" w:ascii="宋体" w:hAnsi="宋体" w:cs="宋体"/>
          <w:b w:val="0"/>
          <w:i w:val="0"/>
          <w:caps w:val="0"/>
          <w:color w:val="auto"/>
          <w:spacing w:val="0"/>
          <w:w w:val="100"/>
          <w:sz w:val="21"/>
          <w:szCs w:val="21"/>
        </w:rPr>
        <w:t>（丙方）</w:t>
      </w:r>
    </w:p>
    <w:p>
      <w:pPr>
        <w:tabs>
          <w:tab w:val="left" w:pos="414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法定代表人或   </w:t>
      </w:r>
    </w:p>
    <w:p>
      <w:pPr>
        <w:tabs>
          <w:tab w:val="left" w:pos="414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其委托代理人：</w:t>
      </w:r>
      <w:r>
        <w:rPr>
          <w:rFonts w:hint="eastAsia" w:ascii="宋体" w:hAnsi="宋体" w:cs="宋体"/>
          <w:b w:val="0"/>
          <w:i w:val="0"/>
          <w:caps w:val="0"/>
          <w:color w:val="auto"/>
          <w:spacing w:val="0"/>
          <w:w w:val="100"/>
          <w:sz w:val="21"/>
          <w:szCs w:val="21"/>
          <w:u w:val="single" w:color="000000"/>
        </w:rPr>
        <w:t xml:space="preserve">       （签字）</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地址：</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邮政编码：</w:t>
      </w:r>
      <w:r>
        <w:rPr>
          <w:rFonts w:hint="eastAsia" w:ascii="宋体" w:hAnsi="宋体" w:cs="宋体"/>
          <w:b w:val="0"/>
          <w:i w:val="0"/>
          <w:caps w:val="0"/>
          <w:color w:val="auto"/>
          <w:spacing w:val="0"/>
          <w:w w:val="100"/>
          <w:sz w:val="21"/>
          <w:szCs w:val="21"/>
          <w:u w:val="single" w:color="000000"/>
        </w:rPr>
        <w:t xml:space="preserve"> 312000        </w:t>
      </w:r>
    </w:p>
    <w:p>
      <w:pPr>
        <w:tabs>
          <w:tab w:val="left" w:pos="4500"/>
          <w:tab w:val="left" w:pos="468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    真：0575-88269882</w:t>
      </w:r>
    </w:p>
    <w:p>
      <w:pPr>
        <w:pStyle w:val="12"/>
        <w:snapToGrid w:val="0"/>
        <w:spacing w:before="0" w:beforeAutospacing="0" w:after="0" w:afterAutospacing="0" w:line="240" w:lineRule="auto"/>
        <w:jc w:val="both"/>
        <w:textAlignment w:val="baseline"/>
        <w:rPr>
          <w:rFonts w:ascii="宋体" w:hAnsi="宋体" w:cs="宋体"/>
          <w:b w:val="0"/>
          <w:i w:val="0"/>
          <w:caps w:val="0"/>
          <w:color w:val="auto"/>
          <w:spacing w:val="0"/>
          <w:w w:val="100"/>
          <w:sz w:val="21"/>
          <w:szCs w:val="21"/>
        </w:rPr>
      </w:pPr>
    </w:p>
    <w:p>
      <w:pPr>
        <w:tabs>
          <w:tab w:val="left" w:pos="468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监督方：</w:t>
      </w:r>
      <w:r>
        <w:rPr>
          <w:rFonts w:hint="eastAsia" w:ascii="宋体" w:hAnsi="宋体" w:cs="宋体"/>
          <w:b w:val="0"/>
          <w:i w:val="0"/>
          <w:caps w:val="0"/>
          <w:color w:val="auto"/>
          <w:spacing w:val="0"/>
          <w:w w:val="100"/>
          <w:sz w:val="21"/>
          <w:szCs w:val="21"/>
          <w:u w:val="single" w:color="000000"/>
        </w:rPr>
        <w:t>绍兴市城投建设开发有限公司（盖章）</w:t>
      </w:r>
      <w:r>
        <w:rPr>
          <w:rFonts w:hint="eastAsia" w:ascii="宋体" w:hAnsi="宋体" w:cs="宋体"/>
          <w:b w:val="0"/>
          <w:i w:val="0"/>
          <w:caps w:val="0"/>
          <w:color w:val="auto"/>
          <w:spacing w:val="0"/>
          <w:w w:val="100"/>
          <w:sz w:val="21"/>
          <w:szCs w:val="21"/>
        </w:rPr>
        <w:t>（丁方）</w:t>
      </w:r>
    </w:p>
    <w:p>
      <w:pPr>
        <w:tabs>
          <w:tab w:val="left" w:pos="414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法定代表人或   </w:t>
      </w:r>
    </w:p>
    <w:p>
      <w:pPr>
        <w:tabs>
          <w:tab w:val="left" w:pos="414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其委托代理人：</w:t>
      </w:r>
      <w:r>
        <w:rPr>
          <w:rFonts w:hint="eastAsia" w:ascii="宋体" w:hAnsi="宋体" w:cs="宋体"/>
          <w:b w:val="0"/>
          <w:i w:val="0"/>
          <w:caps w:val="0"/>
          <w:color w:val="auto"/>
          <w:spacing w:val="0"/>
          <w:w w:val="100"/>
          <w:sz w:val="21"/>
          <w:szCs w:val="21"/>
          <w:u w:val="single" w:color="000000"/>
        </w:rPr>
        <w:t xml:space="preserve">       （签字）</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地址：</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邮政编码：</w:t>
      </w:r>
      <w:r>
        <w:rPr>
          <w:rFonts w:hint="eastAsia" w:ascii="宋体" w:hAnsi="宋体" w:cs="宋体"/>
          <w:b w:val="0"/>
          <w:i w:val="0"/>
          <w:caps w:val="0"/>
          <w:color w:val="auto"/>
          <w:spacing w:val="0"/>
          <w:w w:val="100"/>
          <w:sz w:val="21"/>
          <w:szCs w:val="21"/>
          <w:u w:val="single" w:color="000000"/>
        </w:rPr>
        <w:t xml:space="preserve"> 312000  </w:t>
      </w:r>
    </w:p>
    <w:p>
      <w:pPr>
        <w:tabs>
          <w:tab w:val="left" w:pos="4500"/>
          <w:tab w:val="left" w:pos="468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传    真：</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p>
    <w:p>
      <w:pPr>
        <w:tabs>
          <w:tab w:val="left" w:pos="4500"/>
          <w:tab w:val="left" w:pos="4680"/>
        </w:tabs>
        <w:snapToGrid w:val="0"/>
        <w:spacing w:before="0" w:beforeAutospacing="0" w:after="0" w:afterAutospacing="0" w:line="360" w:lineRule="exact"/>
        <w:ind w:firstLine="420" w:firstLineChars="200"/>
        <w:jc w:val="right"/>
        <w:textAlignment w:val="baseline"/>
        <w:rPr>
          <w:rFonts w:ascii="宋体" w:hAnsi="宋体" w:cs="宋体"/>
          <w:b w:val="0"/>
          <w:i w:val="0"/>
          <w:caps w:val="0"/>
          <w:color w:val="auto"/>
          <w:spacing w:val="0"/>
          <w:w w:val="100"/>
          <w:sz w:val="20"/>
          <w:szCs w:val="20"/>
        </w:rPr>
      </w:pPr>
      <w:r>
        <w:rPr>
          <w:rFonts w:hint="eastAsia" w:ascii="宋体" w:hAnsi="宋体" w:cs="宋体"/>
          <w:b w:val="0"/>
          <w:i w:val="0"/>
          <w:caps w:val="0"/>
          <w:color w:val="auto"/>
          <w:spacing w:val="0"/>
          <w:w w:val="100"/>
          <w:sz w:val="21"/>
          <w:szCs w:val="21"/>
        </w:rPr>
        <w:t>签订日期：   年  月  日</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0"/>
          <w:u w:val="single"/>
        </w:rPr>
      </w:pPr>
    </w:p>
    <w:p>
      <w:pPr>
        <w:pStyle w:val="29"/>
        <w:snapToGrid w:val="0"/>
        <w:spacing w:before="0" w:beforeAutospacing="0" w:after="0" w:afterAutospacing="0" w:line="36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36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36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36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36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36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36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36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36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24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24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24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24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24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24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24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240" w:lineRule="auto"/>
        <w:ind w:firstLine="340" w:firstLineChars="100"/>
        <w:jc w:val="both"/>
        <w:textAlignment w:val="baseline"/>
        <w:rPr>
          <w:rFonts w:ascii="Times New Roman" w:hAnsi="Times New Roman" w:eastAsia="宋体" w:cs="Times New Roman"/>
          <w:b w:val="0"/>
          <w:i w:val="0"/>
          <w:caps w:val="0"/>
          <w:color w:val="auto"/>
          <w:spacing w:val="0"/>
          <w:w w:val="100"/>
          <w:sz w:val="34"/>
        </w:rPr>
      </w:pPr>
    </w:p>
    <w:p>
      <w:pPr>
        <w:snapToGrid w:val="0"/>
        <w:spacing w:before="0" w:beforeAutospacing="0" w:after="0" w:afterAutospacing="0" w:line="360" w:lineRule="auto"/>
        <w:jc w:val="both"/>
        <w:textAlignment w:val="baseline"/>
        <w:rPr>
          <w:b w:val="0"/>
          <w:i w:val="0"/>
          <w:caps w:val="0"/>
          <w:color w:val="auto"/>
          <w:spacing w:val="0"/>
          <w:w w:val="100"/>
          <w:sz w:val="20"/>
          <w:szCs w:val="21"/>
          <w:u w:val="single"/>
        </w:rPr>
      </w:pPr>
    </w:p>
    <w:p>
      <w:pPr>
        <w:pStyle w:val="29"/>
        <w:snapToGrid w:val="0"/>
        <w:spacing w:before="0" w:beforeAutospacing="0" w:after="0" w:afterAutospacing="0" w:line="360" w:lineRule="auto"/>
        <w:ind w:firstLine="210" w:firstLineChars="100"/>
        <w:jc w:val="both"/>
        <w:textAlignment w:val="baseline"/>
        <w:rPr>
          <w:rFonts w:ascii="Times New Roman" w:hAnsi="Times New Roman" w:eastAsia="宋体" w:cs="Times New Roman"/>
          <w:b w:val="0"/>
          <w:i w:val="0"/>
          <w:caps w:val="0"/>
          <w:color w:val="auto"/>
          <w:spacing w:val="0"/>
          <w:w w:val="100"/>
          <w:sz w:val="21"/>
          <w:szCs w:val="21"/>
          <w:u w:val="single"/>
        </w:rPr>
      </w:pPr>
    </w:p>
    <w:p>
      <w:pPr>
        <w:snapToGrid w:val="0"/>
        <w:spacing w:before="0" w:beforeAutospacing="0" w:after="0" w:afterAutospacing="0" w:line="360" w:lineRule="auto"/>
        <w:jc w:val="both"/>
        <w:textAlignment w:val="baseline"/>
        <w:rPr>
          <w:b w:val="0"/>
          <w:i w:val="0"/>
          <w:caps w:val="0"/>
          <w:color w:val="auto"/>
          <w:spacing w:val="0"/>
          <w:w w:val="100"/>
          <w:sz w:val="20"/>
          <w:szCs w:val="21"/>
          <w:u w:val="single"/>
        </w:rPr>
      </w:pPr>
    </w:p>
    <w:p>
      <w:pPr>
        <w:snapToGrid w:val="0"/>
        <w:spacing w:before="156" w:beforeAutospacing="0" w:after="156" w:afterAutospacing="0" w:line="360" w:lineRule="auto"/>
        <w:jc w:val="center"/>
        <w:textAlignment w:val="baseline"/>
        <w:rPr>
          <w:b/>
          <w:i w:val="0"/>
          <w:caps w:val="0"/>
          <w:color w:val="auto"/>
          <w:spacing w:val="0"/>
          <w:w w:val="100"/>
          <w:sz w:val="20"/>
          <w:szCs w:val="21"/>
        </w:rPr>
      </w:pPr>
      <w:bookmarkStart w:id="404" w:name="_Toc406074421"/>
      <w:bookmarkStart w:id="405" w:name="_Toc297017782"/>
      <w:r>
        <w:rPr>
          <w:rFonts w:hint="eastAsia"/>
          <w:b/>
          <w:i w:val="0"/>
          <w:caps w:val="0"/>
          <w:color w:val="auto"/>
          <w:spacing w:val="0"/>
          <w:w w:val="100"/>
          <w:sz w:val="21"/>
          <w:szCs w:val="21"/>
        </w:rPr>
        <w:br w:type="page"/>
      </w:r>
    </w:p>
    <w:p>
      <w:pPr>
        <w:snapToGrid w:val="0"/>
        <w:spacing w:before="156" w:beforeAutospacing="0" w:after="156" w:afterAutospacing="0" w:line="360" w:lineRule="auto"/>
        <w:jc w:val="center"/>
        <w:textAlignment w:val="baseline"/>
        <w:rPr>
          <w:b/>
          <w:i w:val="0"/>
          <w:caps w:val="0"/>
          <w:color w:val="auto"/>
          <w:spacing w:val="0"/>
          <w:w w:val="100"/>
          <w:sz w:val="20"/>
        </w:rPr>
      </w:pPr>
      <w:r>
        <w:rPr>
          <w:rFonts w:hint="eastAsia"/>
          <w:b/>
          <w:i w:val="0"/>
          <w:caps w:val="0"/>
          <w:color w:val="auto"/>
          <w:spacing w:val="0"/>
          <w:w w:val="100"/>
          <w:sz w:val="21"/>
          <w:szCs w:val="21"/>
        </w:rPr>
        <w:t>二、合同一般条款</w:t>
      </w:r>
      <w:bookmarkEnd w:id="404"/>
      <w:bookmarkEnd w:id="405"/>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1、合同产品的名称、技术规范和数量应与中标通知书、招标文件及被甲方及丙方接受的规格性能偏离表相一致。</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bookmarkStart w:id="406" w:name="_Toc28660"/>
      <w:r>
        <w:rPr>
          <w:rFonts w:hint="eastAsia" w:ascii="宋体" w:hAnsi="宋体" w:cs="宋体"/>
          <w:b w:val="0"/>
          <w:i w:val="0"/>
          <w:caps w:val="0"/>
          <w:color w:val="auto"/>
          <w:spacing w:val="0"/>
          <w:w w:val="100"/>
          <w:sz w:val="21"/>
          <w:szCs w:val="21"/>
        </w:rPr>
        <w:t>2、产品的质量、技术标准</w:t>
      </w:r>
      <w:bookmarkEnd w:id="406"/>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合同产品的质量、技术标准如在招投标文件中无相应说明，则按国家有关部门颁布的最新的国家或专业（部）标准执行及相应的国际标准执行。</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3、质量保证</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3.1乙方保证所提供的设备是全新的、未使用过的。</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3.2乙方保证采用先进的技术、优质的材料和零部件、一流的工艺、严格的质量管理为甲方及丙方提供技术先进、质量上乘、外表美观并完全符合合同规定的质量、规格、性能要求的产品。</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3.3乙方保证按ISO9000系列标准或相应的质量管理和质量保证体系，对所供设备的设计、采购、制造、检验、涂装、包装、安装、调试等各个环节进行严格的质量管理和质量控制。</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3.4乙方保证所提供的设备在正确安装、正常使用和维护保养的情况下，具有使甲方及丙方满意的使用性能和使用寿命。</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bookmarkStart w:id="407" w:name="_Toc23533"/>
      <w:r>
        <w:rPr>
          <w:rFonts w:hint="eastAsia" w:ascii="宋体" w:hAnsi="宋体" w:cs="宋体"/>
          <w:b w:val="0"/>
          <w:i w:val="0"/>
          <w:caps w:val="0"/>
          <w:color w:val="auto"/>
          <w:spacing w:val="0"/>
          <w:w w:val="100"/>
          <w:sz w:val="21"/>
          <w:szCs w:val="21"/>
        </w:rPr>
        <w:t>4、质量保证期</w:t>
      </w:r>
      <w:bookmarkEnd w:id="407"/>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产品的质量保证期为使用人使用产品之日起至少</w:t>
      </w:r>
      <w:r>
        <w:rPr>
          <w:rFonts w:hint="eastAsia" w:ascii="宋体" w:hAnsi="宋体" w:cs="宋体"/>
          <w:b w:val="0"/>
          <w:i w:val="0"/>
          <w:caps w:val="0"/>
          <w:color w:val="auto"/>
          <w:spacing w:val="0"/>
          <w:w w:val="100"/>
          <w:sz w:val="21"/>
          <w:szCs w:val="21"/>
          <w:u w:val="single" w:color="000000"/>
        </w:rPr>
        <w:t xml:space="preserve"> 24 </w:t>
      </w:r>
      <w:r>
        <w:rPr>
          <w:rFonts w:hint="eastAsia" w:ascii="宋体" w:hAnsi="宋体" w:cs="宋体"/>
          <w:b w:val="0"/>
          <w:bCs/>
          <w:i w:val="0"/>
          <w:caps w:val="0"/>
          <w:color w:val="auto"/>
          <w:spacing w:val="0"/>
          <w:w w:val="100"/>
          <w:sz w:val="21"/>
          <w:szCs w:val="21"/>
        </w:rPr>
        <w:t>个月</w:t>
      </w:r>
      <w:r>
        <w:rPr>
          <w:rFonts w:hint="eastAsia" w:ascii="宋体" w:hAnsi="宋体" w:cs="宋体"/>
          <w:b w:val="0"/>
          <w:i w:val="0"/>
          <w:caps w:val="0"/>
          <w:color w:val="auto"/>
          <w:spacing w:val="0"/>
          <w:w w:val="100"/>
          <w:sz w:val="21"/>
          <w:szCs w:val="21"/>
        </w:rPr>
        <w:t>。在产品质量保证期之内，乙方对由于产品设计、工艺、材料、配套件的缺陷而造成的任何产品质量问题或故障，均承担免费提供同类产品的责任。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bookmarkStart w:id="408" w:name="_Toc4104"/>
      <w:r>
        <w:rPr>
          <w:rFonts w:hint="eastAsia" w:ascii="宋体" w:hAnsi="宋体" w:cs="宋体"/>
          <w:b w:val="0"/>
          <w:i w:val="0"/>
          <w:caps w:val="0"/>
          <w:color w:val="auto"/>
          <w:spacing w:val="0"/>
          <w:w w:val="100"/>
          <w:sz w:val="21"/>
          <w:szCs w:val="21"/>
        </w:rPr>
        <w:t>5、合同修改</w:t>
      </w:r>
      <w:bookmarkEnd w:id="408"/>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5.1甲乙丙丁的任何一方对合同内容提出修改，均应以书面形式通知其他方，并达成由四方签署的合同修改书。</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5.2除非甲方及丙方对设备的型号、规格和涉及价格因素的技术参数和配套件提出修改，乙方不得对合同价格提出修改要求。</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bookmarkStart w:id="409" w:name="_Toc21842"/>
      <w:r>
        <w:rPr>
          <w:rFonts w:hint="eastAsia" w:ascii="宋体" w:hAnsi="宋体" w:cs="宋体"/>
          <w:b w:val="0"/>
          <w:i w:val="0"/>
          <w:caps w:val="0"/>
          <w:color w:val="auto"/>
          <w:spacing w:val="0"/>
          <w:w w:val="100"/>
          <w:sz w:val="21"/>
          <w:szCs w:val="21"/>
        </w:rPr>
        <w:t>6、违约责任</w:t>
      </w:r>
      <w:bookmarkEnd w:id="409"/>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6.1产品质量责任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直接经济损失。</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2）乙方在接到甲方及丙方通知后，2小时内派人赴现场处理设备质量问题。质保期内乙方须安排专业维保人员驻场，驻场人员数量及资质须满足甲方及丙、丁方需求并获得书面审批。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3）在产品质量保证期内，由于甲方及丙方保管不善或使用不当造成设备短缺、故障或损坏，由甲方及丙方负责。但乙方保证及时给予补齐或修复。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6.2违约赔偿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除不可抗拒力外，如乙方发生不能按期交货或提供服务；甲方及丙方发生中途退货等情况，应及时以书面形式通知对方，并按照合同专用条款承担违约或赔偿责任。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7、争议处理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凡有关本合同或执行本合同中发生的争端，甲方及丙方应通过友好协商，妥善解决。如通过协商仍不能解决时，可向工程所在地人民法院提起诉讼。</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8、合同生效及其他</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8.1合同应在各方签字盖章后开始生效。</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8.2本合同一式16份，正本4份（甲、乙、丙、丁方各1份），副本12份（甲、乙、丙、丁方各3份），同等生效。</w:t>
      </w:r>
    </w:p>
    <w:p>
      <w:pPr>
        <w:keepLines/>
        <w:snapToGrid w:val="0"/>
        <w:spacing w:before="468" w:beforeAutospacing="0" w:after="156" w:afterAutospacing="0" w:line="360" w:lineRule="auto"/>
        <w:jc w:val="center"/>
        <w:textAlignment w:val="baseline"/>
        <w:rPr>
          <w:b/>
          <w:bCs/>
          <w:i w:val="0"/>
          <w:caps w:val="0"/>
          <w:color w:val="auto"/>
          <w:spacing w:val="0"/>
          <w:w w:val="100"/>
          <w:sz w:val="24"/>
          <w:szCs w:val="24"/>
        </w:rPr>
      </w:pPr>
      <w:r>
        <w:rPr>
          <w:rFonts w:hint="eastAsia"/>
          <w:b/>
          <w:bCs/>
          <w:i w:val="0"/>
          <w:caps w:val="0"/>
          <w:color w:val="auto"/>
          <w:spacing w:val="0"/>
          <w:w w:val="100"/>
          <w:sz w:val="21"/>
          <w:szCs w:val="21"/>
        </w:rPr>
        <w:br w:type="page"/>
      </w:r>
    </w:p>
    <w:p>
      <w:pPr>
        <w:snapToGrid w:val="0"/>
        <w:spacing w:before="468" w:beforeAutospacing="0" w:after="156" w:afterAutospacing="0" w:line="360" w:lineRule="auto"/>
        <w:jc w:val="center"/>
        <w:textAlignment w:val="baseline"/>
        <w:rPr>
          <w:b/>
          <w:i w:val="0"/>
          <w:caps w:val="0"/>
          <w:color w:val="auto"/>
          <w:spacing w:val="0"/>
          <w:w w:val="100"/>
          <w:sz w:val="24"/>
        </w:rPr>
      </w:pPr>
      <w:bookmarkStart w:id="410" w:name="_Toc17297"/>
      <w:bookmarkStart w:id="411" w:name="_Toc297017783"/>
      <w:bookmarkStart w:id="412" w:name="_Toc406074422"/>
      <w:r>
        <w:rPr>
          <w:rFonts w:hint="eastAsia"/>
          <w:b/>
          <w:bCs/>
          <w:i w:val="0"/>
          <w:caps w:val="0"/>
          <w:color w:val="auto"/>
          <w:spacing w:val="0"/>
          <w:w w:val="100"/>
          <w:sz w:val="24"/>
          <w:szCs w:val="24"/>
        </w:rPr>
        <w:t>三、合同专用条款</w:t>
      </w:r>
      <w:bookmarkEnd w:id="410"/>
      <w:bookmarkEnd w:id="411"/>
      <w:bookmarkEnd w:id="412"/>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本合同专用条款是对合同一般条款的补充，两者之间如有抵触，以本专用条款为准。</w:t>
      </w:r>
    </w:p>
    <w:p>
      <w:pPr>
        <w:tabs>
          <w:tab w:val="left" w:pos="732"/>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1、合同交货期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扩建区120天（中标通知书发出之日起开始），改建区与改造工程施工进度同步。包括深化设计、制造、采购工期（甲方提供的招标图纸中如遇不满足规范要求或因规范更新不满足新规范要求等情况，乙方在深化过程中有义务进行优化，并严格按照满足现行规范要求实施。深化设计图纸须经主体设计单位审核通过，并经监理、甲方及丙方、丁方同意后实施），现场安装（含配套土建）、调试、交验、配合土建验收。甲方及丙、丁方发出书面排产通知日开始计算工期。</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2、交货方式</w:t>
      </w:r>
      <w:r>
        <w:rPr>
          <w:rFonts w:hint="eastAsia" w:ascii="宋体" w:hAnsi="宋体" w:cs="宋体"/>
          <w:b w:val="0"/>
          <w:i w:val="0"/>
          <w:caps w:val="0"/>
          <w:color w:val="auto"/>
          <w:spacing w:val="0"/>
          <w:w w:val="100"/>
          <w:sz w:val="21"/>
          <w:szCs w:val="21"/>
          <w:u w:val="single" w:color="000000"/>
        </w:rPr>
        <w:t>绍兴市中医院改扩建工程</w:t>
      </w:r>
      <w:r>
        <w:rPr>
          <w:rFonts w:hint="eastAsia" w:ascii="宋体" w:hAnsi="宋体" w:cs="宋体"/>
          <w:b w:val="0"/>
          <w:i w:val="0"/>
          <w:caps w:val="0"/>
          <w:color w:val="auto"/>
          <w:spacing w:val="0"/>
          <w:w w:val="100"/>
          <w:sz w:val="21"/>
          <w:szCs w:val="21"/>
        </w:rPr>
        <w:t>项目现场交货。乙方将设备运抵工地现场并初验合格的日期为交货日期。甲方及丙、丁方可以要求乙方根据工程进度要求分批交货但不再额外增加其他费用。</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3、交货地点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绍兴市中医院改扩建工程</w:t>
      </w:r>
      <w:r>
        <w:rPr>
          <w:rFonts w:hint="eastAsia" w:ascii="宋体" w:hAnsi="宋体" w:cs="宋体"/>
          <w:b w:val="0"/>
          <w:i w:val="0"/>
          <w:caps w:val="0"/>
          <w:color w:val="auto"/>
          <w:spacing w:val="0"/>
          <w:w w:val="100"/>
          <w:sz w:val="21"/>
          <w:szCs w:val="21"/>
        </w:rPr>
        <w:t>项目现场交货，并堆放至指定仓库。</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4、接货通知</w:t>
      </w:r>
    </w:p>
    <w:p>
      <w:pPr>
        <w:snapToGrid w:val="0"/>
        <w:spacing w:before="0" w:beforeAutospacing="0" w:after="0" w:afterAutospacing="0" w:line="360" w:lineRule="exact"/>
        <w:ind w:firstLine="420" w:firstLineChars="200"/>
        <w:jc w:val="both"/>
        <w:textAlignment w:val="baseline"/>
        <w:rPr>
          <w:rFonts w:ascii="宋体" w:hAnsi="宋体" w:cs="宋体"/>
          <w:b/>
          <w:bCs/>
          <w:i w:val="0"/>
          <w:caps w:val="0"/>
          <w:color w:val="auto"/>
          <w:spacing w:val="0"/>
          <w:w w:val="100"/>
          <w:sz w:val="20"/>
          <w:szCs w:val="21"/>
        </w:rPr>
      </w:pPr>
      <w:r>
        <w:rPr>
          <w:rFonts w:hint="eastAsia" w:ascii="宋体" w:hAnsi="宋体" w:cs="宋体"/>
          <w:b w:val="0"/>
          <w:i w:val="0"/>
          <w:caps w:val="0"/>
          <w:color w:val="auto"/>
          <w:spacing w:val="0"/>
          <w:w w:val="100"/>
          <w:sz w:val="21"/>
          <w:szCs w:val="21"/>
        </w:rPr>
        <w:t>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均由乙方负责，并承担相应费用。</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5、运输及装卸保险</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5.1货物在装运前由乙方投保，一旦货物在装卸、运输过程中发生损坏或短缺，由乙方负责索赔。</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5.2乙方保证在确认货物因装卸、运输中发生损坏或短缺后，尽快给予调换、修复和补齐缺件，不管其造成的原因如何，也不以办理索赔为由而拖延。</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5.3乙方工作人员及设备进场时，应遵守交货现场环境卫生管理、安全管理的有关规定，配备相应的环境保护及安全措施。承担因自身原因违反有关规定而导致的所有责任。</w:t>
      </w:r>
    </w:p>
    <w:p>
      <w:pPr>
        <w:keepLines/>
        <w:numPr>
          <w:ilvl w:val="0"/>
          <w:numId w:val="4"/>
        </w:num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bookmarkStart w:id="413" w:name="_Toc21937"/>
      <w:r>
        <w:rPr>
          <w:rFonts w:hint="eastAsia" w:ascii="宋体" w:hAnsi="宋体" w:cs="宋体"/>
          <w:b w:val="0"/>
          <w:i w:val="0"/>
          <w:caps w:val="0"/>
          <w:color w:val="auto"/>
          <w:spacing w:val="0"/>
          <w:w w:val="100"/>
          <w:sz w:val="21"/>
          <w:szCs w:val="21"/>
        </w:rPr>
        <w:t>付款方式</w:t>
      </w:r>
      <w:bookmarkEnd w:id="413"/>
    </w:p>
    <w:p>
      <w:pPr>
        <w:pStyle w:val="67"/>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（1）预付款</w:t>
      </w:r>
    </w:p>
    <w:p>
      <w:pPr>
        <w:pStyle w:val="67"/>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第1次付款：合同签订生效后，甲方向乙方支付扩建区签约合同价的10%的预付款，改建区开工前30天支付改建区签约合同价的10%的预付款。预付款与合同履行同步进行，预付款支付进程不得影响合同的履行。</w:t>
      </w:r>
    </w:p>
    <w:p>
      <w:pPr>
        <w:pStyle w:val="67"/>
        <w:widowControl/>
        <w:numPr>
          <w:ilvl w:val="0"/>
          <w:numId w:val="5"/>
        </w:num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货款支付</w:t>
      </w:r>
    </w:p>
    <w:p>
      <w:pPr>
        <w:pStyle w:val="67"/>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第2次付款：开工令发出后，支付至扩建区（改建区）合同价的20%。</w:t>
      </w:r>
    </w:p>
    <w:p>
      <w:pPr>
        <w:pStyle w:val="67"/>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第3次付款：主要设备到货并开箱验收合格后，支付至扩建区（改建区）合同价的60%。</w:t>
      </w:r>
    </w:p>
    <w:p>
      <w:pPr>
        <w:pStyle w:val="67"/>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第4次付款：该项目专项竣工验收合格后，支付至扩建区（改建区）合同价的85%，并退还履约保证金（不计利息）。</w:t>
      </w:r>
    </w:p>
    <w:p>
      <w:pPr>
        <w:pStyle w:val="67"/>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第5次付款：审计结算完成且资料齐全移交甲方且丙、丁方接收后，支付至结算价的97.5%。</w:t>
      </w:r>
    </w:p>
    <w:p>
      <w:pPr>
        <w:pStyle w:val="67"/>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第6次付款：余款2.5%（不计利息）作为质量保证金，缺陷责任期2年满，在缺陷修复完成并经甲方及丙、丁方最终验收合格、甲乙方完成最终结算后28天内一次性付清经结算后的剩余尾款。</w:t>
      </w:r>
    </w:p>
    <w:p>
      <w:pPr>
        <w:pStyle w:val="67"/>
        <w:snapToGrid w:val="0"/>
        <w:spacing w:before="0" w:beforeAutospacing="0" w:after="0" w:afterAutospacing="0" w:line="360" w:lineRule="exact"/>
        <w:ind w:firstLine="420" w:firstLineChars="200"/>
        <w:jc w:val="both"/>
        <w:textAlignment w:val="baseline"/>
        <w:rPr>
          <w:rFonts w:ascii="宋体" w:hAnsi="宋体" w:cs="宋体"/>
          <w:b w:val="0"/>
          <w:bCs/>
          <w:i w:val="0"/>
          <w:caps w:val="0"/>
          <w:color w:val="auto"/>
          <w:spacing w:val="0"/>
          <w:w w:val="100"/>
          <w:sz w:val="21"/>
          <w:szCs w:val="21"/>
          <w:u w:val="single"/>
        </w:rPr>
      </w:pPr>
      <w:r>
        <w:rPr>
          <w:rFonts w:hint="eastAsia" w:ascii="宋体" w:hAnsi="宋体" w:cs="宋体"/>
          <w:b w:val="0"/>
          <w:bCs/>
          <w:i w:val="0"/>
          <w:caps w:val="0"/>
          <w:color w:val="auto"/>
          <w:spacing w:val="0"/>
          <w:w w:val="100"/>
          <w:sz w:val="21"/>
          <w:szCs w:val="21"/>
          <w:u w:val="single" w:color="000000"/>
        </w:rPr>
        <w:t>注：①上述第1次付款至第4次付款中，合同总价（或合同价）均不包括</w:t>
      </w:r>
      <w:r>
        <w:rPr>
          <w:rFonts w:hint="eastAsia" w:ascii="宋体" w:hAnsi="宋体" w:cs="宋体"/>
          <w:b w:val="0"/>
          <w:i w:val="0"/>
          <w:caps w:val="0"/>
          <w:color w:val="auto"/>
          <w:spacing w:val="0"/>
          <w:w w:val="100"/>
          <w:sz w:val="21"/>
          <w:szCs w:val="21"/>
          <w:u w:val="single" w:color="000000"/>
        </w:rPr>
        <w:t>不可预见费。</w:t>
      </w:r>
      <w:r>
        <w:rPr>
          <w:rFonts w:hint="eastAsia" w:ascii="宋体" w:hAnsi="宋体" w:cs="宋体"/>
          <w:b w:val="0"/>
          <w:bCs/>
          <w:i w:val="0"/>
          <w:caps w:val="0"/>
          <w:color w:val="auto"/>
          <w:spacing w:val="0"/>
          <w:w w:val="100"/>
          <w:sz w:val="21"/>
          <w:szCs w:val="21"/>
          <w:u w:val="single" w:color="000000"/>
        </w:rPr>
        <w:t>②每笔货款支付前，乙方必须提供收款单位与本合同签订单位一致的正规、等额、合法、有效的增值税专用发票（税率13%）及验收单、入库单等办理相关支付手续的报审资料；货款的支付需经监理方总监理工程师及甲方代表签字及盖章，并审核同意后15个工作日内支付。若乙方延期提供的，甲方有权顺延付款。</w:t>
      </w:r>
    </w:p>
    <w:p>
      <w:pPr>
        <w:tabs>
          <w:tab w:val="left" w:pos="1632"/>
        </w:tabs>
        <w:snapToGrid w:val="0"/>
        <w:spacing w:before="0" w:beforeAutospacing="0" w:after="0" w:afterAutospacing="0" w:line="360" w:lineRule="exact"/>
        <w:ind w:firstLine="420" w:firstLineChars="200"/>
        <w:jc w:val="both"/>
        <w:textAlignment w:val="baseline"/>
        <w:rPr>
          <w:rFonts w:ascii="宋体" w:hAnsi="宋体" w:cs="宋体"/>
          <w:b w:val="0"/>
          <w:bCs/>
          <w:i w:val="0"/>
          <w:caps w:val="0"/>
          <w:color w:val="auto"/>
          <w:spacing w:val="0"/>
          <w:w w:val="100"/>
          <w:sz w:val="20"/>
          <w:szCs w:val="21"/>
        </w:rPr>
      </w:pPr>
      <w:r>
        <w:rPr>
          <w:rFonts w:hint="eastAsia" w:ascii="宋体" w:hAnsi="宋体" w:cs="宋体"/>
          <w:b w:val="0"/>
          <w:bCs/>
          <w:i w:val="0"/>
          <w:caps w:val="0"/>
          <w:color w:val="auto"/>
          <w:spacing w:val="0"/>
          <w:w w:val="100"/>
          <w:sz w:val="21"/>
          <w:szCs w:val="21"/>
        </w:rPr>
        <w:t>乙方应及时、足额支付民工工资，因乙方未能及时、足额支付民工工资导致民工怠工、停工、集体上访的，由乙方承担全部责任，造成损失的由乙方承担全部费用。</w:t>
      </w:r>
    </w:p>
    <w:p>
      <w:pPr>
        <w:tabs>
          <w:tab w:val="left" w:pos="1632"/>
        </w:tabs>
        <w:snapToGrid w:val="0"/>
        <w:spacing w:before="0" w:beforeAutospacing="0" w:after="0" w:afterAutospacing="0" w:line="360" w:lineRule="exact"/>
        <w:ind w:firstLine="420" w:firstLineChars="200"/>
        <w:jc w:val="both"/>
        <w:textAlignment w:val="baseline"/>
        <w:rPr>
          <w:rStyle w:val="43"/>
          <w:rFonts w:ascii="宋体" w:hAnsi="宋体" w:cs="宋体"/>
          <w:b w:val="0"/>
          <w:bCs/>
          <w:i w:val="0"/>
          <w:caps w:val="0"/>
          <w:color w:val="auto"/>
          <w:spacing w:val="0"/>
          <w:w w:val="100"/>
          <w:sz w:val="21"/>
        </w:rPr>
      </w:pPr>
      <w:r>
        <w:rPr>
          <w:rStyle w:val="43"/>
          <w:rFonts w:hint="eastAsia" w:ascii="宋体" w:hAnsi="宋体" w:cs="宋体"/>
          <w:b w:val="0"/>
          <w:bCs/>
          <w:i w:val="0"/>
          <w:caps w:val="0"/>
          <w:color w:val="auto"/>
          <w:spacing w:val="0"/>
          <w:w w:val="100"/>
          <w:sz w:val="21"/>
        </w:rPr>
        <w:t>乙方应在每月20日前向甲方递交工程款支付报审资料，并不能影响甲方向丙方递交工程款支付报审资料，因乙方未能及时提交工程款支付报审资料导致甲方向丙方递交工程款支付报审资料滞后的，由乙方承担全部责任，造成损失的由乙方承担全部费用。</w:t>
      </w:r>
    </w:p>
    <w:p>
      <w:pPr>
        <w:tabs>
          <w:tab w:val="left" w:pos="1632"/>
        </w:tabs>
        <w:snapToGrid w:val="0"/>
        <w:spacing w:before="0" w:beforeAutospacing="0" w:after="0" w:afterAutospacing="0" w:line="360" w:lineRule="exact"/>
        <w:ind w:firstLine="420" w:firstLineChars="200"/>
        <w:jc w:val="both"/>
        <w:textAlignment w:val="baseline"/>
        <w:rPr>
          <w:rFonts w:ascii="宋体" w:hAnsi="宋体" w:cs="宋体"/>
          <w:b w:val="0"/>
          <w:bCs/>
          <w:i w:val="0"/>
          <w:caps w:val="0"/>
          <w:color w:val="auto"/>
          <w:spacing w:val="0"/>
          <w:w w:val="100"/>
          <w:sz w:val="20"/>
          <w:szCs w:val="21"/>
        </w:rPr>
      </w:pPr>
      <w:r>
        <w:rPr>
          <w:rStyle w:val="43"/>
          <w:rFonts w:hint="eastAsia" w:ascii="宋体" w:hAnsi="宋体" w:cs="宋体"/>
          <w:b w:val="0"/>
          <w:bCs/>
          <w:i w:val="0"/>
          <w:caps w:val="0"/>
          <w:color w:val="auto"/>
          <w:spacing w:val="0"/>
          <w:w w:val="100"/>
          <w:sz w:val="21"/>
        </w:rPr>
        <w:t>甲方收到丙方工程进度款后3日内向乙方支付当月工程进度款，如丙方向甲方支付工程进度款滞后，甲方向乙方支付工程进度款也相应滞后。</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7、结算原则</w:t>
      </w:r>
    </w:p>
    <w:p>
      <w:pPr>
        <w:pStyle w:val="68"/>
        <w:snapToGrid w:val="0"/>
        <w:spacing w:before="0" w:beforeAutospacing="0" w:after="0" w:afterAutospacing="0" w:line="360" w:lineRule="exact"/>
        <w:ind w:firstLine="420" w:firstLineChars="200"/>
        <w:jc w:val="both"/>
        <w:textAlignment w:val="baseline"/>
        <w:rPr>
          <w:rFonts w:ascii="宋体" w:hAnsi="宋体" w:eastAsia="宋体" w:cs="宋体"/>
          <w:b w:val="0"/>
          <w:i w:val="0"/>
          <w:caps w:val="0"/>
          <w:color w:val="auto"/>
          <w:spacing w:val="0"/>
          <w:w w:val="100"/>
          <w:sz w:val="21"/>
          <w:szCs w:val="21"/>
        </w:rPr>
      </w:pPr>
      <w:r>
        <w:rPr>
          <w:rFonts w:hint="eastAsia" w:ascii="宋体" w:hAnsi="宋体" w:eastAsia="宋体" w:cs="宋体"/>
          <w:b w:val="0"/>
          <w:i w:val="0"/>
          <w:caps w:val="0"/>
          <w:color w:val="auto"/>
          <w:spacing w:val="0"/>
          <w:w w:val="100"/>
          <w:sz w:val="21"/>
          <w:szCs w:val="21"/>
        </w:rPr>
        <w:t>中标总价（不包括不可预见费）一次性包死，不再调整。丙、丁方有权增减工作范围，该费用应予以增减，在结算时单价按以下口径确定：</w:t>
      </w:r>
    </w:p>
    <w:p>
      <w:pPr>
        <w:numPr>
          <w:ilvl w:val="0"/>
          <w:numId w:val="6"/>
        </w:numPr>
        <w:snapToGrid w:val="0"/>
        <w:spacing w:before="0" w:beforeAutospacing="0" w:after="0" w:afterAutospacing="0" w:line="360" w:lineRule="exact"/>
        <w:ind w:firstLine="420" w:firstLineChars="200"/>
        <w:jc w:val="both"/>
        <w:textAlignment w:val="baseline"/>
        <w:rPr>
          <w:rFonts w:ascii="宋体" w:hAnsi="宋体" w:cs="宋体"/>
          <w:b w:val="0"/>
          <w:bCs/>
          <w:i w:val="0"/>
          <w:caps w:val="0"/>
          <w:color w:val="auto"/>
          <w:spacing w:val="0"/>
          <w:w w:val="100"/>
          <w:sz w:val="20"/>
          <w:szCs w:val="21"/>
        </w:rPr>
      </w:pPr>
      <w:r>
        <w:rPr>
          <w:rFonts w:hint="eastAsia" w:ascii="宋体" w:hAnsi="宋体" w:cs="宋体"/>
          <w:b w:val="0"/>
          <w:bCs/>
          <w:i w:val="0"/>
          <w:caps w:val="0"/>
          <w:color w:val="auto"/>
          <w:spacing w:val="0"/>
          <w:w w:val="100"/>
          <w:sz w:val="21"/>
          <w:szCs w:val="21"/>
        </w:rPr>
        <w:t>合同中有类似项目综合单价的，可以参照合同中类似项目的综合单价计算确定；</w:t>
      </w:r>
    </w:p>
    <w:p>
      <w:pPr>
        <w:numPr>
          <w:ilvl w:val="0"/>
          <w:numId w:val="6"/>
        </w:num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bCs/>
          <w:i w:val="0"/>
          <w:caps w:val="0"/>
          <w:color w:val="auto"/>
          <w:spacing w:val="0"/>
          <w:w w:val="100"/>
          <w:sz w:val="21"/>
          <w:szCs w:val="21"/>
        </w:rPr>
        <w:t>合同中没有类似项目综合单价的，由甲方</w:t>
      </w:r>
      <w:r>
        <w:rPr>
          <w:rFonts w:hint="eastAsia" w:ascii="宋体" w:hAnsi="宋体" w:cs="宋体"/>
          <w:b w:val="0"/>
          <w:i w:val="0"/>
          <w:caps w:val="0"/>
          <w:color w:val="auto"/>
          <w:spacing w:val="0"/>
          <w:w w:val="100"/>
          <w:sz w:val="21"/>
          <w:szCs w:val="21"/>
        </w:rPr>
        <w:t>签证后按照中标下浮率及优惠条件同比例计算变更费用。凡此设计变更，乙方在完成每份设计变更联系和现场签证单工程内容后14天内向监理提交正式工程变更费用结算书。注：中标下浮率=（上限价-中标价）/上限价×100% 。</w:t>
      </w:r>
    </w:p>
    <w:p>
      <w:pPr>
        <w:pStyle w:val="12"/>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Style w:val="43"/>
          <w:rFonts w:hint="eastAsia" w:ascii="宋体" w:hAnsi="宋体" w:cs="宋体"/>
          <w:b w:val="0"/>
          <w:i w:val="0"/>
          <w:caps w:val="0"/>
          <w:color w:val="auto"/>
          <w:spacing w:val="0"/>
          <w:w w:val="100"/>
          <w:sz w:val="21"/>
        </w:rPr>
        <w:t>注：本工程除丙方要求的重大变更外，原则上不允许设计变更。</w:t>
      </w:r>
    </w:p>
    <w:p>
      <w:pPr>
        <w:pStyle w:val="68"/>
        <w:snapToGrid w:val="0"/>
        <w:spacing w:before="0" w:beforeAutospacing="0" w:after="0" w:afterAutospacing="0" w:line="360" w:lineRule="exact"/>
        <w:ind w:firstLine="422" w:firstLineChars="200"/>
        <w:jc w:val="both"/>
        <w:textAlignment w:val="baseline"/>
        <w:rPr>
          <w:rFonts w:ascii="宋体" w:hAnsi="宋体" w:eastAsia="宋体" w:cs="宋体"/>
          <w:b/>
          <w:i w:val="0"/>
          <w:caps w:val="0"/>
          <w:color w:val="auto"/>
          <w:spacing w:val="0"/>
          <w:w w:val="100"/>
          <w:sz w:val="21"/>
          <w:szCs w:val="21"/>
        </w:rPr>
      </w:pPr>
      <w:r>
        <w:rPr>
          <w:rFonts w:hint="eastAsia" w:ascii="宋体" w:hAnsi="宋体" w:eastAsia="宋体" w:cs="宋体"/>
          <w:b/>
          <w:i w:val="0"/>
          <w:caps w:val="0"/>
          <w:color w:val="auto"/>
          <w:spacing w:val="0"/>
          <w:w w:val="100"/>
          <w:sz w:val="21"/>
          <w:szCs w:val="21"/>
        </w:rPr>
        <w:t>8、文件和技术资料</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设备交货前乙方向甲方及丙、丁方提供下列技术资料、图纸和文件：</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（1）样本及技术规格书，要求有8份。</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（2）施工图，要求有10份。</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（3）制造厂的设备生产许可证明和设备合格证书。</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（4）制造厂出具的品质保证书正本。</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（5）制作期间的试验、检试报告。</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（6）出厂检试报告。设备安装、操作、维护手册或说明书，要求有8份。此手册或说明书不应少于如下内容：</w:t>
      </w:r>
    </w:p>
    <w:p>
      <w:pPr>
        <w:tabs>
          <w:tab w:val="left" w:pos="560"/>
          <w:tab w:val="left" w:pos="140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    a、电气接线图；</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    b、设备操作与维修手册。</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（7）甲方认为有必要提供的其他技术资料。</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（8）以上所有资料必须为中文。</w:t>
      </w:r>
    </w:p>
    <w:p>
      <w:pPr>
        <w:pStyle w:val="12"/>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资料：提交的技术资料要符合绍兴市越城区建设工程质量安全管理中心的要求及市城建档案馆要求，要符合评杯要求。</w:t>
      </w:r>
    </w:p>
    <w:p>
      <w:pPr>
        <w:snapToGrid w:val="0"/>
        <w:spacing w:before="0" w:beforeAutospacing="0" w:after="0" w:afterAutospacing="0" w:line="360" w:lineRule="exact"/>
        <w:ind w:firstLine="422" w:firstLineChars="200"/>
        <w:jc w:val="both"/>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9、技术服务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乙方免费对甲方及丙、丁方的操作、维修人员在厂方或使用地进行技术培训。乙方提供的负责培训人员应具备同类产品5年以上的维修经验。</w:t>
      </w:r>
    </w:p>
    <w:p>
      <w:pPr>
        <w:tabs>
          <w:tab w:val="left" w:pos="280"/>
        </w:tabs>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10、质量、技术标准</w:t>
      </w:r>
    </w:p>
    <w:p>
      <w:pPr>
        <w:tabs>
          <w:tab w:val="left" w:pos="28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同时承担工期违约的违约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10.2未经甲方及丙、丁方同意，乙方不得擅自更改或换用投标产品的零部件或配件，否则，乙方承担由此发生的费用，并赔偿甲方及丙、丁方的有关损失，延误的供货日期不予顺延。</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 xml:space="preserve">11、设备、材料检验 </w:t>
      </w:r>
    </w:p>
    <w:p>
      <w:pPr>
        <w:tabs>
          <w:tab w:val="left" w:pos="28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甲方及丙、丁方认为有必要在设备制造过程中派人到生产厂监制，乙方应予以积极配合并对监制或预验收工作提供方便并承担相关费用。但甲方及丙、丁方监制并不解除制造商对所有产品在制造质量上应负的全部责任，也不作为甲方及丙、丁方的最终验收。</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在第一批设备供货之前，丙方将会同丁方、甲方、监理工程师等相关单位到乙方的设备制造厂进行样品审核，乙方应积极配合并对甲方及丙、丁方的工作提供方便并承担相关费用。在检验结束后，乙方须提供必要的技术数据和图纸，并提交一份测试报告给甲方，但甲方的工厂检验并不解除制造商对所有产品在制造质量上应负的全部责任。</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所有的货物准备进场时须同时提供货物出厂合格证书、检测报告。国外生产的必须有合法的进货渠道证明，如海关报关单、原产地证明、商检证明等。</w:t>
      </w:r>
    </w:p>
    <w:p>
      <w:pPr>
        <w:pStyle w:val="68"/>
        <w:snapToGrid w:val="0"/>
        <w:spacing w:before="0" w:beforeAutospacing="0" w:after="0" w:afterAutospacing="0" w:line="360" w:lineRule="exact"/>
        <w:ind w:firstLine="420" w:firstLineChars="200"/>
        <w:jc w:val="both"/>
        <w:textAlignment w:val="baseline"/>
        <w:rPr>
          <w:rFonts w:ascii="宋体" w:hAnsi="宋体" w:eastAsia="宋体" w:cs="宋体"/>
          <w:b w:val="0"/>
          <w:bCs w:val="0"/>
          <w:i w:val="0"/>
          <w:caps w:val="0"/>
          <w:color w:val="auto"/>
          <w:spacing w:val="0"/>
          <w:w w:val="100"/>
          <w:sz w:val="21"/>
          <w:szCs w:val="21"/>
        </w:rPr>
      </w:pPr>
      <w:r>
        <w:rPr>
          <w:rFonts w:hint="eastAsia" w:ascii="宋体" w:hAnsi="宋体" w:eastAsia="宋体" w:cs="宋体"/>
          <w:b w:val="0"/>
          <w:bCs w:val="0"/>
          <w:i w:val="0"/>
          <w:caps w:val="0"/>
          <w:color w:val="auto"/>
          <w:spacing w:val="0"/>
          <w:w w:val="100"/>
          <w:sz w:val="21"/>
          <w:szCs w:val="21"/>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样品的报送与封存：需要乙方报送样品的材料或工程设备，样品的种类、名称、规格、数量要求：</w:t>
      </w:r>
      <w:r>
        <w:rPr>
          <w:rFonts w:hint="eastAsia" w:ascii="宋体" w:hAnsi="宋体" w:cs="宋体"/>
          <w:b w:val="0"/>
          <w:i w:val="0"/>
          <w:caps w:val="0"/>
          <w:color w:val="auto"/>
          <w:spacing w:val="0"/>
          <w:w w:val="100"/>
          <w:sz w:val="21"/>
          <w:szCs w:val="21"/>
          <w:u w:val="single" w:color="000000"/>
        </w:rPr>
        <w:t>以符合设计和规范要求为原则。①.一般材料由甲方及丙、丁方、监理看样认可后自行采购；主要设备应由甲方及丙、丁方和监理共同看样定货认可后采购。②.所有材料必须有质保书和合格证，经认证许可，并符合施工图纸和规范要求，若材料质量不符合规定要求，乙方无条件退换并承担返工损失及工期、质量违约责任 。</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bookmarkStart w:id="414" w:name="_Toc812"/>
      <w:r>
        <w:rPr>
          <w:rFonts w:hint="eastAsia" w:ascii="宋体" w:hAnsi="宋体" w:cs="宋体"/>
          <w:b/>
          <w:i w:val="0"/>
          <w:caps w:val="0"/>
          <w:color w:val="auto"/>
          <w:spacing w:val="0"/>
          <w:w w:val="100"/>
          <w:sz w:val="21"/>
          <w:szCs w:val="21"/>
        </w:rPr>
        <w:t>12、设备的安装、调试</w:t>
      </w:r>
      <w:bookmarkEnd w:id="414"/>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shd w:val="pct10" w:color="auto" w:fill="FFFFFF"/>
        </w:rPr>
      </w:pPr>
      <w:r>
        <w:rPr>
          <w:rFonts w:hint="eastAsia" w:ascii="宋体" w:hAnsi="宋体" w:cs="宋体"/>
          <w:b w:val="0"/>
          <w:i w:val="0"/>
          <w:caps w:val="0"/>
          <w:color w:val="auto"/>
          <w:spacing w:val="0"/>
          <w:w w:val="100"/>
          <w:sz w:val="21"/>
          <w:szCs w:val="21"/>
        </w:rPr>
        <w:t>12.1合同所订的货物到达甲方及丙、丁方后，乙方应在收到甲方及丙、丁方通知后2天内，及时派人前往设备交货地点</w:t>
      </w:r>
      <w:r>
        <w:rPr>
          <w:rFonts w:hint="eastAsia" w:ascii="宋体" w:hAnsi="宋体" w:cs="宋体"/>
          <w:b w:val="0"/>
          <w:bCs/>
          <w:i w:val="0"/>
          <w:caps w:val="0"/>
          <w:color w:val="auto"/>
          <w:spacing w:val="0"/>
          <w:w w:val="100"/>
          <w:sz w:val="21"/>
          <w:szCs w:val="21"/>
        </w:rPr>
        <w:t>对设备</w:t>
      </w:r>
      <w:r>
        <w:rPr>
          <w:rFonts w:hint="eastAsia" w:ascii="宋体" w:hAnsi="宋体" w:cs="宋体"/>
          <w:b w:val="0"/>
          <w:i w:val="0"/>
          <w:caps w:val="0"/>
          <w:color w:val="auto"/>
          <w:spacing w:val="0"/>
          <w:w w:val="100"/>
          <w:sz w:val="21"/>
          <w:szCs w:val="21"/>
        </w:rPr>
        <w:t>进行安装调试。</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12.2乙方人员在甲方及丙、丁方进行指导安装及设备调试期间，所有费用由乙方负责。</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8"/>
        <w:snapToGrid w:val="0"/>
        <w:spacing w:before="0" w:beforeAutospacing="0" w:after="0" w:afterAutospacing="0" w:line="360" w:lineRule="exact"/>
        <w:ind w:firstLine="420" w:firstLineChars="200"/>
        <w:jc w:val="both"/>
        <w:textAlignment w:val="baseline"/>
        <w:rPr>
          <w:rFonts w:ascii="宋体" w:hAnsi="宋体" w:eastAsia="宋体" w:cs="宋体"/>
          <w:b w:val="0"/>
          <w:i w:val="0"/>
          <w:caps w:val="0"/>
          <w:color w:val="auto"/>
          <w:spacing w:val="0"/>
          <w:w w:val="100"/>
          <w:sz w:val="21"/>
          <w:szCs w:val="21"/>
        </w:rPr>
      </w:pPr>
      <w:r>
        <w:rPr>
          <w:rFonts w:hint="eastAsia" w:ascii="宋体" w:hAnsi="宋体" w:eastAsia="宋体" w:cs="宋体"/>
          <w:b w:val="0"/>
          <w:i w:val="0"/>
          <w:caps w:val="0"/>
          <w:color w:val="auto"/>
          <w:spacing w:val="0"/>
          <w:w w:val="100"/>
          <w:sz w:val="21"/>
          <w:szCs w:val="21"/>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13、设备验收</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13.1</w:t>
      </w:r>
      <w:r>
        <w:rPr>
          <w:rFonts w:hint="eastAsia" w:ascii="宋体" w:hAnsi="宋体" w:cs="宋体"/>
          <w:b w:val="0"/>
          <w:bCs/>
          <w:i w:val="0"/>
          <w:caps w:val="0"/>
          <w:color w:val="auto"/>
          <w:spacing w:val="0"/>
          <w:w w:val="100"/>
          <w:sz w:val="21"/>
          <w:szCs w:val="21"/>
        </w:rPr>
        <w:t>乙方</w:t>
      </w:r>
      <w:r>
        <w:rPr>
          <w:rFonts w:hint="eastAsia" w:ascii="宋体" w:hAnsi="宋体" w:cs="宋体"/>
          <w:b w:val="0"/>
          <w:i w:val="0"/>
          <w:caps w:val="0"/>
          <w:color w:val="auto"/>
          <w:spacing w:val="0"/>
          <w:w w:val="100"/>
          <w:sz w:val="21"/>
          <w:szCs w:val="21"/>
        </w:rPr>
        <w:t>应提供验收大纲和验收标准供甲方及丙、丁方参考，经甲方及丙、丁方确认后，作为验收的依据。</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13.2设备到达现场后，乙方派人到现场与甲方及丙、丁方一起开箱初步验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13.3设备在安装、调试结束后，经过二个月的试运行考核无故障，甲乙丙丁方会同当地有关部门等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bookmarkStart w:id="415" w:name="_Toc8150"/>
      <w:r>
        <w:rPr>
          <w:rFonts w:hint="eastAsia" w:ascii="宋体" w:hAnsi="宋体" w:cs="宋体"/>
          <w:b/>
          <w:i w:val="0"/>
          <w:caps w:val="0"/>
          <w:color w:val="auto"/>
          <w:spacing w:val="0"/>
          <w:w w:val="100"/>
          <w:sz w:val="21"/>
          <w:szCs w:val="21"/>
        </w:rPr>
        <w:t>14、质保及维修</w:t>
      </w:r>
      <w:bookmarkEnd w:id="415"/>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14.1设备质</w:t>
      </w:r>
      <w:r>
        <w:rPr>
          <w:rFonts w:hint="eastAsia" w:ascii="宋体" w:hAnsi="宋体" w:cs="宋体"/>
          <w:b/>
          <w:bCs/>
          <w:i w:val="0"/>
          <w:caps w:val="0"/>
          <w:color w:val="auto"/>
          <w:spacing w:val="0"/>
          <w:w w:val="100"/>
          <w:sz w:val="21"/>
          <w:szCs w:val="21"/>
        </w:rPr>
        <w:t>量保证期为使用产品之日起至少</w:t>
      </w:r>
      <w:r>
        <w:rPr>
          <w:rFonts w:hint="eastAsia" w:ascii="宋体" w:hAnsi="宋体" w:cs="宋体"/>
          <w:b/>
          <w:bCs/>
          <w:i w:val="0"/>
          <w:caps w:val="0"/>
          <w:color w:val="auto"/>
          <w:spacing w:val="0"/>
          <w:w w:val="100"/>
          <w:sz w:val="21"/>
          <w:szCs w:val="21"/>
          <w:u w:val="single" w:color="000000"/>
        </w:rPr>
        <w:t>24个月，</w:t>
      </w:r>
      <w:r>
        <w:rPr>
          <w:rFonts w:hint="eastAsia" w:ascii="宋体" w:hAnsi="宋体" w:cs="宋体"/>
          <w:b w:val="0"/>
          <w:i w:val="0"/>
          <w:caps w:val="0"/>
          <w:color w:val="auto"/>
          <w:spacing w:val="0"/>
          <w:w w:val="100"/>
          <w:sz w:val="21"/>
          <w:szCs w:val="21"/>
        </w:rPr>
        <w:t>乙方承诺超过本要求的，以优惠者为准，若其他产品配件另有超过24个月的厂家质保规定或承诺的，按其规定或承诺执行。质保期内如无问题，则在质保期满时，由甲方及丙、丁方提交质保期验收报告，验收由甲方及丙、丁方签字认可。</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14.2在设备质保期内，因设备本身的缺陷导致各种故障，乙方应负责免费更换产品，提供技术服务和指导设备维修，更换后的产品的质量保证期为</w:t>
      </w:r>
      <w:r>
        <w:rPr>
          <w:rFonts w:hint="eastAsia" w:ascii="宋体" w:hAnsi="宋体" w:cs="宋体"/>
          <w:b w:val="0"/>
          <w:bCs/>
          <w:i w:val="0"/>
          <w:caps w:val="0"/>
          <w:color w:val="auto"/>
          <w:spacing w:val="0"/>
          <w:w w:val="100"/>
          <w:sz w:val="21"/>
          <w:szCs w:val="21"/>
        </w:rPr>
        <w:t>更换后的产品</w:t>
      </w:r>
      <w:r>
        <w:rPr>
          <w:rFonts w:hint="eastAsia" w:ascii="宋体" w:hAnsi="宋体" w:cs="宋体"/>
          <w:b w:val="0"/>
          <w:i w:val="0"/>
          <w:caps w:val="0"/>
          <w:color w:val="auto"/>
          <w:spacing w:val="0"/>
          <w:w w:val="100"/>
          <w:sz w:val="21"/>
          <w:szCs w:val="21"/>
        </w:rPr>
        <w:t>使用之日起至少</w:t>
      </w:r>
      <w:r>
        <w:rPr>
          <w:rFonts w:hint="eastAsia" w:ascii="宋体" w:hAnsi="宋体" w:cs="宋体"/>
          <w:b w:val="0"/>
          <w:bCs/>
          <w:i w:val="0"/>
          <w:caps w:val="0"/>
          <w:color w:val="auto"/>
          <w:spacing w:val="0"/>
          <w:w w:val="100"/>
          <w:sz w:val="21"/>
          <w:szCs w:val="21"/>
          <w:u w:val="single" w:color="000000"/>
        </w:rPr>
        <w:t>24个月</w:t>
      </w:r>
      <w:r>
        <w:rPr>
          <w:rFonts w:hint="eastAsia" w:ascii="宋体" w:hAnsi="宋体" w:cs="宋体"/>
          <w:b w:val="0"/>
          <w:bCs/>
          <w:i w:val="0"/>
          <w:caps w:val="0"/>
          <w:color w:val="auto"/>
          <w:spacing w:val="0"/>
          <w:w w:val="100"/>
          <w:sz w:val="21"/>
          <w:szCs w:val="21"/>
        </w:rPr>
        <w:t>。</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14.3如设备在质保期后发生故障，乙方在收到丙、丁方的书面维修通知后，应</w:t>
      </w:r>
      <w:r>
        <w:rPr>
          <w:rFonts w:hint="eastAsia" w:ascii="宋体" w:hAnsi="宋体" w:cs="宋体"/>
          <w:b/>
          <w:bCs/>
          <w:i w:val="0"/>
          <w:caps w:val="0"/>
          <w:color w:val="auto"/>
          <w:spacing w:val="0"/>
          <w:w w:val="100"/>
          <w:sz w:val="21"/>
          <w:szCs w:val="21"/>
        </w:rPr>
        <w:t>即时给予响应。在质保期内的工作应包括对所有设备</w:t>
      </w:r>
      <w:r>
        <w:rPr>
          <w:rFonts w:hint="eastAsia" w:ascii="宋体" w:hAnsi="宋体" w:cs="宋体"/>
          <w:b w:val="0"/>
          <w:bCs/>
          <w:i w:val="0"/>
          <w:caps w:val="0"/>
          <w:color w:val="auto"/>
          <w:spacing w:val="0"/>
          <w:w w:val="100"/>
          <w:sz w:val="21"/>
          <w:szCs w:val="21"/>
          <w:u w:val="thick" w:color="000000"/>
        </w:rPr>
        <w:t>每月至少1次</w:t>
      </w:r>
      <w:r>
        <w:rPr>
          <w:rFonts w:hint="eastAsia" w:ascii="宋体" w:hAnsi="宋体" w:cs="宋体"/>
          <w:b w:val="0"/>
          <w:bCs/>
          <w:i w:val="0"/>
          <w:caps w:val="0"/>
          <w:color w:val="auto"/>
          <w:spacing w:val="0"/>
          <w:w w:val="100"/>
          <w:sz w:val="21"/>
          <w:szCs w:val="21"/>
        </w:rPr>
        <w:t>的</w:t>
      </w:r>
      <w:r>
        <w:rPr>
          <w:rFonts w:hint="eastAsia" w:ascii="宋体" w:hAnsi="宋体" w:cs="宋体"/>
          <w:b w:val="0"/>
          <w:i w:val="0"/>
          <w:caps w:val="0"/>
          <w:color w:val="auto"/>
          <w:spacing w:val="0"/>
          <w:w w:val="100"/>
          <w:sz w:val="21"/>
          <w:szCs w:val="21"/>
        </w:rPr>
        <w:t>常规检查、调整和润滑。</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14.4乙方在投标文件中所承诺的辅材、配件价格及保修期外的保修年费及服务方案做为合同的一部分。</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14.5在保修期内，乙方应保证所提供设备无故障开机运行，如达不到要求，保修期应顺延，并且乙方应赔偿丙方经济损失。对保修期内的维修服务，乙方应在接到丙方通知后2小时内做出响应并提出解决办法，无偿负责设备的调试或更换已损坏的零部件；保修期以后的维修服务，乙方驻场人员应做到在丙方发出维修通知后及时进行设备维修，更换已损坏的零部件。乙丙双方将对保修期外服务条款及费用的收取签署保修协议。</w:t>
      </w:r>
    </w:p>
    <w:p>
      <w:pPr>
        <w:pStyle w:val="68"/>
        <w:snapToGrid w:val="0"/>
        <w:spacing w:before="0" w:beforeAutospacing="0" w:after="0" w:afterAutospacing="0" w:line="360" w:lineRule="exact"/>
        <w:ind w:firstLine="422" w:firstLineChars="200"/>
        <w:jc w:val="both"/>
        <w:textAlignment w:val="baseline"/>
        <w:rPr>
          <w:rFonts w:ascii="宋体" w:hAnsi="宋体" w:eastAsia="宋体" w:cs="宋体"/>
          <w:b/>
          <w:i w:val="0"/>
          <w:caps w:val="0"/>
          <w:color w:val="auto"/>
          <w:spacing w:val="0"/>
          <w:w w:val="100"/>
          <w:sz w:val="21"/>
          <w:szCs w:val="21"/>
        </w:rPr>
      </w:pPr>
      <w:r>
        <w:rPr>
          <w:rFonts w:hint="eastAsia" w:ascii="宋体" w:hAnsi="宋体" w:eastAsia="宋体" w:cs="宋体"/>
          <w:b/>
          <w:i w:val="0"/>
          <w:caps w:val="0"/>
          <w:color w:val="auto"/>
          <w:spacing w:val="0"/>
          <w:w w:val="100"/>
          <w:sz w:val="21"/>
          <w:szCs w:val="21"/>
        </w:rPr>
        <w:t>15、安全要求：</w:t>
      </w:r>
    </w:p>
    <w:p>
      <w:pPr>
        <w:pStyle w:val="68"/>
        <w:snapToGrid w:val="0"/>
        <w:spacing w:before="0" w:beforeAutospacing="0" w:after="0" w:afterAutospacing="0" w:line="360" w:lineRule="exact"/>
        <w:ind w:firstLine="420" w:firstLineChars="200"/>
        <w:jc w:val="both"/>
        <w:textAlignment w:val="baseline"/>
        <w:rPr>
          <w:rFonts w:ascii="宋体" w:hAnsi="宋体" w:eastAsia="宋体" w:cs="宋体"/>
          <w:b w:val="0"/>
          <w:i w:val="0"/>
          <w:caps w:val="0"/>
          <w:color w:val="auto"/>
          <w:spacing w:val="0"/>
          <w:w w:val="100"/>
          <w:sz w:val="21"/>
          <w:szCs w:val="21"/>
        </w:rPr>
      </w:pPr>
      <w:r>
        <w:rPr>
          <w:rFonts w:hint="eastAsia" w:ascii="宋体" w:hAnsi="宋体" w:eastAsia="宋体" w:cs="宋体"/>
          <w:b w:val="0"/>
          <w:i w:val="0"/>
          <w:caps w:val="0"/>
          <w:color w:val="auto"/>
          <w:spacing w:val="0"/>
          <w:w w:val="100"/>
          <w:sz w:val="21"/>
          <w:szCs w:val="21"/>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8"/>
        <w:snapToGrid w:val="0"/>
        <w:spacing w:before="0" w:beforeAutospacing="0" w:after="0" w:afterAutospacing="0" w:line="360" w:lineRule="exact"/>
        <w:ind w:firstLine="420" w:firstLineChars="200"/>
        <w:jc w:val="both"/>
        <w:textAlignment w:val="baseline"/>
        <w:rPr>
          <w:rFonts w:ascii="宋体" w:hAnsi="宋体" w:eastAsia="宋体" w:cs="宋体"/>
          <w:b w:val="0"/>
          <w:i w:val="0"/>
          <w:caps w:val="0"/>
          <w:color w:val="auto"/>
          <w:spacing w:val="0"/>
          <w:w w:val="100"/>
          <w:sz w:val="21"/>
          <w:szCs w:val="21"/>
        </w:rPr>
      </w:pPr>
      <w:r>
        <w:rPr>
          <w:rFonts w:hint="eastAsia" w:ascii="宋体" w:hAnsi="宋体" w:eastAsia="宋体" w:cs="宋体"/>
          <w:b w:val="0"/>
          <w:i w:val="0"/>
          <w:caps w:val="0"/>
          <w:color w:val="auto"/>
          <w:spacing w:val="0"/>
          <w:w w:val="100"/>
          <w:sz w:val="21"/>
          <w:szCs w:val="21"/>
        </w:rPr>
        <w:t>15.2乙方在实施过程中应采取必要的安全防护和消防措施，保障作业人员及出入施工现场人员的安全。乙方应为施工人员办理所需的工伤等保险，费用由乙方自行负责。</w:t>
      </w:r>
    </w:p>
    <w:p>
      <w:pPr>
        <w:pStyle w:val="68"/>
        <w:snapToGrid w:val="0"/>
        <w:spacing w:before="0" w:beforeAutospacing="0" w:after="0" w:afterAutospacing="0" w:line="360" w:lineRule="exact"/>
        <w:ind w:firstLine="420" w:firstLineChars="200"/>
        <w:jc w:val="both"/>
        <w:textAlignment w:val="baseline"/>
        <w:rPr>
          <w:rFonts w:ascii="宋体" w:hAnsi="宋体" w:eastAsia="宋体" w:cs="宋体"/>
          <w:b w:val="0"/>
          <w:i w:val="0"/>
          <w:caps w:val="0"/>
          <w:color w:val="auto"/>
          <w:spacing w:val="0"/>
          <w:w w:val="100"/>
          <w:sz w:val="21"/>
          <w:szCs w:val="21"/>
        </w:rPr>
      </w:pPr>
      <w:r>
        <w:rPr>
          <w:rFonts w:hint="eastAsia" w:ascii="宋体" w:hAnsi="宋体" w:eastAsia="宋体" w:cs="宋体"/>
          <w:b w:val="0"/>
          <w:i w:val="0"/>
          <w:caps w:val="0"/>
          <w:color w:val="auto"/>
          <w:spacing w:val="0"/>
          <w:w w:val="100"/>
          <w:sz w:val="21"/>
          <w:szCs w:val="21"/>
        </w:rPr>
        <w:t>15.3乙方在实施过程中如发生质量事故责任全部自行承担，及时报告甲方及丙、丁方。做到及时查清事故原因，分清事故责任，并采取有效的补救措施。一般质量事故的处理方案应送甲方共同研究实施；重大质量事故的处理按国家相关条例执行。</w:t>
      </w:r>
    </w:p>
    <w:p>
      <w:pPr>
        <w:pStyle w:val="68"/>
        <w:snapToGrid w:val="0"/>
        <w:spacing w:before="0" w:beforeAutospacing="0" w:after="0" w:afterAutospacing="0" w:line="360" w:lineRule="exact"/>
        <w:ind w:firstLine="420" w:firstLineChars="200"/>
        <w:jc w:val="both"/>
        <w:textAlignment w:val="baseline"/>
        <w:rPr>
          <w:rFonts w:ascii="宋体" w:hAnsi="宋体" w:eastAsia="宋体" w:cs="宋体"/>
          <w:b w:val="0"/>
          <w:i w:val="0"/>
          <w:caps w:val="0"/>
          <w:color w:val="auto"/>
          <w:spacing w:val="0"/>
          <w:w w:val="100"/>
          <w:sz w:val="21"/>
          <w:szCs w:val="21"/>
        </w:rPr>
      </w:pPr>
      <w:r>
        <w:rPr>
          <w:rFonts w:hint="eastAsia" w:ascii="宋体" w:hAnsi="宋体" w:eastAsia="宋体" w:cs="宋体"/>
          <w:b w:val="0"/>
          <w:i w:val="0"/>
          <w:caps w:val="0"/>
          <w:color w:val="auto"/>
          <w:spacing w:val="0"/>
          <w:w w:val="100"/>
          <w:sz w:val="21"/>
          <w:szCs w:val="21"/>
        </w:rPr>
        <w:t>15.4本项目实施过程中出现的作业人员或因承包人原因引起的第三方人员、财务损失，造成的责任和因此发生的费用，由乙方承担。</w:t>
      </w:r>
    </w:p>
    <w:p>
      <w:pPr>
        <w:pStyle w:val="68"/>
        <w:snapToGrid w:val="0"/>
        <w:spacing w:before="0" w:beforeAutospacing="0" w:after="0" w:afterAutospacing="0" w:line="360" w:lineRule="exact"/>
        <w:ind w:firstLine="420" w:firstLineChars="200"/>
        <w:jc w:val="both"/>
        <w:textAlignment w:val="baseline"/>
        <w:rPr>
          <w:rFonts w:ascii="宋体" w:hAnsi="宋体" w:eastAsia="宋体" w:cs="宋体"/>
          <w:b w:val="0"/>
          <w:i w:val="0"/>
          <w:caps w:val="0"/>
          <w:color w:val="auto"/>
          <w:spacing w:val="0"/>
          <w:w w:val="100"/>
          <w:sz w:val="21"/>
          <w:szCs w:val="21"/>
        </w:rPr>
      </w:pPr>
      <w:r>
        <w:rPr>
          <w:rFonts w:hint="eastAsia" w:ascii="宋体" w:hAnsi="宋体" w:eastAsia="宋体" w:cs="宋体"/>
          <w:b w:val="0"/>
          <w:i w:val="0"/>
          <w:caps w:val="0"/>
          <w:color w:val="auto"/>
          <w:spacing w:val="0"/>
          <w:w w:val="100"/>
          <w:sz w:val="21"/>
          <w:szCs w:val="21"/>
        </w:rPr>
        <w:t>15.5本项目实施过程中，由乙方引起的管线、线路等损坏由乙方承担相应的责任和损失。</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bookmarkStart w:id="416" w:name="_Toc10358"/>
      <w:r>
        <w:rPr>
          <w:rFonts w:hint="eastAsia" w:ascii="宋体" w:hAnsi="宋体" w:cs="宋体"/>
          <w:b/>
          <w:i w:val="0"/>
          <w:caps w:val="0"/>
          <w:color w:val="auto"/>
          <w:spacing w:val="0"/>
          <w:w w:val="100"/>
          <w:sz w:val="21"/>
          <w:szCs w:val="21"/>
        </w:rPr>
        <w:t>16、违约责任</w:t>
      </w:r>
      <w:bookmarkEnd w:id="416"/>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16.1合同约定工期节点的，每逾期一天，乙方按2000元/天向甲方支付违约金；逾期超过 30天的，甲方及丙、丁方有权解除合同、丙方没收全部的履约保证金（提示：请根据项目实际明确谁有权没收履约保证金）并乙方承担所有的违约责任并承担由此造成的甲方及丙、丁方的全部损失。乙方</w:t>
      </w:r>
      <w:r>
        <w:rPr>
          <w:rFonts w:hint="eastAsia" w:ascii="宋体" w:hAnsi="宋体" w:cs="宋体"/>
          <w:b w:val="0"/>
          <w:bCs/>
          <w:i w:val="0"/>
          <w:caps w:val="0"/>
          <w:color w:val="auto"/>
          <w:spacing w:val="0"/>
          <w:w w:val="100"/>
          <w:sz w:val="21"/>
          <w:szCs w:val="21"/>
        </w:rPr>
        <w:t>总工期超</w:t>
      </w:r>
      <w:r>
        <w:rPr>
          <w:rFonts w:hint="eastAsia" w:ascii="宋体" w:hAnsi="宋体" w:cs="宋体"/>
          <w:b w:val="0"/>
          <w:i w:val="0"/>
          <w:caps w:val="0"/>
          <w:color w:val="auto"/>
          <w:spacing w:val="0"/>
          <w:w w:val="100"/>
          <w:sz w:val="21"/>
          <w:szCs w:val="21"/>
        </w:rPr>
        <w:t>过本合同约定期限的，按照逾期交货承担违约责任。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16.2乙方交付的货品不能满足招标文件及合同主要技术标准及质量要求的，应按照要求更换、重做、修理直至按照甲方及丙、丁方的要求退货并每发生一次，乙方应向甲方支付违约金20000元，累计发生2次（含）以上的，甲方、丙、丁方有权解除本合同、</w:t>
      </w:r>
      <w:r>
        <w:rPr>
          <w:rFonts w:hint="eastAsia" w:ascii="宋体" w:hAnsi="宋体" w:cs="宋体"/>
          <w:b/>
          <w:bCs/>
          <w:i w:val="0"/>
          <w:caps w:val="0"/>
          <w:color w:val="auto"/>
          <w:spacing w:val="0"/>
          <w:w w:val="100"/>
          <w:sz w:val="21"/>
          <w:szCs w:val="21"/>
        </w:rPr>
        <w:t>甲方有权没</w:t>
      </w:r>
      <w:r>
        <w:rPr>
          <w:rFonts w:hint="eastAsia" w:ascii="宋体" w:hAnsi="宋体" w:cs="宋体"/>
          <w:b w:val="0"/>
          <w:i w:val="0"/>
          <w:caps w:val="0"/>
          <w:color w:val="auto"/>
          <w:spacing w:val="0"/>
          <w:w w:val="100"/>
          <w:sz w:val="21"/>
          <w:szCs w:val="21"/>
        </w:rPr>
        <w:t>收全部的履约保证金，乙方承担全部的违约责任并乙方应承担因此造成的甲方及丙、丁方的所有损失。因此造成交货逾期的，每逾期一天，乙方按2000元/天向甲方支付违约金；逾期超过30天的，甲方及丙、丁方有权解除合同，要求乙方退还已收款项并向甲方支付本合同总价款5％的违约金。</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16.3乙方接受甲方及丙、丁方对供货期调整的要求，具体方式为：甲方及丙、丁方提前十五天发出有甲方及丙、丁方代表签发的书面通知，乙方进行书面确认后即可执行</w:t>
      </w:r>
      <w:r>
        <w:rPr>
          <w:rFonts w:hint="eastAsia" w:ascii="宋体" w:hAnsi="宋体" w:cs="宋体"/>
          <w:b w:val="0"/>
          <w:bCs/>
          <w:i w:val="0"/>
          <w:caps w:val="0"/>
          <w:color w:val="auto"/>
          <w:spacing w:val="0"/>
          <w:w w:val="100"/>
          <w:sz w:val="21"/>
          <w:szCs w:val="21"/>
        </w:rPr>
        <w:t>，</w:t>
      </w:r>
      <w:r>
        <w:rPr>
          <w:rFonts w:hint="eastAsia" w:ascii="宋体" w:hAnsi="宋体" w:cs="宋体"/>
          <w:b w:val="0"/>
          <w:i w:val="0"/>
          <w:caps w:val="0"/>
          <w:color w:val="auto"/>
          <w:spacing w:val="0"/>
          <w:w w:val="100"/>
          <w:sz w:val="21"/>
          <w:szCs w:val="21"/>
        </w:rPr>
        <w:t>对此甲方及丙、丁方不承担违约责任。</w:t>
      </w:r>
    </w:p>
    <w:p>
      <w:pPr>
        <w:widowControl/>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16.4如果乙方对本合同的执行敷衍了事，或忽视履行本合同约定的乙方任何工作及责任，而且从</w:t>
      </w:r>
      <w:r>
        <w:rPr>
          <w:rFonts w:hint="eastAsia" w:ascii="宋体" w:hAnsi="宋体" w:cs="宋体"/>
          <w:b w:val="0"/>
          <w:bCs/>
          <w:i w:val="0"/>
          <w:caps w:val="0"/>
          <w:color w:val="auto"/>
          <w:spacing w:val="0"/>
          <w:w w:val="100"/>
          <w:sz w:val="21"/>
          <w:szCs w:val="21"/>
        </w:rPr>
        <w:t>甲方及丙方发出</w:t>
      </w:r>
      <w:r>
        <w:rPr>
          <w:rFonts w:hint="eastAsia" w:ascii="宋体" w:hAnsi="宋体" w:cs="宋体"/>
          <w:b w:val="0"/>
          <w:i w:val="0"/>
          <w:caps w:val="0"/>
          <w:color w:val="auto"/>
          <w:spacing w:val="0"/>
          <w:w w:val="100"/>
          <w:sz w:val="21"/>
          <w:szCs w:val="21"/>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16.5因乙方原因解除本合同时，乙方应向甲方支付签约合同价款</w:t>
      </w:r>
      <w:r>
        <w:rPr>
          <w:rFonts w:hint="eastAsia" w:ascii="宋体" w:hAnsi="宋体" w:cs="宋体"/>
          <w:b w:val="0"/>
          <w:bCs/>
          <w:i w:val="0"/>
          <w:caps w:val="0"/>
          <w:color w:val="auto"/>
          <w:spacing w:val="0"/>
          <w:w w:val="100"/>
          <w:sz w:val="21"/>
          <w:szCs w:val="21"/>
        </w:rPr>
        <w:t>20</w:t>
      </w:r>
      <w:r>
        <w:rPr>
          <w:rFonts w:hint="eastAsia" w:ascii="宋体" w:hAnsi="宋体" w:cs="宋体"/>
          <w:b w:val="0"/>
          <w:i w:val="0"/>
          <w:caps w:val="0"/>
          <w:color w:val="auto"/>
          <w:spacing w:val="0"/>
          <w:w w:val="100"/>
          <w:sz w:val="21"/>
          <w:szCs w:val="21"/>
        </w:rPr>
        <w:t>%的违约金，且甲方及丙、丁方有权决定是否接受属于乙方在现场的一切设施、设备、材料使用于本工程，并乙方应承担由此造成的甲方及丙、丁方的全部损失。</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16.6未经甲方及丙、丁方书面同意，乙方将本合同的权利、义务以任何形式全部或部分让与他人的，甲方及丙、丁方有权解除本合同、没收全部的履约保证金，乙方应按照本合同价款总额的</w:t>
      </w:r>
      <w:r>
        <w:rPr>
          <w:rFonts w:hint="eastAsia" w:ascii="宋体" w:hAnsi="宋体" w:cs="宋体"/>
          <w:b w:val="0"/>
          <w:bCs/>
          <w:i w:val="0"/>
          <w:caps w:val="0"/>
          <w:color w:val="auto"/>
          <w:spacing w:val="0"/>
          <w:w w:val="100"/>
          <w:sz w:val="21"/>
          <w:szCs w:val="21"/>
        </w:rPr>
        <w:t>20</w:t>
      </w:r>
      <w:r>
        <w:rPr>
          <w:rFonts w:hint="eastAsia" w:ascii="宋体" w:hAnsi="宋体" w:cs="宋体"/>
          <w:b w:val="0"/>
          <w:i w:val="0"/>
          <w:caps w:val="0"/>
          <w:color w:val="auto"/>
          <w:spacing w:val="0"/>
          <w:w w:val="100"/>
          <w:sz w:val="21"/>
          <w:szCs w:val="21"/>
        </w:rPr>
        <w:t>%向甲方支付违约金，并赔偿由此造成的甲方及丙、丁方的全部损失。</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16.7本合同中所有乙方应支付给甲方的违约金，乙方在收到书面通知后未及时支付的，甲方有权在应付乙方的任何款项中扣除。</w:t>
      </w:r>
    </w:p>
    <w:p>
      <w:pPr>
        <w:pStyle w:val="29"/>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16.8因乙方原因延误工期给甲方造成损失的（包括但不限于直接损失与间接损失）均由乙方承担相应责任及费用，甲方有权从乙方工程款中扣除相应费用，不足部分甲方有权追偿。</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16.9因乙方原因造成绍兴市中医院改扩建工程单项或整体验收不合格的，甲方有权没收乙方缴纳的履约保证金，同时由此产生的一切责任与费用均由乙方承担，甲方有权在乙方工程款中扣除相应费用，不足部分甲方有权追偿。</w:t>
      </w:r>
    </w:p>
    <w:p>
      <w:pPr>
        <w:pStyle w:val="47"/>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lang w:val="en-US"/>
        </w:rPr>
      </w:pPr>
      <w:r>
        <w:rPr>
          <w:rFonts w:hint="eastAsia" w:ascii="宋体" w:hAnsi="宋体" w:cs="宋体"/>
          <w:b w:val="0"/>
          <w:i w:val="0"/>
          <w:caps w:val="0"/>
          <w:color w:val="auto"/>
          <w:spacing w:val="0"/>
          <w:w w:val="100"/>
          <w:sz w:val="21"/>
          <w:szCs w:val="21"/>
          <w:lang w:val="en-US"/>
        </w:rPr>
        <w:t>16.10如验收时垂直传输分拣效率＜320箱/小时或水平传输分拣线通过率＜1000箱/小时，则乙方须无条件恢复到招标文件明确的最低要求，同时赔偿相关损失。</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bookmarkStart w:id="417" w:name="_Toc18664"/>
      <w:r>
        <w:rPr>
          <w:rFonts w:hint="eastAsia" w:ascii="宋体" w:hAnsi="宋体" w:cs="宋体"/>
          <w:b w:val="0"/>
          <w:i w:val="0"/>
          <w:caps w:val="0"/>
          <w:color w:val="auto"/>
          <w:spacing w:val="0"/>
          <w:w w:val="100"/>
          <w:sz w:val="21"/>
          <w:szCs w:val="21"/>
        </w:rPr>
        <w:t>17、其他</w:t>
      </w:r>
      <w:bookmarkEnd w:id="417"/>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17.1乙方提出使用专利技术或特殊工艺，应取得甲方及丙、丁方和监理单位认可，乙方负责办理申报手续并承担有关费用。</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17.2乙方擅自使用专利技术侵犯他人专利权的因此产生的侵权纠纷，由乙方自行承担并每发生一次，乙方应向丙方支付违约金5000元，如造成甲方及丙、丁方损失的，甲方及丙、丁方有权全额向乙方追索且甲方及丙、丁方有权视情形解除本合同。</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bookmarkStart w:id="418" w:name="_Toc167673086"/>
      <w:r>
        <w:rPr>
          <w:rFonts w:hint="eastAsia" w:ascii="宋体" w:hAnsi="宋体" w:cs="宋体"/>
          <w:b w:val="0"/>
          <w:i w:val="0"/>
          <w:caps w:val="0"/>
          <w:color w:val="auto"/>
          <w:spacing w:val="0"/>
          <w:w w:val="100"/>
          <w:sz w:val="21"/>
          <w:szCs w:val="21"/>
        </w:rPr>
        <w:t>17.3 工程进度要求</w:t>
      </w:r>
      <w:bookmarkEnd w:id="418"/>
      <w:r>
        <w:rPr>
          <w:rFonts w:hint="eastAsia" w:ascii="宋体" w:hAnsi="宋体" w:cs="宋体"/>
          <w:b w:val="0"/>
          <w:i w:val="0"/>
          <w:caps w:val="0"/>
          <w:color w:val="auto"/>
          <w:spacing w:val="0"/>
          <w:w w:val="100"/>
          <w:sz w:val="21"/>
          <w:szCs w:val="21"/>
        </w:rPr>
        <w:t>：</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乙方应根据工程总体进度计划要求，制定本工程计划进度，并应保证满足下列控制时间：</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中标通知书发出后15天内完成与甲方商定配合工作及费用，并与甲方签订总包管理协议；合同生效后15天内完成所有进场施工准备工作（包括设备进场）。</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乙方必须每月向甲方提交月进度报告。在月进度报告中须说明每项工作(如部件的设计、采购、制造、检验、发运、预装配、安装、调试、工厂试验、验收等)实际完成的百分比与计划完成的百分比的比较；以及当任务实际完成情况比计划落后时，应提出意见和说明可能产生的后果，并陈述拟采取的纠正措施。</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17.4项目实施过程中，乙方和甲方在施工界面上存在交叉施工，乙方应和甲方做好配合、协调工作，参与竣工验收，并承担施工质量责任。</w:t>
      </w:r>
    </w:p>
    <w:p>
      <w:pPr>
        <w:pStyle w:val="29"/>
        <w:snapToGrid w:val="0"/>
        <w:spacing w:before="0" w:beforeAutospacing="0" w:after="156"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医疗物流专项与各专业施工界面表</w:t>
      </w:r>
    </w:p>
    <w:tbl>
      <w:tblPr>
        <w:tblStyle w:val="3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623"/>
        <w:gridCol w:w="75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序号</w:t>
            </w:r>
          </w:p>
        </w:tc>
        <w:tc>
          <w:tcPr>
            <w:tcW w:w="824" w:type="pct"/>
            <w:vAlign w:val="center"/>
          </w:tcPr>
          <w:p>
            <w:pPr>
              <w:snapToGrid w:val="0"/>
              <w:spacing w:before="0" w:beforeAutospacing="0" w:after="0" w:afterAutospacing="0" w:line="360" w:lineRule="exact"/>
              <w:ind w:firstLine="210" w:firstLineChars="1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专业工程</w:t>
            </w:r>
          </w:p>
        </w:tc>
        <w:tc>
          <w:tcPr>
            <w:tcW w:w="3824" w:type="pct"/>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施工界面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350"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强电工程</w:t>
            </w:r>
          </w:p>
        </w:tc>
        <w:tc>
          <w:tcPr>
            <w:tcW w:w="3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电源至总箱进线端（电箱由专业单位提供，第一只总箱后若有分箱由专业单位自理）。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弱电工程</w:t>
            </w:r>
          </w:p>
        </w:tc>
        <w:tc>
          <w:tcPr>
            <w:tcW w:w="3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医疗物流在物流机房内预留两个网络点。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消防工程</w:t>
            </w:r>
          </w:p>
        </w:tc>
        <w:tc>
          <w:tcPr>
            <w:tcW w:w="3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按医疗专项区内专项设计的火灾自动报警机；联动系统，消火栓系统，喷淋系统，智能应急照明，防排烟系统，其余上述未涉及内容如与医疗专项相关均由各专项单位负责实施。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c>
          <w:tcPr>
            <w:tcW w:w="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暖通工程</w:t>
            </w:r>
          </w:p>
        </w:tc>
        <w:tc>
          <w:tcPr>
            <w:tcW w:w="3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暖通图审图里其预留的管道井处第一只阀门。阀门后所有管道设备风管由医疗专项采购安装。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0"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c>
          <w:tcPr>
            <w:tcW w:w="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土建安装工程</w:t>
            </w:r>
          </w:p>
        </w:tc>
        <w:tc>
          <w:tcPr>
            <w:tcW w:w="3824" w:type="pct"/>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改扩建结构面移交专业分包单位，其余均由专业分包单位施工。</w:t>
            </w:r>
          </w:p>
        </w:tc>
      </w:tr>
    </w:tbl>
    <w:p>
      <w:pPr>
        <w:snapToGrid w:val="0"/>
        <w:spacing w:before="156"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17.5为保证工程质量，在物流系统所在地建筑物验收之后，还应进行物流系统单独专项验收。综合性能全面评定地检测单位需招标人认可。验收按国家有关规范、标准及当地政府主管部门要求进行。</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验收合格条件为：</w:t>
      </w:r>
    </w:p>
    <w:p>
      <w:pPr>
        <w:numPr>
          <w:ilvl w:val="0"/>
          <w:numId w:val="7"/>
        </w:numPr>
        <w:snapToGrid w:val="0"/>
        <w:spacing w:before="0" w:beforeAutospacing="0" w:after="0" w:afterAutospacing="0" w:line="360" w:lineRule="exact"/>
        <w:ind w:left="0"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运行结果符合产品标准、技术规范和招标文件及合同要求；</w:t>
      </w:r>
    </w:p>
    <w:p>
      <w:pPr>
        <w:numPr>
          <w:ilvl w:val="0"/>
          <w:numId w:val="7"/>
        </w:numPr>
        <w:snapToGrid w:val="0"/>
        <w:spacing w:before="0" w:beforeAutospacing="0" w:after="0" w:afterAutospacing="0" w:line="360" w:lineRule="exact"/>
        <w:ind w:left="0"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所有规定的货物、材料、整套设备图纸及技术文件、竣工资料等都已提交并得到接受；</w:t>
      </w:r>
    </w:p>
    <w:p>
      <w:pPr>
        <w:numPr>
          <w:ilvl w:val="0"/>
          <w:numId w:val="7"/>
        </w:numPr>
        <w:snapToGrid w:val="0"/>
        <w:spacing w:before="0" w:beforeAutospacing="0" w:after="0" w:afterAutospacing="0" w:line="360" w:lineRule="exact"/>
        <w:ind w:left="0"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按规定需要第三方相关部门进行检测（含抽检）的程序，必须已得到第三方相关部门出具的合格检测报告；</w:t>
      </w:r>
    </w:p>
    <w:p>
      <w:pPr>
        <w:numPr>
          <w:ilvl w:val="0"/>
          <w:numId w:val="7"/>
        </w:numPr>
        <w:snapToGrid w:val="0"/>
        <w:spacing w:before="0" w:beforeAutospacing="0" w:after="0" w:afterAutospacing="0" w:line="360" w:lineRule="exact"/>
        <w:ind w:left="0"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全部处理好与本工程相关的专业单位配合、费用结算、现场配合等各项工作；</w:t>
      </w:r>
    </w:p>
    <w:p>
      <w:pPr>
        <w:numPr>
          <w:ilvl w:val="0"/>
          <w:numId w:val="7"/>
        </w:numPr>
        <w:snapToGrid w:val="0"/>
        <w:spacing w:before="0" w:beforeAutospacing="0" w:after="0" w:afterAutospacing="0" w:line="360" w:lineRule="exact"/>
        <w:ind w:left="0"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整套设备在交由使用人之前已通过试运行。</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18、售后服务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18.1在浙江省内设有维修点，以及时处理所有的故障维修服务，需提供24小时服务，要求维修人员在接到故障报修电话后必须在2小时内做出响应并提出解决办法，驻场人员必须及时提供备品、备件，提供不间断的故障维修服务直到故障处理服务结束。维修点需提供足够的备件以适应维修需求。驻场人员数量及资质须满足甲方及丙方需求并获得书面审批，人员未到场一天，扣500元/天。</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18.2每个维修项目完成后，经甲方及丙方或设备管理方验收并签字后，方为该维修项目本次维修完毕。</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18.3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每发生一次，乙方应向丙方支付违约金1000元。</w:t>
      </w:r>
    </w:p>
    <w:p>
      <w:pPr>
        <w:tabs>
          <w:tab w:val="left" w:pos="180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bookmarkStart w:id="419" w:name="OLE_LINK6"/>
      <w:r>
        <w:rPr>
          <w:rFonts w:hint="eastAsia" w:ascii="宋体" w:hAnsi="宋体" w:cs="宋体"/>
          <w:b w:val="0"/>
          <w:i w:val="0"/>
          <w:caps w:val="0"/>
          <w:color w:val="auto"/>
          <w:spacing w:val="0"/>
          <w:w w:val="100"/>
          <w:sz w:val="21"/>
          <w:szCs w:val="21"/>
        </w:rPr>
        <w:t>18.</w:t>
      </w:r>
      <w:bookmarkEnd w:id="419"/>
      <w:r>
        <w:rPr>
          <w:rFonts w:hint="eastAsia" w:ascii="宋体" w:hAnsi="宋体" w:cs="宋体"/>
          <w:b w:val="0"/>
          <w:i w:val="0"/>
          <w:caps w:val="0"/>
          <w:color w:val="auto"/>
          <w:spacing w:val="0"/>
          <w:w w:val="100"/>
          <w:sz w:val="21"/>
          <w:szCs w:val="21"/>
        </w:rPr>
        <w:t>4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18.5乙方免费培训甲方及丙方或甲方及丙方指定的操作、管理人员，经培训合格后能上岗操作。</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18.6质保期内乙方应免费保养、修理和替换由于设备、材料、施工质量的问题造成的损坏及故障。</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18.7如因设备本身原因造成甲方经济损失，乙方应照价赔偿。</w:t>
      </w:r>
    </w:p>
    <w:p>
      <w:pPr>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0"/>
          <w:szCs w:val="21"/>
          <w:u w:val="double"/>
        </w:rPr>
      </w:pPr>
      <w:r>
        <w:rPr>
          <w:rFonts w:hint="eastAsia" w:ascii="宋体" w:hAnsi="宋体" w:cs="宋体"/>
          <w:b w:val="0"/>
          <w:i w:val="0"/>
          <w:caps w:val="0"/>
          <w:color w:val="auto"/>
          <w:spacing w:val="0"/>
          <w:w w:val="100"/>
          <w:sz w:val="21"/>
          <w:szCs w:val="21"/>
        </w:rPr>
        <w:t>18.8如果乙方在中标后有新产品研制成功并投入使用，则其有义务与甲方商定产品的更新换代问题，并保证在不涉及硬件的情况下，免费为甲方提供软件升级服务。</w:t>
      </w:r>
    </w:p>
    <w:p>
      <w:pPr>
        <w:snapToGrid w:val="0"/>
        <w:spacing w:before="0" w:beforeAutospacing="0" w:after="0" w:afterAutospacing="0" w:line="34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18.9乙方应提供保修记录书，以便甲方随时查阅维修保养、部件更换次数、检查及维修日期等记录。</w:t>
      </w:r>
    </w:p>
    <w:p>
      <w:pPr>
        <w:snapToGrid w:val="0"/>
        <w:spacing w:before="0" w:beforeAutospacing="0" w:after="0" w:afterAutospacing="0" w:line="34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18.10单台（套）设备在免费维修或质保期间的修理费用超过投标价的60%时，必须重新免费更新设备。</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18.11备件供应：</w:t>
      </w:r>
    </w:p>
    <w:p>
      <w:pPr>
        <w:snapToGrid w:val="0"/>
        <w:spacing w:before="0" w:beforeAutospacing="0" w:after="0" w:afterAutospacing="0" w:line="360" w:lineRule="exact"/>
        <w:ind w:firstLine="420"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val="0"/>
          <w:i w:val="0"/>
          <w:caps w:val="0"/>
          <w:color w:val="auto"/>
          <w:spacing w:val="0"/>
          <w:w w:val="100"/>
          <w:sz w:val="21"/>
          <w:szCs w:val="21"/>
        </w:rPr>
        <w:t>乙方对各种型号的设备须提供足够的备件、附件和易损件并保证是原厂生产，以满足设备正常运行的需要。</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19、不可抗力</w:t>
      </w:r>
    </w:p>
    <w:p>
      <w:pPr>
        <w:pStyle w:val="7"/>
        <w:widowControl w:val="0"/>
        <w:tabs>
          <w:tab w:val="left" w:pos="420"/>
        </w:tabs>
        <w:snapToGrid w:val="0"/>
        <w:spacing w:before="0" w:beforeAutospacing="0" w:after="0" w:afterAutospacing="0" w:line="360" w:lineRule="exact"/>
        <w:ind w:left="420" w:hanging="42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19.1如果双方中任何一方由于战争、严重火灾、水灾、台风和地震以及其它经双方同意属于不可抗力的事故，致使合同履行受阻时，履行合同的期限应予延长，延长的期限应相当于事故所影响的时间。</w:t>
      </w:r>
    </w:p>
    <w:p>
      <w:pPr>
        <w:pStyle w:val="7"/>
        <w:widowControl w:val="0"/>
        <w:tabs>
          <w:tab w:val="left" w:pos="420"/>
        </w:tabs>
        <w:snapToGrid w:val="0"/>
        <w:spacing w:before="0" w:beforeAutospacing="0" w:after="0" w:afterAutospacing="0" w:line="360" w:lineRule="exact"/>
        <w:ind w:left="420" w:hanging="42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19.2受事故影响的一方应在不可抗力的事故发生后尽快以电报或电传通知另一方，并在事故发生后14天内，将有关部门出具的证明文件用挂号信航寄给或送给另一方。如果不可抗力影响时间延续120天以上的，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pPr>
        <w:pStyle w:val="12"/>
        <w:widowControl/>
        <w:numPr>
          <w:ilvl w:val="0"/>
          <w:numId w:val="8"/>
        </w:numPr>
        <w:snapToGrid w:val="0"/>
        <w:spacing w:before="0" w:beforeAutospacing="0" w:after="0" w:afterAutospacing="0" w:line="36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其他</w:t>
      </w:r>
    </w:p>
    <w:p>
      <w:pPr>
        <w:pStyle w:val="12"/>
        <w:snapToGrid w:val="0"/>
        <w:spacing w:before="0" w:beforeAutospacing="0" w:after="0" w:afterAutospacing="0" w:line="360" w:lineRule="exact"/>
        <w:jc w:val="both"/>
        <w:textAlignment w:val="baseline"/>
        <w:rPr>
          <w:rFonts w:ascii="Times New Roman" w:hAnsi="Times New Roman" w:eastAsia="宋体" w:cs="Times New Roman"/>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    乙方应无条件配合总包智能化施工单位，做好后续兼容、配套、对接等工作，免费开放相关端口。</w:t>
      </w:r>
    </w:p>
    <w:p>
      <w:pPr>
        <w:pStyle w:val="7"/>
        <w:widowControl w:val="0"/>
        <w:tabs>
          <w:tab w:val="left" w:pos="420"/>
        </w:tabs>
        <w:snapToGrid w:val="0"/>
        <w:spacing w:before="0" w:beforeAutospacing="0" w:after="0" w:afterAutospacing="0" w:line="360" w:lineRule="exact"/>
        <w:ind w:left="420" w:hanging="420"/>
        <w:jc w:val="both"/>
        <w:textAlignment w:val="baseline"/>
        <w:rPr>
          <w:rFonts w:ascii="宋体" w:hAnsi="宋体" w:cs="宋体"/>
          <w:b w:val="0"/>
          <w:i w:val="0"/>
          <w:caps w:val="0"/>
          <w:color w:val="auto"/>
          <w:spacing w:val="0"/>
          <w:w w:val="100"/>
          <w:sz w:val="21"/>
          <w:szCs w:val="21"/>
        </w:rPr>
      </w:pPr>
    </w:p>
    <w:p>
      <w:pPr>
        <w:snapToGrid w:val="0"/>
        <w:spacing w:before="0" w:beforeAutospacing="0" w:after="0" w:afterAutospacing="0" w:line="360" w:lineRule="exact"/>
        <w:ind w:firstLine="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（注：在正式签约时，根据上述精神应拟就更为详尽的合同书）</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30"/>
          <w:w w:val="100"/>
          <w:sz w:val="20"/>
          <w:szCs w:val="20"/>
        </w:rPr>
      </w:pPr>
      <w:r>
        <w:rPr>
          <w:rFonts w:hint="eastAsia" w:ascii="宋体" w:hAnsi="宋体" w:cs="宋体"/>
          <w:b w:val="0"/>
          <w:i w:val="0"/>
          <w:caps w:val="0"/>
          <w:color w:val="auto"/>
          <w:spacing w:val="0"/>
          <w:w w:val="100"/>
          <w:sz w:val="21"/>
          <w:szCs w:val="21"/>
        </w:rPr>
        <w:br w:type="page"/>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30"/>
          <w:w w:val="100"/>
          <w:sz w:val="20"/>
        </w:rPr>
      </w:pPr>
      <w:r>
        <w:rPr>
          <w:rFonts w:hint="eastAsia" w:ascii="宋体" w:hAnsi="宋体" w:cs="宋体"/>
          <w:b w:val="0"/>
          <w:i w:val="0"/>
          <w:caps w:val="0"/>
          <w:color w:val="auto"/>
          <w:spacing w:val="0"/>
          <w:w w:val="100"/>
          <w:sz w:val="20"/>
          <w:szCs w:val="20"/>
        </w:rPr>
        <w:t>附件1：廉政合同（格式）</w:t>
      </w:r>
    </w:p>
    <w:p>
      <w:pPr>
        <w:snapToGrid w:val="0"/>
        <w:spacing w:before="0" w:beforeAutospacing="0" w:after="0" w:afterAutospacing="0" w:line="360" w:lineRule="exact"/>
        <w:ind w:firstLine="482" w:firstLineChars="200"/>
        <w:jc w:val="center"/>
        <w:textAlignment w:val="baseline"/>
        <w:rPr>
          <w:rFonts w:ascii="宋体" w:hAnsi="宋体" w:cs="宋体"/>
          <w:b/>
          <w:bCs/>
          <w:i w:val="0"/>
          <w:caps w:val="0"/>
          <w:color w:val="auto"/>
          <w:spacing w:val="0"/>
          <w:w w:val="100"/>
          <w:sz w:val="24"/>
          <w:szCs w:val="24"/>
        </w:rPr>
      </w:pPr>
      <w:r>
        <w:rPr>
          <w:rFonts w:hint="eastAsia" w:ascii="宋体" w:hAnsi="宋体" w:cs="宋体"/>
          <w:b/>
          <w:bCs/>
          <w:i w:val="0"/>
          <w:caps w:val="0"/>
          <w:color w:val="auto"/>
          <w:spacing w:val="0"/>
          <w:w w:val="100"/>
          <w:sz w:val="24"/>
          <w:szCs w:val="24"/>
        </w:rPr>
        <w:t>廉政合同</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0"/>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甲方 </w:t>
      </w:r>
      <w:r>
        <w:rPr>
          <w:rFonts w:hint="eastAsia" w:ascii="宋体" w:hAnsi="宋体" w:cs="宋体"/>
          <w:b w:val="0"/>
          <w:i w:val="0"/>
          <w:caps w:val="0"/>
          <w:color w:val="auto"/>
          <w:spacing w:val="0"/>
          <w:w w:val="100"/>
          <w:sz w:val="21"/>
          <w:szCs w:val="21"/>
          <w:u w:val="single" w:color="000000"/>
        </w:rPr>
        <w:t>：浙江中成建工集团有限公司</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乙方 ：</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 xml:space="preserve"> （</w:t>
      </w:r>
      <w:r>
        <w:rPr>
          <w:rFonts w:hint="eastAsia" w:ascii="宋体" w:hAnsi="宋体" w:cs="宋体"/>
          <w:b w:val="0"/>
          <w:i w:val="0"/>
          <w:caps w:val="0"/>
          <w:color w:val="auto"/>
          <w:spacing w:val="0"/>
          <w:w w:val="100"/>
          <w:sz w:val="21"/>
          <w:szCs w:val="21"/>
        </w:rPr>
        <w:t>承包人</w:t>
      </w:r>
      <w:r>
        <w:rPr>
          <w:rFonts w:hint="eastAsia" w:ascii="宋体" w:hAnsi="宋体" w:cs="宋体"/>
          <w:b w:val="0"/>
          <w:i w:val="0"/>
          <w:caps w:val="0"/>
          <w:color w:val="auto"/>
          <w:spacing w:val="0"/>
          <w:w w:val="100"/>
          <w:sz w:val="21"/>
          <w:szCs w:val="21"/>
        </w:rPr>
        <w:t xml:space="preserve">）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第一条 甲乙双方的责任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（一）应严格遵守国家关于市场准入、项目招标投标、工程建设、市场活动的有关法律、法规，相关政策，以及廉政建设的各项规定。</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（二）严格执行</w:t>
      </w:r>
      <w:r>
        <w:rPr>
          <w:rFonts w:hint="eastAsia" w:ascii="宋体" w:hAnsi="宋体" w:cs="宋体"/>
          <w:b w:val="0"/>
          <w:i w:val="0"/>
          <w:caps w:val="0"/>
          <w:color w:val="auto"/>
          <w:spacing w:val="0"/>
          <w:w w:val="100"/>
          <w:kern w:val="58"/>
          <w:sz w:val="21"/>
          <w:szCs w:val="21"/>
        </w:rPr>
        <w:t>绍兴市中医院改扩建工程EPC总承包内医疗物流系统项目</w:t>
      </w:r>
      <w:r>
        <w:rPr>
          <w:rFonts w:hint="eastAsia" w:ascii="宋体" w:hAnsi="宋体" w:cs="宋体"/>
          <w:b w:val="0"/>
          <w:i w:val="0"/>
          <w:caps w:val="0"/>
          <w:color w:val="auto"/>
          <w:spacing w:val="0"/>
          <w:w w:val="100"/>
          <w:sz w:val="21"/>
          <w:szCs w:val="21"/>
        </w:rPr>
        <w:t>供货协议书文件，自觉按协议书办事。</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（三）业务活动必须坚持公开、公平、公正、诚信、透明的原则（除法律法规另有规定者外），不得为获取不正当的利益，损害国家、集体和对方利益，不得违反工程建设管理的规章制度。</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（四）发现对方在业务活动中有违规、违纪、违法行为的，应及时提醒对方，情节严重的，应向其上级主管部门或纪检监察、司法等有关机关举报。</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第二条 甲方的责任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甲方的领导和从事该建设工程项目的工作人员，在工程建设的事前、事中、事后应遵守以下规定：</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（一）不准向乙方和相关单位索要或接受回扣、礼金、有价证券、贵重物品和好处费、感谢费等。</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（二）不准在乙方和相关单位报销任何应由甲方或个人支付的费用。</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（三）不准要求、暗示或接受乙方和相关单位为个人装修住房、婚丧嫁娶、配偶子女的工作安排以及出国（境）、旅游等提供方便。</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（四）不准参加有可能影响公正执行公务的乙方和相关单位的宴请、娱乐等活动。</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（五）不准向乙方和相关单位介绍或为配偶、子女、亲属参与同甲方钢筋供货合同有关的业务等活动。不得以任何理由要求乙方和相关单位在生产过程中使用某种产品、材料和设备。</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第三条 乙方的责任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应与甲方保持正常的业务交往，按照有关法律法规和程序开展业务工作，严格执行工程建设的有关方针、政策，尤其是有关强制性标准和规范，并遵守以下规定：</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（一）不准以任何理由向甲方及其工作人员索要、接受或赠送礼金、有价证券、贵重物品及回扣、好处费、感谢费等。</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（二）不准以任何理由为甲方和相关单位报销应由对方或个人支付的费用。</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（三）不准接受或暗示为甲方、相关单位或个人装修住房、婚丧嫁娶、配偶子女的工作安排以及出国（境）、旅游等提供方便。</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（四）不准以任何理由为甲方、相关单位或个人组织有可能影响公正执行公务的宴请、健身、娱乐等活动。</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第四条 违约责任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第五条 本合同与协议书具有同等法律效力。经双方签字盖章后立即生效。</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第六条 本合同的有效期同主合同。</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第七条 本合同正副本份数同主合同。</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tabs>
          <w:tab w:val="left" w:pos="378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甲方：</w:t>
      </w:r>
      <w:r>
        <w:rPr>
          <w:rFonts w:hint="eastAsia" w:ascii="宋体" w:hAnsi="宋体" w:cs="宋体"/>
          <w:b w:val="0"/>
          <w:i w:val="0"/>
          <w:caps w:val="0"/>
          <w:color w:val="auto"/>
          <w:spacing w:val="0"/>
          <w:w w:val="100"/>
          <w:sz w:val="21"/>
          <w:szCs w:val="21"/>
          <w:u w:val="single" w:color="000000"/>
        </w:rPr>
        <w:t>浙江中成建工集团有限公司</w:t>
      </w:r>
      <w:r>
        <w:rPr>
          <w:rFonts w:hint="eastAsia" w:ascii="宋体" w:hAnsi="宋体" w:cs="宋体"/>
          <w:b w:val="0"/>
          <w:i w:val="0"/>
          <w:caps w:val="0"/>
          <w:color w:val="auto"/>
          <w:spacing w:val="0"/>
          <w:w w:val="100"/>
          <w:sz w:val="21"/>
          <w:szCs w:val="21"/>
        </w:rPr>
        <w:t>（盖章）    乙方：</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（盖章）</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u w:val="single"/>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法定代表人或                              法定代表人或</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其委托代理人：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（签字）           其委托代理人：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（签字）</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日期：      年     月     日              日期：     年     月       日</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0"/>
        </w:rPr>
      </w:pPr>
      <w:r>
        <w:rPr>
          <w:rFonts w:hint="eastAsia" w:ascii="宋体" w:hAnsi="宋体" w:cs="宋体"/>
          <w:b w:val="0"/>
          <w:i w:val="0"/>
          <w:caps w:val="0"/>
          <w:color w:val="auto"/>
          <w:spacing w:val="0"/>
          <w:w w:val="100"/>
          <w:sz w:val="21"/>
          <w:szCs w:val="21"/>
        </w:rPr>
        <w:br w:type="page"/>
      </w:r>
    </w:p>
    <w:p>
      <w:pPr>
        <w:pStyle w:val="4"/>
        <w:snapToGrid w:val="0"/>
        <w:spacing w:before="0" w:beforeAutospacing="0" w:after="0" w:afterAutospacing="0" w:line="360" w:lineRule="exact"/>
        <w:ind w:firstLine="402" w:firstLineChars="200"/>
        <w:jc w:val="both"/>
        <w:textAlignment w:val="baseline"/>
        <w:rPr>
          <w:rFonts w:ascii="宋体" w:hAnsi="宋体" w:cs="宋体"/>
          <w:b/>
          <w:i w:val="0"/>
          <w:caps w:val="0"/>
          <w:color w:val="auto"/>
          <w:spacing w:val="0"/>
          <w:w w:val="100"/>
          <w:sz w:val="20"/>
          <w:szCs w:val="20"/>
        </w:rPr>
      </w:pPr>
      <w:r>
        <w:rPr>
          <w:rFonts w:hint="eastAsia" w:ascii="宋体" w:hAnsi="宋体" w:cs="宋体"/>
          <w:b/>
          <w:i w:val="0"/>
          <w:caps w:val="0"/>
          <w:color w:val="auto"/>
          <w:spacing w:val="0"/>
          <w:w w:val="100"/>
          <w:sz w:val="20"/>
          <w:szCs w:val="20"/>
        </w:rPr>
        <w:t>附件2：履约保函（格式）</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0"/>
        </w:rPr>
      </w:pPr>
    </w:p>
    <w:p>
      <w:pPr>
        <w:snapToGrid w:val="0"/>
        <w:spacing w:before="0" w:beforeAutospacing="0" w:after="0" w:afterAutospacing="0" w:line="360" w:lineRule="exact"/>
        <w:ind w:firstLine="482" w:firstLineChars="200"/>
        <w:jc w:val="center"/>
        <w:textAlignment w:val="baseline"/>
        <w:rPr>
          <w:rFonts w:ascii="宋体" w:hAnsi="宋体" w:cs="宋体"/>
          <w:b/>
          <w:bCs/>
          <w:i w:val="0"/>
          <w:caps w:val="0"/>
          <w:color w:val="auto"/>
          <w:spacing w:val="0"/>
          <w:w w:val="100"/>
          <w:sz w:val="24"/>
          <w:szCs w:val="24"/>
        </w:rPr>
      </w:pPr>
      <w:r>
        <w:rPr>
          <w:rFonts w:hint="eastAsia" w:ascii="宋体" w:hAnsi="宋体" w:cs="宋体"/>
          <w:b/>
          <w:bCs/>
          <w:i w:val="0"/>
          <w:caps w:val="0"/>
          <w:color w:val="auto"/>
          <w:spacing w:val="0"/>
          <w:w w:val="100"/>
          <w:sz w:val="24"/>
          <w:szCs w:val="24"/>
        </w:rPr>
        <w:t>履约保函</w:t>
      </w:r>
    </w:p>
    <w:p>
      <w:pPr>
        <w:snapToGrid w:val="0"/>
        <w:spacing w:before="0" w:beforeAutospacing="0" w:after="0" w:afterAutospacing="0" w:line="360" w:lineRule="exact"/>
        <w:ind w:firstLine="402" w:firstLineChars="200"/>
        <w:jc w:val="both"/>
        <w:textAlignment w:val="baseline"/>
        <w:rPr>
          <w:rFonts w:ascii="宋体" w:hAnsi="宋体" w:cs="宋体"/>
          <w:b/>
          <w:i w:val="0"/>
          <w:caps w:val="0"/>
          <w:color w:val="auto"/>
          <w:spacing w:val="0"/>
          <w:w w:val="100"/>
          <w:sz w:val="20"/>
          <w:szCs w:val="20"/>
          <w:u w:val="single"/>
        </w:rPr>
      </w:pPr>
    </w:p>
    <w:p>
      <w:pPr>
        <w:snapToGrid w:val="0"/>
        <w:spacing w:before="0" w:beforeAutospacing="0" w:after="0" w:afterAutospacing="0" w:line="360" w:lineRule="exact"/>
        <w:ind w:firstLine="420"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val="0"/>
          <w:i w:val="0"/>
          <w:caps w:val="0"/>
          <w:color w:val="auto"/>
          <w:spacing w:val="0"/>
          <w:w w:val="100"/>
          <w:sz w:val="21"/>
          <w:szCs w:val="21"/>
          <w:u w:val="single" w:color="000000"/>
        </w:rPr>
        <w:t>浙江中成建工集团有限公司</w:t>
      </w:r>
      <w:r>
        <w:rPr>
          <w:rFonts w:hint="eastAsia" w:ascii="宋体" w:hAnsi="宋体" w:cs="宋体"/>
          <w:b/>
          <w:i w:val="0"/>
          <w:caps w:val="0"/>
          <w:color w:val="auto"/>
          <w:spacing w:val="0"/>
          <w:w w:val="100"/>
          <w:sz w:val="21"/>
          <w:szCs w:val="21"/>
        </w:rPr>
        <w:t>：</w:t>
      </w:r>
    </w:p>
    <w:p>
      <w:pPr>
        <w:snapToGrid w:val="0"/>
        <w:spacing w:before="0" w:beforeAutospacing="0" w:after="0" w:afterAutospacing="0" w:line="360" w:lineRule="exact"/>
        <w:ind w:firstLine="420" w:firstLineChars="200"/>
        <w:jc w:val="both"/>
        <w:textAlignment w:val="baseline"/>
        <w:rPr>
          <w:b w:val="0"/>
          <w:i w:val="0"/>
          <w:caps w:val="0"/>
          <w:color w:val="auto"/>
          <w:spacing w:val="0"/>
          <w:w w:val="100"/>
          <w:sz w:val="20"/>
          <w:szCs w:val="21"/>
        </w:rPr>
      </w:pPr>
      <w:r>
        <w:rPr>
          <w:rFonts w:hint="eastAsia" w:ascii="宋体" w:hAnsi="宋体" w:cs="宋体"/>
          <w:b w:val="0"/>
          <w:i w:val="0"/>
          <w:caps w:val="0"/>
          <w:color w:val="auto"/>
          <w:spacing w:val="0"/>
          <w:w w:val="100"/>
          <w:sz w:val="21"/>
          <w:szCs w:val="21"/>
        </w:rPr>
        <w:t>鉴于</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（以下简称“甲方”）接受</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（以下简称“乙方”）于</w:t>
      </w:r>
      <w:r>
        <w:rPr>
          <w:rFonts w:hint="eastAsia" w:ascii="宋体" w:hAnsi="宋体" w:cs="宋体"/>
          <w:b w:val="0"/>
          <w:i w:val="0"/>
          <w:caps w:val="0"/>
          <w:color w:val="auto"/>
          <w:spacing w:val="0"/>
          <w:w w:val="100"/>
          <w:sz w:val="21"/>
          <w:szCs w:val="21"/>
          <w:u w:val="single" w:color="000000"/>
        </w:rPr>
        <w:t xml:space="preserve">     </w:t>
      </w:r>
      <w:r>
        <w:rPr>
          <w:rFonts w:ascii="Times New Roman" w:hAnsi="Times New Roman" w:eastAsia="宋体" w:cs="Times New Roman"/>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 xml:space="preserve">日参加 </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（项目名称）的投标。我方愿意无条件地、不可撤销地就乙方履行与你方订立的合同，向你方提供保函。</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1.保函金额人民币</w:t>
      </w:r>
      <w:r>
        <w:rPr>
          <w:rFonts w:hint="eastAsia" w:ascii="宋体" w:hAnsi="宋体" w:cs="宋体"/>
          <w:b w:val="0"/>
          <w:i w:val="0"/>
          <w:caps w:val="0"/>
          <w:color w:val="auto"/>
          <w:spacing w:val="0"/>
          <w:w w:val="100"/>
          <w:sz w:val="21"/>
          <w:szCs w:val="21"/>
          <w:u w:val="single" w:color="000000"/>
        </w:rPr>
        <w:t xml:space="preserve">（大写）              </w:t>
      </w:r>
      <w:r>
        <w:rPr>
          <w:rFonts w:hint="eastAsia" w:ascii="宋体" w:hAnsi="宋体" w:cs="宋体"/>
          <w:b w:val="0"/>
          <w:i w:val="0"/>
          <w:caps w:val="0"/>
          <w:color w:val="auto"/>
          <w:spacing w:val="0"/>
          <w:w w:val="100"/>
          <w:sz w:val="21"/>
          <w:szCs w:val="21"/>
        </w:rPr>
        <w:t>元（¥）。</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2.保函有效期：自甲、乙双方签订的合同协议书生效之日起，至</w:t>
      </w:r>
      <w:r>
        <w:rPr>
          <w:rFonts w:hint="eastAsia" w:ascii="宋体" w:hAnsi="宋体" w:cs="宋体"/>
          <w:b w:val="0"/>
          <w:i w:val="0"/>
          <w:caps w:val="0"/>
          <w:color w:val="auto"/>
          <w:spacing w:val="0"/>
          <w:w w:val="100"/>
          <w:sz w:val="21"/>
          <w:szCs w:val="21"/>
          <w:u w:val="single" w:color="000000"/>
        </w:rPr>
        <w:t xml:space="preserve">20   </w:t>
      </w:r>
      <w:r>
        <w:rPr>
          <w:rFonts w:hint="eastAsia" w:ascii="宋体" w:hAnsi="宋体" w:cs="宋体"/>
          <w:b w:val="0"/>
          <w:i w:val="0"/>
          <w:caps w:val="0"/>
          <w:color w:val="auto"/>
          <w:spacing w:val="0"/>
          <w:w w:val="100"/>
          <w:sz w:val="21"/>
          <w:szCs w:val="21"/>
        </w:rPr>
        <w:t>年</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月</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日止。</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3.在本保函有效期内，我方在收到你方以书面形式提出的在担保金额内的赔偿要求后，在5个工作日内无条件支付。</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4.甲、乙双方按规定修改合同时，我方承担本担保规定的义务不变。</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5.本保函以及与本保函有关的纠纷，由各方协商解决，协商不成的，任何一方均可向甲方所在地人民法院提请诉讼。</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担保人：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（盖单位公章）</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法定代表人或其委托代理人：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（签字）</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地址：</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邮编：</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电话：</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传真：</w:t>
      </w:r>
    </w:p>
    <w:p>
      <w:pPr>
        <w:tabs>
          <w:tab w:val="left" w:pos="4500"/>
          <w:tab w:val="left" w:pos="468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     年     月     日</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sectPr>
          <w:footerReference r:id="rId5" w:type="even"/>
          <w:pgSz w:w="11906" w:h="16838"/>
          <w:pgMar w:top="1440" w:right="1134" w:bottom="1440" w:left="1134" w:header="851" w:footer="992" w:gutter="0"/>
          <w:cols w:space="720" w:num="1"/>
          <w:docGrid w:linePitch="312" w:charSpace="0"/>
        </w:sectPr>
      </w:pPr>
    </w:p>
    <w:p>
      <w:pPr>
        <w:tabs>
          <w:tab w:val="left" w:pos="4500"/>
          <w:tab w:val="left" w:pos="4680"/>
        </w:tabs>
        <w:snapToGrid w:val="0"/>
        <w:spacing w:before="0" w:beforeAutospacing="0" w:after="0" w:afterAutospacing="0" w:line="360" w:lineRule="exact"/>
        <w:ind w:firstLine="402" w:firstLineChars="200"/>
        <w:jc w:val="both"/>
        <w:textAlignment w:val="baseline"/>
        <w:rPr>
          <w:rFonts w:ascii="宋体" w:hAnsi="宋体" w:cs="宋体"/>
          <w:b w:val="0"/>
          <w:i w:val="0"/>
          <w:caps w:val="0"/>
          <w:color w:val="auto"/>
          <w:spacing w:val="30"/>
          <w:w w:val="100"/>
          <w:sz w:val="20"/>
          <w:szCs w:val="20"/>
        </w:rPr>
      </w:pPr>
      <w:r>
        <w:rPr>
          <w:rFonts w:hint="eastAsia" w:ascii="宋体" w:hAnsi="宋体" w:cs="宋体"/>
          <w:b/>
          <w:i w:val="0"/>
          <w:caps w:val="0"/>
          <w:color w:val="auto"/>
          <w:spacing w:val="0"/>
          <w:w w:val="100"/>
          <w:sz w:val="20"/>
          <w:szCs w:val="20"/>
        </w:rPr>
        <w:t>附件3：安全生产合同（格式）</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0"/>
        </w:rPr>
      </w:pPr>
    </w:p>
    <w:p>
      <w:pPr>
        <w:snapToGrid w:val="0"/>
        <w:spacing w:before="0" w:beforeAutospacing="0" w:after="0" w:afterAutospacing="0" w:line="360" w:lineRule="exact"/>
        <w:ind w:firstLine="480" w:firstLineChars="200"/>
        <w:jc w:val="center"/>
        <w:textAlignment w:val="baseline"/>
        <w:rPr>
          <w:rFonts w:ascii="宋体" w:hAnsi="宋体" w:cs="宋体"/>
          <w:b/>
          <w:i w:val="0"/>
          <w:caps w:val="0"/>
          <w:color w:val="auto"/>
          <w:spacing w:val="0"/>
          <w:w w:val="100"/>
          <w:sz w:val="20"/>
          <w:szCs w:val="20"/>
        </w:rPr>
      </w:pPr>
      <w:r>
        <w:rPr>
          <w:rFonts w:hint="eastAsia" w:ascii="宋体" w:hAnsi="宋体" w:cs="宋体"/>
          <w:b w:val="0"/>
          <w:bCs/>
          <w:i w:val="0"/>
          <w:caps w:val="0"/>
          <w:color w:val="auto"/>
          <w:spacing w:val="0"/>
          <w:w w:val="100"/>
          <w:sz w:val="24"/>
          <w:szCs w:val="24"/>
        </w:rPr>
        <w:t>安全生产合同</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0"/>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为在</w:t>
      </w:r>
      <w:r>
        <w:rPr>
          <w:rFonts w:hint="eastAsia" w:ascii="宋体" w:hAnsi="宋体" w:cs="宋体"/>
          <w:b w:val="0"/>
          <w:i w:val="0"/>
          <w:caps w:val="0"/>
          <w:color w:val="auto"/>
          <w:spacing w:val="0"/>
          <w:w w:val="100"/>
          <w:sz w:val="21"/>
          <w:szCs w:val="21"/>
          <w:u w:val="single" w:color="000000"/>
        </w:rPr>
        <w:t>绍兴市中医院改扩建工程EPC总承包内医疗物流系统项目</w:t>
      </w:r>
      <w:r>
        <w:rPr>
          <w:rFonts w:hint="eastAsia" w:ascii="宋体" w:hAnsi="宋体" w:cs="宋体"/>
          <w:b w:val="0"/>
          <w:i w:val="0"/>
          <w:caps w:val="0"/>
          <w:color w:val="auto"/>
          <w:spacing w:val="0"/>
          <w:w w:val="100"/>
          <w:sz w:val="21"/>
          <w:szCs w:val="21"/>
        </w:rPr>
        <w:t>供货合同的实施过程中创造安全、高效的环境，切实搞好本项目的安全管理工作，</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（以下简称“甲方”）与</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（以下简称“乙方”）特此签订安全生产合同如下：</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一、甲方职责</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1.严格遵守国家有关安全生产的法律法规等有关安全生产的规定，认真执行合同中的有关安全要求。</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2.定期召开安全生产调度会，及时传达中央及地方有关安全生产的精神。</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3.对乙方现场操作安全生产检查，监督乙方及时处理发现的各项安全隐患。</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二、乙方职责</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1.严格遵守国家有关安全生产的法律法规等有关安全生产的规定，认真执行工程承包合同中的有关安全要求。</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坚持“安全第一、预防为主”，加强安全生产宣传教育，增强全员安全生产意识，指定兼职安全检查人员。工作人员必须熟悉和遵守本条款的各项规定，做到生产与安全工作同时计划、布置、检查、总结和评比。</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4.乙方在任何时候都应采取各种合理的预防措施，防止工作人员发生任何违法、违禁、暴力或妨碍治安的行为。</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5.乙方参加项目实施的人员，必须接受安全技术教育，熟知和遵守生产过程中的安全技术操作规程。生产、施工现场出现违反安全的操作，项目负责人必须承担管理责任。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6.所有仪器设备和高空作业的设备均应定期检查，并有安全员的签字记录，保证其经常处于完好状态；不合格的仪器设备和劳动保护用品严禁使用。高空作业时应严格遵守高空作业的安全守则。</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8.乙方的所有安全事故、损失均由乙方自行负责。</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三、违约责任：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如因甲方或乙方违约造成安全事故，将依法追究责任。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四、本合同正本3份，甲、乙方及浙江中成建工集团有限公司各1份；副本11份，甲方3份，乙方3份，浙江中成建工集团有限公司5份。</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五、由双方法定代表人或其委托代理人签署并加盖单位章后生效，至合同费用结清为止失效。</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tabs>
          <w:tab w:val="left" w:pos="5040"/>
        </w:tabs>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甲方：</w:t>
      </w:r>
      <w:r>
        <w:rPr>
          <w:rFonts w:hint="eastAsia" w:ascii="宋体" w:hAnsi="宋体" w:cs="宋体"/>
          <w:b w:val="0"/>
          <w:i w:val="0"/>
          <w:caps w:val="0"/>
          <w:color w:val="auto"/>
          <w:spacing w:val="0"/>
          <w:w w:val="100"/>
          <w:sz w:val="21"/>
          <w:szCs w:val="21"/>
          <w:u w:val="single" w:color="000000"/>
        </w:rPr>
        <w:t xml:space="preserve">             （盖单位章）</w:t>
      </w:r>
      <w:r>
        <w:rPr>
          <w:rFonts w:hint="eastAsia" w:ascii="宋体" w:hAnsi="宋体" w:cs="宋体"/>
          <w:b w:val="0"/>
          <w:i w:val="0"/>
          <w:caps w:val="0"/>
          <w:color w:val="auto"/>
          <w:spacing w:val="0"/>
          <w:w w:val="100"/>
          <w:sz w:val="21"/>
          <w:szCs w:val="21"/>
        </w:rPr>
        <w:t xml:space="preserve">                 乙方：</w:t>
      </w:r>
      <w:r>
        <w:rPr>
          <w:rFonts w:hint="eastAsia" w:ascii="宋体" w:hAnsi="宋体" w:cs="宋体"/>
          <w:b w:val="0"/>
          <w:i w:val="0"/>
          <w:caps w:val="0"/>
          <w:color w:val="auto"/>
          <w:spacing w:val="0"/>
          <w:w w:val="100"/>
          <w:sz w:val="21"/>
          <w:szCs w:val="21"/>
          <w:u w:val="single" w:color="000000"/>
        </w:rPr>
        <w:t xml:space="preserve">            （盖单位章）</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法定代表人或                                    法定代表人或</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其委托代理人：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（签字）                     其委托代理人：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（签字）</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日期：     年   月   日                         日期：    年   月   日</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tabs>
          <w:tab w:val="left" w:pos="4500"/>
          <w:tab w:val="left" w:pos="4680"/>
        </w:tabs>
        <w:snapToGrid w:val="0"/>
        <w:spacing w:before="0" w:beforeAutospacing="0" w:after="0" w:afterAutospacing="0" w:line="360" w:lineRule="exact"/>
        <w:ind w:firstLine="402" w:firstLineChars="200"/>
        <w:jc w:val="both"/>
        <w:textAlignment w:val="baseline"/>
        <w:rPr>
          <w:rFonts w:ascii="宋体" w:hAnsi="宋体" w:cs="宋体"/>
          <w:b w:val="0"/>
          <w:i w:val="0"/>
          <w:caps w:val="0"/>
          <w:color w:val="auto"/>
          <w:spacing w:val="0"/>
          <w:w w:val="100"/>
          <w:sz w:val="20"/>
          <w:szCs w:val="20"/>
        </w:rPr>
      </w:pPr>
      <w:r>
        <w:rPr>
          <w:rFonts w:hint="eastAsia" w:ascii="宋体" w:hAnsi="宋体" w:cs="宋体"/>
          <w:b/>
          <w:i w:val="0"/>
          <w:caps w:val="0"/>
          <w:color w:val="auto"/>
          <w:spacing w:val="0"/>
          <w:w w:val="100"/>
          <w:sz w:val="20"/>
          <w:szCs w:val="20"/>
        </w:rPr>
        <w:br w:type="page"/>
      </w:r>
    </w:p>
    <w:p>
      <w:pPr>
        <w:tabs>
          <w:tab w:val="left" w:pos="4500"/>
          <w:tab w:val="left" w:pos="4680"/>
        </w:tabs>
        <w:snapToGrid w:val="0"/>
        <w:spacing w:before="0" w:beforeAutospacing="0" w:after="0" w:afterAutospacing="0" w:line="360" w:lineRule="exact"/>
        <w:ind w:firstLine="402" w:firstLineChars="200"/>
        <w:jc w:val="both"/>
        <w:textAlignment w:val="baseline"/>
        <w:rPr>
          <w:rFonts w:ascii="宋体" w:hAnsi="宋体" w:cs="宋体"/>
          <w:b w:val="0"/>
          <w:i w:val="0"/>
          <w:caps w:val="0"/>
          <w:color w:val="auto"/>
          <w:spacing w:val="0"/>
          <w:w w:val="100"/>
          <w:sz w:val="20"/>
        </w:rPr>
      </w:pPr>
      <w:r>
        <w:rPr>
          <w:rFonts w:hint="eastAsia" w:ascii="宋体" w:hAnsi="宋体" w:cs="宋体"/>
          <w:b/>
          <w:i w:val="0"/>
          <w:caps w:val="0"/>
          <w:color w:val="auto"/>
          <w:spacing w:val="0"/>
          <w:w w:val="100"/>
          <w:sz w:val="20"/>
          <w:szCs w:val="20"/>
        </w:rPr>
        <w:t>附件4：工程质量保修书（格式）</w:t>
      </w:r>
    </w:p>
    <w:p>
      <w:pPr>
        <w:widowControl/>
        <w:snapToGrid w:val="0"/>
        <w:spacing w:before="156" w:beforeAutospacing="0" w:after="156" w:afterAutospacing="0" w:line="360" w:lineRule="exact"/>
        <w:ind w:firstLine="480" w:firstLineChars="200"/>
        <w:jc w:val="center"/>
        <w:textAlignment w:val="baseline"/>
        <w:rPr>
          <w:rFonts w:ascii="宋体" w:hAnsi="宋体" w:cs="宋体"/>
          <w:b w:val="0"/>
          <w:i w:val="0"/>
          <w:caps w:val="0"/>
          <w:color w:val="auto"/>
          <w:spacing w:val="0"/>
          <w:w w:val="100"/>
          <w:sz w:val="24"/>
          <w:szCs w:val="24"/>
        </w:rPr>
      </w:pPr>
      <w:bookmarkStart w:id="420" w:name="_Toc30226"/>
      <w:r>
        <w:rPr>
          <w:rFonts w:hint="eastAsia" w:ascii="宋体" w:hAnsi="宋体" w:cs="宋体"/>
          <w:b w:val="0"/>
          <w:i w:val="0"/>
          <w:caps w:val="0"/>
          <w:color w:val="auto"/>
          <w:spacing w:val="0"/>
          <w:w w:val="100"/>
          <w:sz w:val="24"/>
          <w:szCs w:val="24"/>
        </w:rPr>
        <w:t>质 量 保 修 书</w:t>
      </w:r>
      <w:bookmarkEnd w:id="420"/>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甲方（总承包单位、发包人）：</w:t>
      </w:r>
      <w:r>
        <w:rPr>
          <w:rFonts w:hint="eastAsia" w:ascii="宋体" w:hAnsi="宋体" w:cs="宋体"/>
          <w:b/>
          <w:i w:val="0"/>
          <w:caps w:val="0"/>
          <w:color w:val="auto"/>
          <w:spacing w:val="0"/>
          <w:w w:val="100"/>
          <w:sz w:val="21"/>
          <w:szCs w:val="21"/>
          <w:u w:val="single" w:color="FF0000"/>
        </w:rPr>
        <w:t xml:space="preserve">                          　　            </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u w:val="single"/>
        </w:rPr>
      </w:pPr>
      <w:r>
        <w:rPr>
          <w:rFonts w:hint="eastAsia" w:ascii="宋体" w:hAnsi="宋体" w:cs="宋体"/>
          <w:b/>
          <w:i w:val="0"/>
          <w:caps w:val="0"/>
          <w:color w:val="auto"/>
          <w:spacing w:val="0"/>
          <w:w w:val="100"/>
          <w:sz w:val="21"/>
          <w:szCs w:val="21"/>
        </w:rPr>
        <w:t>乙方（承包人）：</w:t>
      </w:r>
      <w:r>
        <w:rPr>
          <w:rFonts w:hint="eastAsia" w:ascii="宋体" w:hAnsi="宋体" w:cs="宋体"/>
          <w:b/>
          <w:i w:val="0"/>
          <w:caps w:val="0"/>
          <w:color w:val="auto"/>
          <w:spacing w:val="0"/>
          <w:w w:val="100"/>
          <w:sz w:val="21"/>
          <w:szCs w:val="21"/>
          <w:u w:val="single" w:color="000000"/>
        </w:rPr>
        <w:t xml:space="preserve">                              　　                    </w:t>
      </w:r>
    </w:p>
    <w:p>
      <w:pPr>
        <w:pStyle w:val="16"/>
        <w:snapToGrid w:val="0"/>
        <w:spacing w:before="0" w:beforeAutospacing="0" w:after="0" w:afterAutospacing="0" w:line="360" w:lineRule="exact"/>
        <w:ind w:firstLine="422" w:firstLineChars="200"/>
        <w:jc w:val="both"/>
        <w:textAlignment w:val="baseline"/>
        <w:rPr>
          <w:rFonts w:hAnsi="宋体" w:cs="宋体"/>
          <w:b/>
          <w:i w:val="0"/>
          <w:caps w:val="0"/>
          <w:color w:val="auto"/>
          <w:spacing w:val="0"/>
          <w:w w:val="100"/>
          <w:sz w:val="21"/>
          <w:u w:val="single"/>
        </w:rPr>
      </w:pPr>
      <w:r>
        <w:rPr>
          <w:rFonts w:hint="eastAsia" w:hAnsi="宋体" w:cs="宋体"/>
          <w:b/>
          <w:i w:val="0"/>
          <w:caps w:val="0"/>
          <w:color w:val="auto"/>
          <w:spacing w:val="0"/>
          <w:w w:val="100"/>
          <w:sz w:val="21"/>
        </w:rPr>
        <w:t>丙方（业主、使用人）：</w:t>
      </w:r>
      <w:r>
        <w:rPr>
          <w:rFonts w:hint="eastAsia" w:hAnsi="宋体" w:cs="宋体"/>
          <w:b/>
          <w:i w:val="0"/>
          <w:caps w:val="0"/>
          <w:color w:val="auto"/>
          <w:spacing w:val="0"/>
          <w:w w:val="100"/>
          <w:sz w:val="21"/>
          <w:u w:val="single" w:color="000000"/>
        </w:rPr>
        <w:t xml:space="preserve">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为保证</w:t>
      </w:r>
      <w:r>
        <w:rPr>
          <w:rFonts w:hint="eastAsia" w:ascii="宋体" w:hAnsi="宋体" w:cs="宋体"/>
          <w:b w:val="0"/>
          <w:i w:val="0"/>
          <w:caps w:val="0"/>
          <w:color w:val="auto"/>
          <w:spacing w:val="0"/>
          <w:w w:val="100"/>
          <w:sz w:val="21"/>
          <w:szCs w:val="21"/>
          <w:u w:val="single" w:color="000000"/>
        </w:rPr>
        <w:t xml:space="preserve">                         项目</w:t>
      </w:r>
      <w:r>
        <w:rPr>
          <w:rFonts w:hint="eastAsia" w:ascii="宋体" w:hAnsi="宋体" w:cs="宋体"/>
          <w:b w:val="0"/>
          <w:i w:val="0"/>
          <w:caps w:val="0"/>
          <w:color w:val="auto"/>
          <w:spacing w:val="0"/>
          <w:w w:val="100"/>
          <w:sz w:val="21"/>
          <w:szCs w:val="21"/>
        </w:rPr>
        <w:t>在合理使用期限内正常使用，各方经协商一致签订本质量保修书。乙方在质量保修期内按照有关管理规定及约定承担工程及设备质量保修责任。</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一、质量保修范围和内容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乙方在质量保修期内，按照有关法律、法规、规章的管理规定和双方约定，承担本工程及设备质量保修责任。具体质量保修范围双方约定如下：</w:t>
      </w:r>
      <w:r>
        <w:rPr>
          <w:rFonts w:hint="eastAsia" w:ascii="宋体" w:hAnsi="宋体" w:cs="宋体"/>
          <w:b w:val="0"/>
          <w:i w:val="0"/>
          <w:caps w:val="0"/>
          <w:color w:val="auto"/>
          <w:spacing w:val="0"/>
          <w:w w:val="100"/>
          <w:sz w:val="21"/>
          <w:szCs w:val="21"/>
          <w:u w:val="single" w:color="000000"/>
        </w:rPr>
        <w:t>合同约定范围的所有项目及变更增加项目。</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二、质量保修期</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质量保修期为，</w:t>
      </w:r>
      <w:r>
        <w:rPr>
          <w:rFonts w:hint="eastAsia" w:ascii="宋体" w:hAnsi="宋体" w:cs="宋体"/>
          <w:b/>
          <w:bCs/>
          <w:i w:val="0"/>
          <w:caps w:val="0"/>
          <w:color w:val="auto"/>
          <w:spacing w:val="0"/>
          <w:w w:val="100"/>
          <w:sz w:val="21"/>
          <w:szCs w:val="21"/>
        </w:rPr>
        <w:t>业主</w:t>
      </w:r>
      <w:r>
        <w:rPr>
          <w:rFonts w:hint="eastAsia" w:ascii="宋体" w:hAnsi="宋体" w:cs="宋体"/>
          <w:b w:val="0"/>
          <w:i w:val="0"/>
          <w:caps w:val="0"/>
          <w:color w:val="auto"/>
          <w:spacing w:val="0"/>
          <w:w w:val="100"/>
          <w:sz w:val="21"/>
          <w:szCs w:val="21"/>
        </w:rPr>
        <w:t>使用产品之日起算。</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三、质量保修责任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 1．在质量保证期之内，乙方对由于产品设计、工艺、材料、配套件的缺陷及其安装质量而造成的任何产品质量问题或故障负全部责任。</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2．属于保修范围、内容的项目，乙方应当在接到保修通知起</w:t>
      </w:r>
      <w:r>
        <w:rPr>
          <w:rFonts w:hint="eastAsia" w:ascii="宋体" w:hAnsi="宋体" w:cs="宋体"/>
          <w:b w:val="0"/>
          <w:bCs/>
          <w:i w:val="0"/>
          <w:caps w:val="0"/>
          <w:color w:val="auto"/>
          <w:spacing w:val="0"/>
          <w:w w:val="100"/>
          <w:sz w:val="21"/>
          <w:szCs w:val="21"/>
        </w:rPr>
        <w:t>2小时内</w:t>
      </w:r>
      <w:r>
        <w:rPr>
          <w:rFonts w:hint="eastAsia" w:ascii="宋体" w:hAnsi="宋体" w:cs="宋体"/>
          <w:b w:val="0"/>
          <w:i w:val="0"/>
          <w:caps w:val="0"/>
          <w:color w:val="auto"/>
          <w:spacing w:val="0"/>
          <w:w w:val="100"/>
          <w:sz w:val="21"/>
          <w:szCs w:val="21"/>
        </w:rPr>
        <w:t>做出响应并提出解决办法，在必须到现场维护的情况下，在4小时内赶到现场进行维修，并提供不间断的服务直到结束。质保期内乙方须安排专业维保人员驻场，驻场人员数量及资质须满足丙方需求并获得书面审批。</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3．如设备暂时不能修复，乙方应做好故障设备的相关的围挡保护及明显的故障告示通知，直至故障设备完全修复为止。</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4. 乙方不在约定期限内派人保修的，甲、丙方可以委托他人修理，由此产生的费用从质量保证金内扣除。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 每次维修及维保好后，乙方需一式两份报告给甲、丙方，包括故障原因，解决措施（或维保内容），完成修理（或维保）所费时间及恢复正常运行日期。</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 乙方如未按上述要求履行保修义务，每违反一次，从质量保证金中扣除违约金壹仟元整（1000.00元）；</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7、在质保期结束时，须由专业工程师对设备进行另一次测试，任何故障须由乙方自费解决并取得甲、丙方的同意。</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8、在质保期结束前，乙方需按照设备检验检测要求对设备进行一次检验，并取得相关管理部门颁发的检验合格证，相关费用由乙方承担。</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  9、保修费用由乙方承担。</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四、质量保证金的支付</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本项目质量保证金为结算总价款的</w:t>
      </w:r>
      <w:r>
        <w:rPr>
          <w:rFonts w:hint="eastAsia" w:ascii="宋体" w:hAnsi="宋体" w:cs="宋体"/>
          <w:b w:val="0"/>
          <w:i w:val="0"/>
          <w:caps w:val="0"/>
          <w:color w:val="auto"/>
          <w:spacing w:val="0"/>
          <w:w w:val="100"/>
          <w:sz w:val="21"/>
          <w:szCs w:val="21"/>
          <w:u w:val="single" w:color="000000"/>
        </w:rPr>
        <w:t>2.5</w:t>
      </w:r>
      <w:r>
        <w:rPr>
          <w:rFonts w:hint="eastAsia" w:ascii="宋体" w:hAnsi="宋体" w:cs="宋体"/>
          <w:b w:val="0"/>
          <w:i w:val="0"/>
          <w:caps w:val="0"/>
          <w:color w:val="auto"/>
          <w:spacing w:val="0"/>
          <w:w w:val="100"/>
          <w:sz w:val="21"/>
          <w:szCs w:val="21"/>
        </w:rPr>
        <w:t>%，在工程竣工结算时一次性扣留。质量保证金返还时</w:t>
      </w:r>
      <w:r>
        <w:rPr>
          <w:rFonts w:hint="eastAsia" w:ascii="宋体" w:hAnsi="宋体" w:cs="宋体"/>
          <w:b w:val="0"/>
          <w:i w:val="0"/>
          <w:caps w:val="0"/>
          <w:color w:val="auto"/>
          <w:spacing w:val="0"/>
          <w:w w:val="100"/>
          <w:sz w:val="21"/>
          <w:szCs w:val="21"/>
          <w:u w:val="single" w:color="000000"/>
        </w:rPr>
        <w:t>不计银行利息。</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五、质量保</w:t>
      </w:r>
      <w:r>
        <w:rPr>
          <w:rFonts w:hint="eastAsia" w:ascii="宋体" w:hAnsi="宋体" w:cs="宋体"/>
          <w:b w:val="0"/>
          <w:i w:val="0"/>
          <w:caps w:val="0"/>
          <w:color w:val="auto"/>
          <w:spacing w:val="0"/>
          <w:w w:val="100"/>
          <w:sz w:val="21"/>
          <w:szCs w:val="21"/>
        </w:rPr>
        <w:t>证</w:t>
      </w:r>
      <w:r>
        <w:rPr>
          <w:rFonts w:hint="eastAsia" w:ascii="宋体" w:hAnsi="宋体" w:cs="宋体"/>
          <w:b/>
          <w:i w:val="0"/>
          <w:caps w:val="0"/>
          <w:color w:val="auto"/>
          <w:spacing w:val="0"/>
          <w:w w:val="100"/>
          <w:sz w:val="21"/>
          <w:szCs w:val="21"/>
        </w:rPr>
        <w:t>金的返还</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u w:val="single" w:color="000000"/>
        </w:rPr>
        <w:t>质量保修期满后，经甲、丙方组织验收，如合同约定范围的所有项目及变更增加项目无任何产品质量问题或故障，丙方通知甲方在扣除相应的维修保养违约金和相应赔偿金（如有）后，30日历天内返还剩余质量保</w:t>
      </w:r>
      <w:r>
        <w:rPr>
          <w:rFonts w:hint="eastAsia" w:ascii="宋体" w:hAnsi="宋体" w:cs="宋体"/>
          <w:b w:val="0"/>
          <w:i w:val="0"/>
          <w:caps w:val="0"/>
          <w:color w:val="auto"/>
          <w:spacing w:val="0"/>
          <w:w w:val="100"/>
          <w:sz w:val="21"/>
          <w:szCs w:val="21"/>
        </w:rPr>
        <w:t>证</w:t>
      </w:r>
      <w:r>
        <w:rPr>
          <w:rFonts w:hint="eastAsia" w:ascii="宋体" w:hAnsi="宋体" w:cs="宋体"/>
          <w:b w:val="0"/>
          <w:i w:val="0"/>
          <w:caps w:val="0"/>
          <w:color w:val="auto"/>
          <w:spacing w:val="0"/>
          <w:w w:val="100"/>
          <w:sz w:val="21"/>
          <w:szCs w:val="21"/>
          <w:u w:val="single" w:color="000000"/>
        </w:rPr>
        <w:t>金（不计息）。</w:t>
      </w:r>
    </w:p>
    <w:p>
      <w:pPr>
        <w:snapToGrid w:val="0"/>
        <w:spacing w:before="0" w:beforeAutospacing="0" w:after="0" w:afterAutospacing="0" w:line="360" w:lineRule="exact"/>
        <w:ind w:firstLine="422" w:firstLineChars="200"/>
        <w:jc w:val="both"/>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六、其他</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u w:val="single"/>
        </w:rPr>
      </w:pPr>
      <w:r>
        <w:rPr>
          <w:rFonts w:hint="eastAsia" w:ascii="宋体" w:hAnsi="宋体" w:cs="宋体"/>
          <w:b w:val="0"/>
          <w:i w:val="0"/>
          <w:caps w:val="0"/>
          <w:color w:val="auto"/>
          <w:spacing w:val="0"/>
          <w:w w:val="100"/>
          <w:sz w:val="21"/>
          <w:szCs w:val="21"/>
        </w:rPr>
        <w:t>各方约定的其他工程质量保修事项：</w:t>
      </w:r>
      <w:r>
        <w:rPr>
          <w:rFonts w:hint="eastAsia" w:ascii="宋体" w:hAnsi="宋体" w:cs="宋体"/>
          <w:b w:val="0"/>
          <w:i w:val="0"/>
          <w:caps w:val="0"/>
          <w:color w:val="auto"/>
          <w:spacing w:val="0"/>
          <w:w w:val="100"/>
          <w:sz w:val="21"/>
          <w:szCs w:val="21"/>
          <w:u w:val="single" w:color="000000"/>
        </w:rPr>
        <w:t xml:space="preserve"> 按有关规定执行。</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甲方：</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 xml:space="preserve">（盖章）　　　　　　　　　　　　 </w:t>
      </w:r>
    </w:p>
    <w:p>
      <w:pPr>
        <w:pStyle w:val="27"/>
        <w:shd w:val="clear" w:color="auto" w:fill="FFFFFF"/>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法定代表人或授权代表：　　　　　　　　　　　 </w:t>
      </w:r>
    </w:p>
    <w:p>
      <w:pPr>
        <w:pStyle w:val="27"/>
        <w:shd w:val="clear" w:color="auto" w:fill="FFFFFF"/>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地址：　　　　　　　　　　　　　　　　　　　 </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电话：</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乙方：</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 xml:space="preserve">（盖章）　　　　　　　　　　　　 </w:t>
      </w:r>
    </w:p>
    <w:p>
      <w:pPr>
        <w:pStyle w:val="27"/>
        <w:shd w:val="clear" w:color="auto" w:fill="FFFFFF"/>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法定代表人或授权代表：　　　　　　　　　　　 </w:t>
      </w:r>
    </w:p>
    <w:p>
      <w:pPr>
        <w:pStyle w:val="27"/>
        <w:shd w:val="clear" w:color="auto" w:fill="FFFFFF"/>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地址：　　　　　　　　　　　　　　　　　　　 </w:t>
      </w:r>
    </w:p>
    <w:p>
      <w:pPr>
        <w:pStyle w:val="27"/>
        <w:shd w:val="clear" w:color="auto" w:fill="FFFFFF"/>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电话：　　　　　　　　　　　　　　　　　　　 </w:t>
      </w:r>
    </w:p>
    <w:p>
      <w:pPr>
        <w:pStyle w:val="27"/>
        <w:shd w:val="clear" w:color="auto" w:fill="FFFFFF"/>
        <w:snapToGrid w:val="0"/>
        <w:spacing w:before="0" w:beforeAutospacing="0" w:after="0" w:afterAutospacing="0" w:line="360" w:lineRule="exact"/>
        <w:ind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　　　　　  </w:t>
      </w:r>
    </w:p>
    <w:p>
      <w:pPr>
        <w:snapToGrid w:val="0"/>
        <w:spacing w:before="0" w:beforeAutospacing="0" w:after="0" w:afterAutospacing="0" w:line="360" w:lineRule="exact"/>
        <w:ind w:firstLine="400" w:firstLineChars="200"/>
        <w:jc w:val="both"/>
        <w:textAlignment w:val="baseline"/>
        <w:rPr>
          <w:rFonts w:ascii="宋体" w:hAnsi="宋体" w:cs="宋体"/>
          <w:b w:val="0"/>
          <w:i w:val="0"/>
          <w:caps w:val="0"/>
          <w:color w:val="auto"/>
          <w:spacing w:val="0"/>
          <w:w w:val="100"/>
          <w:sz w:val="20"/>
          <w:szCs w:val="21"/>
        </w:rPr>
      </w:pPr>
    </w:p>
    <w:p>
      <w:pPr>
        <w:pStyle w:val="27"/>
        <w:shd w:val="clear" w:color="auto" w:fill="FFFFFF"/>
        <w:snapToGrid w:val="0"/>
        <w:spacing w:before="0" w:beforeAutospacing="0" w:after="0" w:afterAutospacing="0" w:line="360" w:lineRule="exact"/>
        <w:ind w:firstLine="210" w:firstLineChars="1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  丙方：</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（盖章）</w:t>
      </w:r>
    </w:p>
    <w:p>
      <w:pPr>
        <w:pStyle w:val="27"/>
        <w:shd w:val="clear" w:color="auto" w:fill="FFFFFF"/>
        <w:snapToGrid w:val="0"/>
        <w:spacing w:before="0" w:beforeAutospacing="0" w:after="0" w:afterAutospacing="0" w:line="360" w:lineRule="exact"/>
        <w:ind w:firstLine="210" w:firstLineChars="1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  法定代表人或授权代表：</w:t>
      </w:r>
    </w:p>
    <w:p>
      <w:pPr>
        <w:pStyle w:val="27"/>
        <w:shd w:val="clear" w:color="auto" w:fill="FFFFFF"/>
        <w:snapToGrid w:val="0"/>
        <w:spacing w:before="0" w:beforeAutospacing="0" w:after="0" w:afterAutospacing="0" w:line="360" w:lineRule="exact"/>
        <w:ind w:firstLine="210" w:firstLineChars="1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  地址：</w:t>
      </w:r>
    </w:p>
    <w:p>
      <w:pPr>
        <w:pStyle w:val="27"/>
        <w:shd w:val="clear" w:color="auto" w:fill="FFFFFF"/>
        <w:snapToGrid w:val="0"/>
        <w:spacing w:before="0" w:beforeAutospacing="0" w:after="0" w:afterAutospacing="0" w:line="360" w:lineRule="exact"/>
        <w:ind w:firstLine="210" w:firstLineChars="1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  电话：</w:t>
      </w:r>
    </w:p>
    <w:p>
      <w:pPr>
        <w:pStyle w:val="27"/>
        <w:shd w:val="clear" w:color="auto" w:fill="FFFFFF"/>
        <w:snapToGrid w:val="0"/>
        <w:spacing w:before="0" w:beforeAutospacing="0" w:after="0" w:afterAutospacing="0" w:line="360" w:lineRule="exact"/>
        <w:ind w:firstLine="400" w:firstLineChars="200"/>
        <w:jc w:val="left"/>
        <w:textAlignment w:val="baseline"/>
        <w:rPr>
          <w:rFonts w:ascii="宋体" w:hAnsi="宋体" w:cs="宋体"/>
          <w:b w:val="0"/>
          <w:i w:val="0"/>
          <w:caps w:val="0"/>
          <w:color w:val="auto"/>
          <w:spacing w:val="0"/>
          <w:w w:val="100"/>
          <w:sz w:val="20"/>
          <w:szCs w:val="20"/>
        </w:rPr>
      </w:pPr>
    </w:p>
    <w:p>
      <w:pPr>
        <w:pStyle w:val="27"/>
        <w:shd w:val="clear" w:color="auto" w:fill="FFFFFF"/>
        <w:snapToGrid w:val="0"/>
        <w:spacing w:before="0" w:beforeAutospacing="0" w:after="0" w:afterAutospacing="0" w:line="360" w:lineRule="exact"/>
        <w:ind w:firstLine="400" w:firstLineChars="200"/>
        <w:jc w:val="left"/>
        <w:textAlignment w:val="baseline"/>
        <w:rPr>
          <w:rFonts w:ascii="宋体" w:hAnsi="宋体" w:cs="宋体"/>
          <w:b w:val="0"/>
          <w:i w:val="0"/>
          <w:caps w:val="0"/>
          <w:color w:val="auto"/>
          <w:spacing w:val="0"/>
          <w:w w:val="100"/>
          <w:sz w:val="20"/>
          <w:szCs w:val="20"/>
        </w:rPr>
      </w:pPr>
    </w:p>
    <w:p>
      <w:pPr>
        <w:pStyle w:val="27"/>
        <w:shd w:val="clear" w:color="auto" w:fill="FFFFFF"/>
        <w:snapToGrid w:val="0"/>
        <w:spacing w:before="0" w:beforeAutospacing="0" w:after="0" w:afterAutospacing="0" w:line="360" w:lineRule="exact"/>
        <w:ind w:firstLine="400" w:firstLineChars="200"/>
        <w:jc w:val="left"/>
        <w:textAlignment w:val="baseline"/>
        <w:rPr>
          <w:rFonts w:ascii="宋体" w:hAnsi="宋体" w:cs="宋体"/>
          <w:b w:val="0"/>
          <w:i w:val="0"/>
          <w:caps w:val="0"/>
          <w:color w:val="auto"/>
          <w:spacing w:val="0"/>
          <w:w w:val="100"/>
          <w:sz w:val="20"/>
          <w:szCs w:val="20"/>
        </w:rPr>
      </w:pPr>
    </w:p>
    <w:p>
      <w:pPr>
        <w:snapToGrid w:val="0"/>
        <w:spacing w:before="0" w:beforeAutospacing="0" w:after="0" w:afterAutospacing="0" w:line="360" w:lineRule="exact"/>
        <w:ind w:firstLine="400" w:firstLineChars="200"/>
        <w:jc w:val="center"/>
        <w:textAlignment w:val="baseline"/>
        <w:rPr>
          <w:rFonts w:ascii="宋体" w:hAnsi="宋体" w:cs="宋体"/>
          <w:b w:val="0"/>
          <w:i w:val="0"/>
          <w:caps w:val="0"/>
          <w:color w:val="auto"/>
          <w:spacing w:val="0"/>
          <w:w w:val="100"/>
          <w:sz w:val="20"/>
          <w:szCs w:val="20"/>
        </w:rPr>
        <w:sectPr>
          <w:pgSz w:w="11910" w:h="16840"/>
          <w:pgMar w:top="1440" w:right="1134" w:bottom="1440" w:left="1134" w:header="0" w:footer="704" w:gutter="0"/>
          <w:cols w:space="720" w:num="1"/>
        </w:sectPr>
      </w:pPr>
    </w:p>
    <w:p>
      <w:pPr>
        <w:snapToGrid w:val="0"/>
        <w:spacing w:before="0" w:beforeAutospacing="0" w:after="0" w:afterAutospacing="0" w:line="240" w:lineRule="auto"/>
        <w:jc w:val="center"/>
        <w:textAlignment w:val="baseline"/>
        <w:rPr>
          <w:b w:val="0"/>
          <w:i w:val="0"/>
          <w:caps w:val="0"/>
          <w:color w:val="auto"/>
          <w:spacing w:val="0"/>
          <w:w w:val="100"/>
          <w:sz w:val="28"/>
          <w:szCs w:val="28"/>
        </w:rPr>
      </w:pPr>
      <w:r>
        <w:rPr>
          <w:rFonts w:hint="eastAsia"/>
          <w:b w:val="0"/>
          <w:i w:val="0"/>
          <w:caps w:val="0"/>
          <w:color w:val="auto"/>
          <w:spacing w:val="0"/>
          <w:w w:val="100"/>
          <w:sz w:val="28"/>
          <w:szCs w:val="28"/>
        </w:rPr>
        <w:t>第五章  图纸</w:t>
      </w:r>
    </w:p>
    <w:p>
      <w:pPr>
        <w:snapToGrid w:val="0"/>
        <w:spacing w:before="0" w:beforeAutospacing="0" w:after="0" w:afterAutospacing="0" w:line="420" w:lineRule="auto"/>
        <w:ind w:firstLine="480"/>
        <w:jc w:val="both"/>
        <w:textAlignment w:val="baseline"/>
        <w:rPr>
          <w:b w:val="0"/>
          <w:i w:val="0"/>
          <w:caps w:val="0"/>
          <w:color w:val="auto"/>
          <w:spacing w:val="0"/>
          <w:w w:val="100"/>
          <w:sz w:val="24"/>
          <w:szCs w:val="24"/>
        </w:rPr>
      </w:pPr>
    </w:p>
    <w:p>
      <w:pPr>
        <w:snapToGrid w:val="0"/>
        <w:spacing w:before="0" w:beforeAutospacing="0" w:after="0" w:afterAutospacing="0" w:line="360" w:lineRule="exact"/>
        <w:ind w:firstLine="420" w:firstLineChars="200"/>
        <w:jc w:val="left"/>
        <w:textAlignment w:val="baseline"/>
        <w:rPr>
          <w:b w:val="0"/>
          <w:i w:val="0"/>
          <w:caps w:val="0"/>
          <w:color w:val="auto"/>
          <w:spacing w:val="0"/>
          <w:w w:val="100"/>
          <w:sz w:val="20"/>
          <w:szCs w:val="21"/>
        </w:rPr>
      </w:pPr>
      <w:bookmarkStart w:id="421" w:name="_Toc19145"/>
      <w:r>
        <w:rPr>
          <w:rFonts w:hint="eastAsia"/>
          <w:b w:val="0"/>
          <w:i w:val="0"/>
          <w:caps w:val="0"/>
          <w:color w:val="auto"/>
          <w:spacing w:val="0"/>
          <w:w w:val="100"/>
          <w:sz w:val="21"/>
          <w:szCs w:val="21"/>
        </w:rPr>
        <w:t>招标人提供由中国建筑上海设计研究院有限公司提供的</w:t>
      </w:r>
      <w:r>
        <w:rPr>
          <w:rFonts w:hint="eastAsia" w:ascii="宋体" w:hAnsi="宋体" w:cs="宋体"/>
          <w:b w:val="0"/>
          <w:i w:val="0"/>
          <w:caps w:val="0"/>
          <w:color w:val="auto"/>
          <w:spacing w:val="0"/>
          <w:w w:val="100"/>
          <w:sz w:val="21"/>
          <w:szCs w:val="21"/>
        </w:rPr>
        <w:t>物流系统项目</w:t>
      </w:r>
      <w:r>
        <w:rPr>
          <w:rFonts w:hint="eastAsia"/>
          <w:b w:val="0"/>
          <w:i w:val="0"/>
          <w:caps w:val="0"/>
          <w:color w:val="auto"/>
          <w:spacing w:val="0"/>
          <w:w w:val="100"/>
          <w:sz w:val="21"/>
          <w:szCs w:val="21"/>
        </w:rPr>
        <w:t>图纸（电子版），请各投标人在登陆绍兴公共资源交易网交易平台后在工程量清单及其他中下载电子版图纸。</w:t>
      </w:r>
    </w:p>
    <w:p>
      <w:pPr>
        <w:pStyle w:val="3"/>
        <w:snapToGrid w:val="0"/>
        <w:spacing w:before="0" w:beforeAutospacing="0" w:after="0" w:afterAutospacing="0" w:line="360" w:lineRule="auto"/>
        <w:jc w:val="center"/>
        <w:textAlignment w:val="baseline"/>
        <w:rPr>
          <w:rFonts w:ascii="宋体" w:hAnsi="宋体" w:eastAsia="宋体" w:cs="宋体"/>
          <w:b/>
          <w:i w:val="0"/>
          <w:caps w:val="0"/>
          <w:color w:val="auto"/>
          <w:spacing w:val="0"/>
          <w:w w:val="100"/>
          <w:kern w:val="2"/>
          <w:sz w:val="24"/>
          <w:szCs w:val="24"/>
        </w:rPr>
      </w:pPr>
      <w:r>
        <w:rPr>
          <w:rFonts w:hint="eastAsia"/>
          <w:b/>
          <w:i w:val="0"/>
          <w:caps w:val="0"/>
          <w:color w:val="auto"/>
          <w:spacing w:val="0"/>
          <w:w w:val="100"/>
          <w:sz w:val="28"/>
        </w:rPr>
        <w:br w:type="page"/>
      </w:r>
    </w:p>
    <w:p>
      <w:pPr>
        <w:snapToGrid w:val="0"/>
        <w:spacing w:before="0" w:beforeAutospacing="0" w:after="0" w:afterAutospacing="0" w:line="360" w:lineRule="auto"/>
        <w:jc w:val="center"/>
        <w:textAlignment w:val="baseline"/>
        <w:rPr>
          <w:rFonts w:ascii="宋体" w:hAnsi="宋体" w:eastAsia="宋体" w:cs="宋体"/>
          <w:b/>
          <w:i w:val="0"/>
          <w:caps w:val="0"/>
          <w:color w:val="auto"/>
          <w:spacing w:val="0"/>
          <w:w w:val="100"/>
          <w:sz w:val="24"/>
        </w:rPr>
      </w:pPr>
      <w:r>
        <w:rPr>
          <w:rFonts w:hint="eastAsia"/>
          <w:b/>
          <w:i w:val="0"/>
          <w:caps w:val="0"/>
          <w:color w:val="auto"/>
          <w:spacing w:val="0"/>
          <w:w w:val="100"/>
          <w:sz w:val="28"/>
        </w:rPr>
        <w:t>第六章  技术标准和要求</w:t>
      </w:r>
      <w:bookmarkEnd w:id="421"/>
    </w:p>
    <w:p>
      <w:pPr>
        <w:pStyle w:val="27"/>
        <w:snapToGrid w:val="0"/>
        <w:spacing w:before="0" w:beforeAutospacing="0" w:after="0" w:afterAutospacing="0" w:line="360" w:lineRule="exact"/>
        <w:jc w:val="center"/>
        <w:textAlignment w:val="baseline"/>
        <w:rPr>
          <w:rFonts w:ascii="宋体" w:hAnsi="宋体" w:cs="宋体"/>
          <w:b/>
          <w:bCs/>
          <w:i w:val="0"/>
          <w:caps w:val="0"/>
          <w:color w:val="auto"/>
          <w:spacing w:val="0"/>
          <w:w w:val="100"/>
          <w:sz w:val="24"/>
          <w:szCs w:val="24"/>
        </w:rPr>
      </w:pPr>
      <w:r>
        <w:rPr>
          <w:rFonts w:hint="eastAsia" w:ascii="宋体" w:hAnsi="宋体" w:cs="宋体"/>
          <w:b/>
          <w:bCs/>
          <w:i w:val="0"/>
          <w:caps w:val="0"/>
          <w:color w:val="auto"/>
          <w:spacing w:val="0"/>
          <w:w w:val="100"/>
          <w:kern w:val="2"/>
          <w:sz w:val="24"/>
          <w:szCs w:val="24"/>
        </w:rPr>
        <w:t>一、气动物流传输系统篇</w:t>
      </w:r>
    </w:p>
    <w:p>
      <w:pPr>
        <w:pStyle w:val="27"/>
        <w:snapToGrid w:val="0"/>
        <w:spacing w:before="0" w:beforeAutospacing="0" w:after="0" w:afterAutospacing="0" w:line="360" w:lineRule="exact"/>
        <w:ind w:firstLine="422" w:firstLineChars="200"/>
        <w:jc w:val="both"/>
        <w:textAlignment w:val="baseline"/>
        <w:rPr>
          <w:rFonts w:ascii="宋体" w:hAnsi="宋体" w:cs="宋体"/>
          <w:b/>
          <w:bCs/>
          <w:i w:val="0"/>
          <w:caps w:val="0"/>
          <w:color w:val="auto"/>
          <w:spacing w:val="0"/>
          <w:w w:val="100"/>
          <w:sz w:val="21"/>
          <w:szCs w:val="21"/>
        </w:rPr>
      </w:pPr>
      <w:r>
        <w:rPr>
          <w:rFonts w:hint="eastAsia" w:ascii="宋体" w:hAnsi="宋体" w:cs="宋体"/>
          <w:b/>
          <w:bCs/>
          <w:i w:val="0"/>
          <w:caps w:val="0"/>
          <w:color w:val="auto"/>
          <w:spacing w:val="0"/>
          <w:w w:val="100"/>
          <w:sz w:val="21"/>
          <w:szCs w:val="21"/>
        </w:rPr>
        <w:t>（一）招标范围及要求：</w:t>
      </w:r>
    </w:p>
    <w:p>
      <w:pPr>
        <w:pStyle w:val="27"/>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气动物流传输系统管道主要使用PVC材质，气动物流传输系统2套：共计27个站点；气动物流机房预留38平米，机房配备内、外网络；机房硬装，配照明和空调系统，并在机房四周,合理配置6个五相插座(生活用电)。机房配备一个380v取电箱,功率为20kw。站点具体见系统图,平面分布见医院平面图纸。</w:t>
      </w:r>
    </w:p>
    <w:p>
      <w:pPr>
        <w:pStyle w:val="27"/>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采用2系统，设置1个检验科站点，并将各个科室站点合理布局到两系统中，可实现任意两站点之间的点对点传输，使得系统在运行高峰期效率提高数倍。</w:t>
      </w:r>
    </w:p>
    <w:p>
      <w:pPr>
        <w:pStyle w:val="27"/>
        <w:snapToGrid w:val="0"/>
        <w:spacing w:before="0" w:beforeAutospacing="0" w:after="0" w:afterAutospacing="0" w:line="360" w:lineRule="exact"/>
        <w:ind w:firstLine="420" w:firstLineChars="200"/>
        <w:jc w:val="both"/>
        <w:textAlignment w:val="baseline"/>
        <w:rPr>
          <w:rFonts w:ascii="宋体" w:hAnsi="宋体" w:cs="宋体"/>
          <w:b/>
          <w:bCs/>
          <w:i w:val="0"/>
          <w:caps w:val="0"/>
          <w:color w:val="auto"/>
          <w:spacing w:val="0"/>
          <w:w w:val="100"/>
          <w:sz w:val="21"/>
          <w:szCs w:val="21"/>
        </w:rPr>
      </w:pPr>
      <w:r>
        <w:rPr>
          <w:rFonts w:hint="eastAsia" w:ascii="宋体" w:hAnsi="宋体" w:cs="宋体"/>
          <w:b w:val="0"/>
          <w:i w:val="0"/>
          <w:caps w:val="0"/>
          <w:color w:val="auto"/>
          <w:spacing w:val="0"/>
          <w:w w:val="100"/>
          <w:sz w:val="21"/>
          <w:szCs w:val="21"/>
        </w:rPr>
        <w:t>工作原理：以气压为动力,通过管道传输各种物品,并由微机实时监控的自动系统。</w:t>
      </w:r>
    </w:p>
    <w:p>
      <w:pPr>
        <w:pStyle w:val="27"/>
        <w:snapToGrid w:val="0"/>
        <w:spacing w:before="0" w:beforeAutospacing="0" w:after="0" w:afterAutospacing="0" w:line="360" w:lineRule="exact"/>
        <w:ind w:firstLine="422"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bCs/>
          <w:i w:val="0"/>
          <w:caps w:val="0"/>
          <w:color w:val="auto"/>
          <w:spacing w:val="0"/>
          <w:w w:val="100"/>
          <w:sz w:val="21"/>
          <w:szCs w:val="21"/>
        </w:rPr>
        <w:t>（二）气动物流系统站点一览表</w:t>
      </w:r>
    </w:p>
    <w:tbl>
      <w:tblPr>
        <w:tblStyle w:val="30"/>
        <w:tblW w:w="5000" w:type="pct"/>
        <w:tblInd w:w="0" w:type="dxa"/>
        <w:tblLayout w:type="autofit"/>
        <w:tblCellMar>
          <w:top w:w="0" w:type="dxa"/>
          <w:left w:w="108" w:type="dxa"/>
          <w:bottom w:w="0" w:type="dxa"/>
          <w:right w:w="108" w:type="dxa"/>
        </w:tblCellMar>
      </w:tblPr>
      <w:tblGrid>
        <w:gridCol w:w="781"/>
        <w:gridCol w:w="1060"/>
        <w:gridCol w:w="1066"/>
        <w:gridCol w:w="1049"/>
        <w:gridCol w:w="1005"/>
        <w:gridCol w:w="875"/>
        <w:gridCol w:w="1053"/>
        <w:gridCol w:w="1007"/>
        <w:gridCol w:w="873"/>
        <w:gridCol w:w="1086"/>
      </w:tblGrid>
      <w:tr>
        <w:tblPrEx>
          <w:tblCellMar>
            <w:top w:w="0" w:type="dxa"/>
            <w:left w:w="108" w:type="dxa"/>
            <w:bottom w:w="0" w:type="dxa"/>
            <w:right w:w="108" w:type="dxa"/>
          </w:tblCellMar>
        </w:tblPrEx>
        <w:trPr>
          <w:trHeight w:val="397" w:hRule="atLeast"/>
        </w:trPr>
        <w:tc>
          <w:tcPr>
            <w:tcW w:w="5000"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绍兴中医院气动物流系统站点一览表</w:t>
            </w:r>
          </w:p>
        </w:tc>
      </w:tr>
      <w:tr>
        <w:tblPrEx>
          <w:tblCellMar>
            <w:top w:w="0" w:type="dxa"/>
            <w:left w:w="108" w:type="dxa"/>
            <w:bottom w:w="0" w:type="dxa"/>
            <w:right w:w="108" w:type="dxa"/>
          </w:tblCellMar>
        </w:tblPrEx>
        <w:trPr>
          <w:trHeight w:val="397" w:hRule="atLeast"/>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楼层</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站点小计</w:t>
            </w:r>
          </w:p>
        </w:tc>
      </w:tr>
      <w:tr>
        <w:tblPrEx>
          <w:tblCellMar>
            <w:top w:w="0" w:type="dxa"/>
            <w:left w:w="108" w:type="dxa"/>
            <w:bottom w:w="0" w:type="dxa"/>
            <w:right w:w="108" w:type="dxa"/>
          </w:tblCellMar>
        </w:tblPrEx>
        <w:trPr>
          <w:trHeight w:val="397" w:hRule="atLeast"/>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7F</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6F</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r>
      <w:tr>
        <w:tblPrEx>
          <w:tblCellMar>
            <w:top w:w="0" w:type="dxa"/>
            <w:left w:w="108" w:type="dxa"/>
            <w:bottom w:w="0" w:type="dxa"/>
            <w:right w:w="108" w:type="dxa"/>
          </w:tblCellMar>
        </w:tblPrEx>
        <w:trPr>
          <w:trHeight w:val="397" w:hRule="atLeast"/>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5F</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r>
      <w:tr>
        <w:tblPrEx>
          <w:tblCellMar>
            <w:top w:w="0" w:type="dxa"/>
            <w:left w:w="108" w:type="dxa"/>
            <w:bottom w:w="0" w:type="dxa"/>
            <w:right w:w="108" w:type="dxa"/>
          </w:tblCellMar>
        </w:tblPrEx>
        <w:trPr>
          <w:trHeight w:val="397" w:hRule="atLeast"/>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4F</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病理科</w:t>
            </w: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w:t>
            </w:r>
          </w:p>
        </w:tc>
      </w:tr>
      <w:tr>
        <w:tblPrEx>
          <w:tblCellMar>
            <w:top w:w="0" w:type="dxa"/>
            <w:left w:w="108" w:type="dxa"/>
            <w:bottom w:w="0" w:type="dxa"/>
            <w:right w:w="108" w:type="dxa"/>
          </w:tblCellMar>
        </w:tblPrEx>
        <w:trPr>
          <w:trHeight w:val="397" w:hRule="atLeast"/>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3F</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I CU</w:t>
            </w: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both"/>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手术中心</w:t>
            </w: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r>
      <w:tr>
        <w:tblPrEx>
          <w:tblCellMar>
            <w:top w:w="0" w:type="dxa"/>
            <w:left w:w="108" w:type="dxa"/>
            <w:bottom w:w="0" w:type="dxa"/>
            <w:right w:w="108" w:type="dxa"/>
          </w:tblCellMar>
        </w:tblPrEx>
        <w:trPr>
          <w:trHeight w:val="397" w:hRule="atLeast"/>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2F</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 血库</w:t>
            </w: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检验中心</w:t>
            </w: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EICU</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r>
      <w:tr>
        <w:tblPrEx>
          <w:tblCellMar>
            <w:top w:w="0" w:type="dxa"/>
            <w:left w:w="108" w:type="dxa"/>
            <w:bottom w:w="0" w:type="dxa"/>
            <w:right w:w="108" w:type="dxa"/>
          </w:tblCellMar>
        </w:tblPrEx>
        <w:trPr>
          <w:trHeight w:val="397" w:hRule="atLeast"/>
        </w:trPr>
        <w:tc>
          <w:tcPr>
            <w:tcW w:w="396"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1F</w:t>
            </w:r>
          </w:p>
        </w:tc>
        <w:tc>
          <w:tcPr>
            <w:tcW w:w="53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32"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10"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ind w:left="-199" w:leftChars="-95" w:right="-48"/>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急诊急救</w:t>
            </w:r>
          </w:p>
        </w:tc>
        <w:tc>
          <w:tcPr>
            <w:tcW w:w="44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血透</w:t>
            </w:r>
          </w:p>
        </w:tc>
        <w:tc>
          <w:tcPr>
            <w:tcW w:w="534"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静配中心</w:t>
            </w:r>
          </w:p>
        </w:tc>
        <w:tc>
          <w:tcPr>
            <w:tcW w:w="511"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ind w:right="-46"/>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住院药房</w:t>
            </w:r>
          </w:p>
        </w:tc>
        <w:tc>
          <w:tcPr>
            <w:tcW w:w="44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45"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r>
      <w:tr>
        <w:tblPrEx>
          <w:tblCellMar>
            <w:top w:w="0" w:type="dxa"/>
            <w:left w:w="108" w:type="dxa"/>
            <w:bottom w:w="0" w:type="dxa"/>
            <w:right w:w="108" w:type="dxa"/>
          </w:tblCellMar>
        </w:tblPrEx>
        <w:trPr>
          <w:trHeight w:val="397" w:hRule="atLeast"/>
        </w:trPr>
        <w:tc>
          <w:tcPr>
            <w:tcW w:w="147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站点合计</w:t>
            </w:r>
          </w:p>
        </w:tc>
        <w:tc>
          <w:tcPr>
            <w:tcW w:w="3524" w:type="pct"/>
            <w:gridSpan w:val="7"/>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27</w:t>
            </w:r>
          </w:p>
        </w:tc>
      </w:tr>
    </w:tbl>
    <w:p>
      <w:pPr>
        <w:pStyle w:val="27"/>
        <w:snapToGrid w:val="0"/>
        <w:spacing w:before="0" w:beforeAutospacing="0" w:after="0" w:afterAutospacing="0" w:line="360" w:lineRule="exact"/>
        <w:ind w:firstLine="422" w:firstLineChars="200"/>
        <w:jc w:val="both"/>
        <w:textAlignment w:val="baseline"/>
        <w:rPr>
          <w:rFonts w:ascii="宋体" w:hAnsi="宋体" w:cs="宋体"/>
          <w:b/>
          <w:bCs/>
          <w:i w:val="0"/>
          <w:caps w:val="0"/>
          <w:color w:val="auto"/>
          <w:spacing w:val="0"/>
          <w:w w:val="100"/>
          <w:sz w:val="21"/>
          <w:szCs w:val="21"/>
        </w:rPr>
      </w:pPr>
      <w:r>
        <w:rPr>
          <w:rFonts w:hint="eastAsia" w:ascii="宋体" w:hAnsi="宋体" w:cs="宋体"/>
          <w:b/>
          <w:bCs/>
          <w:i w:val="0"/>
          <w:caps w:val="0"/>
          <w:color w:val="auto"/>
          <w:spacing w:val="0"/>
          <w:w w:val="100"/>
          <w:sz w:val="21"/>
          <w:szCs w:val="21"/>
        </w:rPr>
        <w:t>（三）气动物流传输系统技术要求</w:t>
      </w:r>
    </w:p>
    <w:tbl>
      <w:tblPr>
        <w:tblStyle w:val="31"/>
        <w:tblW w:w="92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6"/>
        <w:gridCol w:w="76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2"/>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1、使用条件要求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适于传送药品、标本、血浆、X光片、医疗器械和文件等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适于环境温度：-15摄氏度~+40摄氏度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适于每日连续使用24小时，每周连续工作7天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2"/>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2、系统的主要技术要求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工作原理，以空气压缩机抽取及压缩空气为动力，在密封的网管中传送物品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传输方式：单管/双向传输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2.3</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控制方式：完全由计算机实时监控系统运行，不可由其他分控制系统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2.4</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传输瓶到站点时管道内的压缩空气的排出必须通过吊顶排向室外，不可直接排放在工作站所在位置的室内，以免引起交叉感染。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管道外径：</w:t>
            </w:r>
            <w:r>
              <w:rPr>
                <w:rFonts w:hint="eastAsia" w:cs="Calibri"/>
                <w:b w:val="0"/>
                <w:i w:val="0"/>
                <w:caps w:val="0"/>
                <w:color w:val="auto"/>
                <w:spacing w:val="0"/>
                <w:w w:val="100"/>
                <w:sz w:val="20"/>
                <w:szCs w:val="20"/>
                <w:lang w:bidi="ar"/>
              </w:rPr>
              <w:t>≥</w:t>
            </w:r>
            <w:r>
              <w:rPr>
                <w:rFonts w:hint="eastAsia" w:ascii="宋体" w:hAnsi="宋体" w:cs="宋体"/>
                <w:b w:val="0"/>
                <w:i w:val="0"/>
                <w:caps w:val="0"/>
                <w:color w:val="auto"/>
                <w:spacing w:val="0"/>
                <w:w w:val="100"/>
                <w:sz w:val="21"/>
                <w:szCs w:val="21"/>
              </w:rPr>
              <w:t>160mm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2.6</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传送速度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2.6.1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正常速度不低于6米／秒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2.6.2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半速不低于2.5米／秒（可手动或由系统自动选择）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2.6.3</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各工作站可设定传输速度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2.7</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传输瓶最大载重量不小于5Kg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2.8</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满负荷最大传输距离：横向≥1500m，纵向≥100m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2.9</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系统平稳性：管道室内外均可安装，在室外安装时配有防露、防冻、防水、伸缩装置及措施。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2.9.1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启动及停止均有缓冲，无撞击平稳接收。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2.9.2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血液标本传送前后指标相同，</w:t>
            </w:r>
            <w:r>
              <w:rPr>
                <w:rFonts w:cs="Calibri"/>
                <w:b w:val="0"/>
                <w:i w:val="0"/>
                <w:caps w:val="0"/>
                <w:color w:val="auto"/>
                <w:spacing w:val="0"/>
                <w:w w:val="100"/>
                <w:sz w:val="20"/>
                <w:szCs w:val="20"/>
                <w:lang w:bidi="ar"/>
              </w:rPr>
              <w:t>血液标本传送前后指标在验收时需达到验收要求及血液检测的要求</w:t>
            </w:r>
            <w:r>
              <w:rPr>
                <w:rFonts w:hint="eastAsia" w:cs="Calibri"/>
                <w:b w:val="0"/>
                <w:i w:val="0"/>
                <w:caps w:val="0"/>
                <w:color w:val="auto"/>
                <w:spacing w:val="0"/>
                <w:w w:val="100"/>
                <w:sz w:val="20"/>
                <w:szCs w:val="20"/>
                <w:lang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2.10 </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安全可靠性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2.10.1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管道及部件应为防火阻燃材料、系统有防火装置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2.10.2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系统无气体泄漏、无气体和静电造成的污染。工作站、转换器、三向阀内气体密封圈为特氟隆材料制成。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2.10.3</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系统不对其他设备产生影响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2.10.4</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可满足业主未来扩大分站数量要求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2.10.5</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系统易管理、易维护、易升级，可以在任何一个站点或转换器处使用便携装置检测系统运行情况及进行维护管理。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2.10.6</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系统具有故障恢复能力，传输中如发生断电，数据不会丢失，来电后能自动恢复，继续完成原定传输指令，整机系统具有故障自诊自动排除装置功能。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2.10.7</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工作站、转换器、三向阀等定位控制采用非机械接触式传感器PCB电子智能定位。整机系统具有故障自诊自动排除。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2.10.8</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系统具备采用新风技术，防止空气交叉感染，工作站要求绝对密闭的，禁止通过工作站将该科室的空气带到另外的科室里造成空气交叉感染。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2.11系统电源</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系统的电源采用分布式开关电源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2.12通讯技术</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系统采用国际先进的、高可靠性、抗干扰强的通讯方式和通讯设备，不得使用廉价的RS485或RS422通讯方式，总线通讯速率要求：≥1 M bps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2"/>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3、控制系统及机房设备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全系统由主控电脑控制，控制电脑不低于以下配置：双核CPU，内存4G，1000GB硬盘，21"液晶显示器，可连接打印机。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控制系统软件为原厂开发，具有全域空间显示功能，可随时观察系统连接路径图，</w:t>
            </w:r>
            <w:r>
              <w:rPr>
                <w:rFonts w:hint="eastAsia" w:ascii="宋体" w:hAnsi="宋体" w:cs="宋体"/>
                <w:b/>
                <w:bCs/>
                <w:i w:val="0"/>
                <w:caps w:val="0"/>
                <w:color w:val="auto"/>
                <w:spacing w:val="0"/>
                <w:w w:val="100"/>
                <w:sz w:val="21"/>
                <w:szCs w:val="21"/>
              </w:rPr>
              <w:t>投标文件需提供图片说明</w:t>
            </w:r>
            <w:r>
              <w:rPr>
                <w:rFonts w:hint="eastAsia" w:ascii="宋体" w:hAnsi="宋体" w:cs="宋体"/>
                <w:b w:val="0"/>
                <w:i w:val="0"/>
                <w:caps w:val="0"/>
                <w:color w:val="auto"/>
                <w:spacing w:val="0"/>
                <w:w w:val="10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vMerge w:val="restart"/>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3.3</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控制系统可实现以下功能：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1686" w:type="dxa"/>
            <w:vMerge w:val="continue"/>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（1）显示系统的运行状况，故障反馈，具有故障分析查询及处理功能。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vMerge w:val="continue"/>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（2）可控制全部系统内设备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86" w:type="dxa"/>
            <w:vMerge w:val="continue"/>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（3）可实时监控整个系统的运转状态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vMerge w:val="continue"/>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（4）可记录所有收发送记录，电脑可储存50万次以上的监控记录。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vMerge w:val="continue"/>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（5）可显示故障区域及故障代码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vMerge w:val="continue"/>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（6）若某收发站有故障，可关闭此站，不影响整个系统的运行，具有远程在线故障诊断功能。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vMerge w:val="continue"/>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（7）可预置自动半速传送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3.4中央主控器</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系统具备中央主控机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可显示整个医院物流系统的流程图，显示当前传输瓶在管道里行走的状态，请提供流程图并给予说明。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可实时监控整个系统的运转状态显示整个医院每个站点排队的状态记录，所收发记录并做出统计数据和查询，请提供在计算机上显示的相应记录表格并给予说明。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3.4.3</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支持全部汉字显示操作界面可打印或存储打印。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3.4.4</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扩展无需增加控制器，同时一台主控器可以控制几台空压机。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3.4.5</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投标人在技术方案中须明确每个传输区域空压机台数。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3.5</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机房总控室需配置PC机，与局域网连接，实现远程监控:并可通过M0DEM实现INTERMET功能，实现远程在线会诊，故障分析查询，投标文件需提供图片及说明:监控电脑可根据客户需要安装在系统的任何位置，方便医院的协调安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3.6</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控制信号最远可传递2000米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4、转换器</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用于管道间转换传输瓶的路径，可在系统内由一主通道分支为若干条通道，转换器的类型为三路转换器，电机可运行100万次以上；预留可预见的系统扩展接口。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▲5、空压机系统</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空压机采用原装进口，运行噪音不超过55分贝，还可通过加装消声器，进一步降噪；功率大于等于5.5KW；空压机功率应留有以后系统扩展的余量；可根据需要安装在楼宇的任何位置；配有专用空气过滤器(可防止异物进入)，风机只有发送和接受时才工作，节能，投标文件中需提供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6、回收站</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全套系统可只设一个回收站，并可设置任意一个收发站为回收站。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7" w:type="dxa"/>
            <w:gridSpan w:val="2"/>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7、收发工作站设备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选用便于护士操作，占用空间小的站点形式。系统选用的所有站点类型都必须避免管道内空气交叉感染的风险，确保使用环境安全。中文信息动态界面，使用寿命≥15年。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具备收发功能，无需手动开关操作。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7.3</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控制器LED显示，完全PC控制。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7.4</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控制面板为7英寸及以上触摸式控制面板，同屏可以显示模拟数字按键，同屏设有快捷键，操作便捷，提供照片说明。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7.5</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可上下翻页自动搜索地址簿；可同时显示≥10行汉字信息和动态流程，并可以给出显示格式。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7.6</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发送遇忙可自动排队等候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7.7</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可以在一张画面同时显示全部科室的汉字名称，通过按动光标方式选择发送科室。具有热键功能，可以设置至少16个工作站点为一键发送快捷键，投标文件需提供图片说明。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7.8</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可显示系统状态、发送站地址、操作提示。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7.9</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系统可设优先发送及目的站转移，全套系统可设1-16个优先级。可设置缺省地址。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7.10</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配有智能识别装置，具有防异物进入自动识别保护功能。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7.11</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可设无人状态拒绝接受或目的站转移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7.12</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工作站设备内部有防静电设置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7.13</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具备至少30个已发送的历史记录查询功能，并给出格式。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8、传输瓶</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每个站点配置至少2个智能传输瓶，传输瓶两端有双旋盖，密封性能好，内径及长度请投标人说明，运行的噪音值≤30分贝，传输瓶支架材料：钢材，可存放载物筒数量:≥4个。传输瓶带智能IC卡，可实现自动返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9、PVC直管</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用于传输瓶在收发站之间传送的通道，内径及长度请投标人说明。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10、PVC弯管</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用于连接成直角的PVC直管，请说明转弯半径、内径及外径。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11、连接套管</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用于同一水平PVC直管间的连接，UPVC材质。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12、阻火圈</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用于分割防火分区，防火防烟时间≥90分钟。需符合国家规范，投标文件中需提供检验报告。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13、管路粘接剂</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用于管道之间连接处的粘接和密封，管道粘接处不能有任何泄露点。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14、控制和电源电缆</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连接各转换器、工作站；控制板电缆为专用电缆具有双重屏闭功能。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15、管路及安装材料</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管道应达到建筑材料标准(国际标准B1级，适用温度-15℃--﹢60℃)；管道具有耐磨性、防腐性、抗压性及抗静电性能；管道可在室外安装。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16、电源</w:t>
            </w:r>
          </w:p>
        </w:tc>
        <w:tc>
          <w:tcPr>
            <w:tcW w:w="7601" w:type="dxa"/>
          </w:tcPr>
          <w:p>
            <w:pPr>
              <w:widowControl/>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具有防雷击、防杂波、防输出短路保护功能。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6" w:type="dxa"/>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17、★质量保证期</w:t>
            </w:r>
          </w:p>
        </w:tc>
        <w:tc>
          <w:tcPr>
            <w:tcW w:w="7601" w:type="dxa"/>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质量保证期为24个月，含免费维修和保养（评分中承诺的质保期需包含免费维修和保养），时间从使用人使用产品之日算起。在此期间，医用气动物流传输系统因制造、安装而发生损坏或不能正常工作时，中标人应负责免费维修或更换零部件，并赔偿招标人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trPr>
        <w:tc>
          <w:tcPr>
            <w:tcW w:w="1686" w:type="dxa"/>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18、★驻场人员</w:t>
            </w:r>
          </w:p>
        </w:tc>
        <w:tc>
          <w:tcPr>
            <w:tcW w:w="7601" w:type="dxa"/>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投标人在质保期及质保优惠期内至少派</w:t>
            </w:r>
            <w:r>
              <w:rPr>
                <w:rFonts w:hint="eastAsia" w:ascii="宋体" w:hAnsi="宋体" w:cs="宋体"/>
                <w:b w:val="0"/>
                <w:i w:val="0"/>
                <w:caps w:val="0"/>
                <w:color w:val="auto"/>
                <w:spacing w:val="0"/>
                <w:w w:val="100"/>
                <w:sz w:val="21"/>
                <w:szCs w:val="21"/>
                <w:u w:val="single" w:color="000000"/>
              </w:rPr>
              <w:t>1人</w:t>
            </w:r>
            <w:r>
              <w:rPr>
                <w:rFonts w:hint="eastAsia" w:ascii="宋体" w:hAnsi="宋体" w:cs="宋体"/>
                <w:b w:val="0"/>
                <w:i w:val="0"/>
                <w:caps w:val="0"/>
                <w:color w:val="auto"/>
                <w:spacing w:val="0"/>
                <w:w w:val="100"/>
                <w:sz w:val="21"/>
                <w:szCs w:val="21"/>
              </w:rPr>
              <w:t>驻场，开展每年365天*24小时服务。</w:t>
            </w:r>
          </w:p>
        </w:tc>
      </w:tr>
    </w:tbl>
    <w:p>
      <w:pPr>
        <w:widowControl/>
        <w:snapToGrid w:val="0"/>
        <w:spacing w:before="0" w:beforeAutospacing="0" w:after="0" w:afterAutospacing="0" w:line="240" w:lineRule="auto"/>
        <w:jc w:val="left"/>
        <w:textAlignment w:val="baseline"/>
        <w:rPr>
          <w:rFonts w:ascii="宋体" w:hAnsi="宋体" w:cs="宋体"/>
          <w:b/>
          <w:bCs/>
          <w:i w:val="0"/>
          <w:caps w:val="0"/>
          <w:color w:val="auto"/>
          <w:spacing w:val="0"/>
          <w:w w:val="100"/>
          <w:sz w:val="24"/>
          <w:szCs w:val="24"/>
        </w:rPr>
      </w:pPr>
    </w:p>
    <w:p>
      <w:pPr>
        <w:pStyle w:val="27"/>
        <w:widowControl w:val="0"/>
        <w:snapToGrid w:val="0"/>
        <w:spacing w:before="0" w:beforeAutospacing="0" w:after="0" w:afterAutospacing="0" w:line="400" w:lineRule="exact"/>
        <w:ind w:firstLine="482" w:firstLineChars="200"/>
        <w:jc w:val="center"/>
        <w:textAlignment w:val="baseline"/>
        <w:rPr>
          <w:rFonts w:ascii="宋体" w:hAnsi="宋体" w:cs="宋体"/>
          <w:b/>
          <w:bCs/>
          <w:i w:val="0"/>
          <w:caps w:val="0"/>
          <w:color w:val="auto"/>
          <w:spacing w:val="0"/>
          <w:w w:val="100"/>
          <w:sz w:val="24"/>
          <w:szCs w:val="24"/>
        </w:rPr>
      </w:pPr>
      <w:r>
        <w:rPr>
          <w:rFonts w:hint="eastAsia" w:ascii="宋体" w:hAnsi="宋体" w:cs="宋体"/>
          <w:b/>
          <w:bCs/>
          <w:i w:val="0"/>
          <w:caps w:val="0"/>
          <w:color w:val="auto"/>
          <w:spacing w:val="0"/>
          <w:w w:val="100"/>
          <w:kern w:val="2"/>
          <w:sz w:val="24"/>
          <w:szCs w:val="24"/>
        </w:rPr>
        <w:t>二、中型箱式物流传输系统篇</w:t>
      </w:r>
    </w:p>
    <w:p>
      <w:pPr>
        <w:snapToGrid w:val="0"/>
        <w:spacing w:before="135" w:beforeAutospacing="0" w:after="135" w:afterAutospacing="0" w:line="400" w:lineRule="exact"/>
        <w:ind w:firstLine="422" w:firstLineChars="200"/>
        <w:jc w:val="left"/>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（一）中型箱式物流设计说明</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设计原则：中型箱式物流系统布置体现高效、合理、美观的设计理念，注重空间的充分利用和输送效率的平衡。根据医院大楼建筑主体完成的情况着重处理好以下情况：</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物流站点位置选择合理，方便进行物资运输的同时，不影响现有的功能分区； </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合理规划水平分拣系统的安装位置，确定物流传输方向；</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水平分拣系统与垂直分拣系统的布置不破坏或少破坏大楼的现有建筑结构。垂直分拣系统所需的相关土建配套工程和结构重量应均匀分布在大楼各个楼层。中型物流的设计不与已安装的重要管线，如消防、通暖、送风、气体管线冲突，有必要时与设计院沟通进行合理避让；</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中型物流传输系统的可见部分与外露部分应进行三防和环境设计；</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中型物流传输系统设计应符合建筑电气设备绿色节能的要求。此项目的总功率为120KW（每个管井15KW），并且控制系统具备智能管理能力。在医院出现电力供应中断的紧急情况下可以无缝介入医院的后备发电系统，继续正常运转；</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水平传输线及轿厢内模组采用滚筒或其他有效传输方式，可随时与远期设计方案对接；</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平行换轨器可实现平行传输线之间的非移栽式自动水平换轨，无需旋转；</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中型箱式物流传输系统可传输尺寸小于等于标准载物箱的整包装纸箱，且无损坏；</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垂直提升机内部轿厢采用一提四箱设计，保证站点最大可以同时发送四个周转箱，满足未来使用效率需求；</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在主发站点所在的高层提升机顶部，配置箱式物流空气环境控制系统，实现井道内消毒灭菌功能；</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 xml:space="preserve">站点设置倒计时功能，在到箱提醒的基础上设置倒计时功能，避免等待；  </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站点设置语音通话系统，可以通过站点触摸屏通话按键，实现任意两个站点之间，一键呼叫，语音实时通话；</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站点设置安全防护检测系统，可自动检测到异常物体来保障人员安全和系统的稳定性；</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站点设置贵重物品电子化全程追溯系统及电子化签收系统保障物体运输过程中的可视化；</w:t>
      </w:r>
    </w:p>
    <w:p>
      <w:pPr>
        <w:pStyle w:val="53"/>
        <w:numPr>
          <w:ilvl w:val="0"/>
          <w:numId w:val="9"/>
        </w:numPr>
        <w:snapToGrid w:val="0"/>
        <w:spacing w:before="0" w:beforeAutospacing="0" w:after="0" w:afterAutospacing="0" w:line="400" w:lineRule="exact"/>
        <w:ind w:left="0" w:firstLine="420" w:firstLineChars="200"/>
        <w:jc w:val="left"/>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实时监控画面以 3D 的效果呈现，真实展现物资输送的场景，了解实时物资状况。</w:t>
      </w:r>
    </w:p>
    <w:p>
      <w:pPr>
        <w:snapToGrid w:val="0"/>
        <w:spacing w:before="135" w:beforeAutospacing="0" w:after="135" w:afterAutospacing="0" w:line="400" w:lineRule="exact"/>
        <w:ind w:firstLine="422" w:firstLineChars="200"/>
        <w:jc w:val="left"/>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（二）中型箱式物流硬件设备设计说明</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中型物流系统主要由垂直分拣机与水平传输线、工作站点以及物资运转箱四部分组成。垂直分拣机与水平传输线分别负责垂直与水平方向上的物资运输，工作站点负责接收及发送物资。</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1、垂直分拣部要求：</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 为节省空间及土建造价，高层提升机原则采用无机房设计（根据具体方案设计）；</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 为提高垂直分拣运输效率，垂直分拣机轿厢模组采用上下双层设计，每层至少可以容纳两个标准周转箱（周转箱尺寸：≥长540mm*宽320mm*高320mm），可一次提升四个及以上标准周转箱，轿厢模组单层长度≥1320mm；</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 为提高垂直分拣识别精度，垂直分拣机采用高精度光栅尺或磁栅尺，使平层停靠精度误差为±2mm；</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 为保证垂直分拣机的安全稳定运行，垂直分拣机应在底坑下设置对重缓冲器，同时加装对重安全钳，一般情况下，提升机井道需要设置底坑，深度0.8米。低层分拣机（≤2层）不需设置底坑，对层高也无特殊要求；</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1.5 高层垂直分拣机载重量≥200KG，提升速度为≥1.75m/s，运行噪音≤45分贝；</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 垂直分拣机井道的内部平面尺寸最小为1.6米*1.6米，垂直分拣机的工作站点或水平线进出口开洞位置只能在管井同一侧或对侧，位置不能为90度。同时为便于垂直分拣机相关零部件的安装，管井土建需设置圈梁，第一道圈梁距地1230mm，后面圈梁设置原则不大于2000mm，（具体以最终需求图纸为准）。如实在难以达到上述需求，我司可根据实际情况对提升机结构等进行特殊设计，但往往会对站点布局等造成不利影响；</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1.7 在提升机土建井道顶部设置承载力≥3000KG的吊钩，设备需由土建单位提前预留；</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 水平分拣部要求：</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 同一路径上的水平传输线分两条设置，分别负责往返两个方向的物资运输；</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 水平传输线上下设置时，其所占空间的总高为1.3米，宽度1.1米；左右并排设置时，其高度为0.8米；宽度为1.7米（注：并排设置一般与上下层设置为并存关系，在水平线出垂直分拣机的地方为上下层，经过转换后为双并排设置）。同时在条件允许的情况下，水平传输线两侧或单侧需预留500mm左右的维修通道；</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2.3 水平分拣线单台设备尺寸长（依据实际需求制作）*宽500*高200），运行噪音≤40分贝；</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2.4 为方便水平分拣线的安装与维护，采用梳齿状结构；</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 为保证水平分拣线的高效运行，在普通转弯处采用多角度转弯机（30°、45°、60°、90°及其它非标尺寸），在分拣采用高效移栽机进行分拣，分拣效率达到1200箱/小时。</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3、工作站点要求：</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 标准工作站采用上下双层设计，可容纳四箱位（如标准护士站，也可依据实际情况进行特殊设计），具备到货提醒功能，运行噪音≤40分贝。一般情况下，每个科室的工作站点设置在垂直分拣机井道出口处，在垂直分拣机出口处设置长度约1.6米左右的水平传输线，同时设备的前段需预留0.5米的空间方便操作；</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4、结构要求：</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ab/>
      </w:r>
      <w:r>
        <w:rPr>
          <w:rFonts w:hint="eastAsia" w:ascii="宋体" w:hAnsi="宋体" w:cs="宋体"/>
          <w:b w:val="0"/>
          <w:i w:val="0"/>
          <w:caps w:val="0"/>
          <w:color w:val="auto"/>
          <w:spacing w:val="0"/>
          <w:w w:val="100"/>
          <w:sz w:val="21"/>
          <w:szCs w:val="21"/>
        </w:rPr>
        <w:t>4.1土建单位需按照图纸在楼板进行洞口开洞预留。</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ab/>
      </w:r>
      <w:r>
        <w:rPr>
          <w:rFonts w:hint="eastAsia" w:ascii="宋体" w:hAnsi="宋体" w:cs="宋体"/>
          <w:b w:val="0"/>
          <w:i w:val="0"/>
          <w:caps w:val="0"/>
          <w:color w:val="auto"/>
          <w:spacing w:val="0"/>
          <w:w w:val="100"/>
          <w:sz w:val="21"/>
          <w:szCs w:val="21"/>
        </w:rPr>
        <w:t>4.2 土建单位需按图纸预留提升机专用井道，并按图纸高度要求设置站点门洞、圈梁和检修门门洞。其中检修门洞预留在提升机底层和顶层墙面，检修门洞尺寸为：800(w)*1280(h)。站点位置需要预留站点门洞，垂直双线提升机站点以实际安装站点时的地面为基准，墙体门洞尺寸宽X高=630mmX1280mm，考虑到现场施工存在误差，实际高度在1280±10mm范围内，宽度在630±15mm范围内，均可以满足安装。并排双线提升机站点以实际安装站点时的地面为基准，墙体门洞尺寸宽X高=1255mmX1280mm，考虑到现场施工存在误差，实际高度在1280±10mm范围内，宽度在1255±15mm范围内，均可以满足安装。</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ab/>
      </w:r>
      <w:r>
        <w:rPr>
          <w:rFonts w:hint="eastAsia" w:ascii="宋体" w:hAnsi="宋体" w:cs="宋体"/>
          <w:b w:val="0"/>
          <w:i w:val="0"/>
          <w:caps w:val="0"/>
          <w:color w:val="auto"/>
          <w:spacing w:val="0"/>
          <w:w w:val="100"/>
          <w:sz w:val="21"/>
          <w:szCs w:val="21"/>
        </w:rPr>
        <w:t>4.3 土建单位还需要提前预留物流通道上墙体必开洞口，并完成收边工作，常规的开洞大小有800（H)*1800（L)\800（H)*1000（L)\1400（H)*1000（L)三种，具体开动位置及大小如图所示。</w:t>
      </w:r>
    </w:p>
    <w:p>
      <w:pPr>
        <w:snapToGrid w:val="0"/>
        <w:spacing w:before="135" w:beforeAutospacing="0" w:after="135" w:afterAutospacing="0" w:line="400" w:lineRule="exact"/>
        <w:ind w:firstLine="422" w:firstLineChars="200"/>
        <w:jc w:val="left"/>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（三）中型箱式物流系统物流机房及强电需求设计说明</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1、中型箱式物流需要约20平方米的机房，用于设置监控中心。机房配备内，外网络; 机房普通装修，配照明和空调系统.机房四周，合理配置6个五相插座(生活用电)。监控中心操作站电柜取电要求: 功率3KW（仅作参考，最后以中标人深化设计为准），电压AC380V，频率50HZ，3相5线制，接地电阻不大于5欧姆，电源进线规格YJV5x2.5mm^2，甲方需提前在监控中心内配备电源柜（推荐电源柜尺寸长200mm*宽250mm*高400mm），柜内配备空气开关，且不带漏电功能（推荐使用ABB型号SD203/16或施耐德型号IC65N 3P D16A）配备零线、接地线铜牌；</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原则上中型水平输送线不单独预留取电点，在低层提升机电柜里面取电，如果系统没有低层提升机或者低层提升机取电点容量不够，将在高层提升机控制柜里面取电。每个垂直提升机机房（如果是无机房，需设置在井道顶部附近）内提供功率15KW，电压AC380V，频率 50HZ，3相5线制，接地电阻不大于5欧姆，电源进线规格 YJV5x10mm^2，电缆到控制柜地面后预留 2 米余量。</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高层提升机主控制柜取电要求：功率15KW，电压AC380V，频率50HZ，3相5线制，接地电阻不大于5欧姆，电源进线规格YJV5x10mm^2，甲方需提前在提升机控制柜旁，井道外壁配备电源柜（推荐电源柜尺寸长200mm*宽250mm*高400mm），柜内配备空气开关，且不带漏电功能（推荐使用ABB型号SD203/63或施耐德型号IC65N 3P D63A）配备零线、接地线铜牌；</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低层提升机主控制柜取电要求：功率15KW，电压AC380V，频率50HZ，3相5线制，接地电阻不大于5欧姆，电源进线规格YJV5x10mm^2，甲方需提前在提升机控制柜旁，井道外壁配备电源柜（推荐电源柜尺寸长200mm*宽250mm*高400mm），柜内配备空气开关，且不带漏电功能（推荐使用ABB型号SD203/63或施耐德型号IC65N 3P D63A）配备零线、接地线铜牌。</w:t>
      </w:r>
    </w:p>
    <w:p>
      <w:pPr>
        <w:snapToGrid w:val="0"/>
        <w:spacing w:before="135" w:beforeAutospacing="0" w:after="135" w:afterAutospacing="0" w:line="400" w:lineRule="exact"/>
        <w:ind w:firstLine="422" w:firstLineChars="200"/>
        <w:jc w:val="left"/>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（四）中型箱式物流系统消防设计说明</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项目中的水平传输线穿越不同防火分区时，甲方需提前预留符合设备大小其达到防火要求的防火卷帘门、防火门和防火窗。防火卷帘平时常开，在发生火灾时自动释放开关，防火卷帘关闭。所有专用防火卷帘必须就近配置防火电源和消防信号。当发生火灾时如有周转箱正好穿越防火卷帘区域时，可由消防电源给区域内的水平传输线供电，保证周转箱驶离该区域。当周转箱驶离该区域后防火卷帘立刻关闭，其余周转箱不予通过防火卷帘；为满足防火要求，工作站点厅门为甲级防火门，为常闭模式，在有输送需求的情况下，才会打开。</w:t>
      </w:r>
    </w:p>
    <w:p>
      <w:pPr>
        <w:pStyle w:val="47"/>
        <w:snapToGrid w:val="0"/>
        <w:spacing w:before="0" w:beforeAutospacing="0" w:after="0" w:afterAutospacing="0" w:line="400" w:lineRule="exact"/>
        <w:ind w:firstLine="420" w:firstLineChars="200"/>
        <w:jc w:val="both"/>
        <w:textAlignment w:val="baseline"/>
        <w:rPr>
          <w:rFonts w:ascii="宋体" w:hAnsi="宋体" w:cs="宋体"/>
          <w:b w:val="0"/>
          <w:i w:val="0"/>
          <w:caps w:val="0"/>
          <w:color w:val="auto"/>
          <w:spacing w:val="0"/>
          <w:w w:val="100"/>
          <w:sz w:val="21"/>
          <w:szCs w:val="21"/>
          <w:lang w:val="en-US"/>
        </w:rPr>
      </w:pPr>
      <w:r>
        <w:rPr>
          <w:rFonts w:hint="eastAsia" w:ascii="宋体" w:hAnsi="宋体" w:cs="宋体"/>
          <w:b w:val="0"/>
          <w:i w:val="0"/>
          <w:caps w:val="0"/>
          <w:color w:val="auto"/>
          <w:spacing w:val="0"/>
          <w:w w:val="100"/>
          <w:sz w:val="21"/>
          <w:szCs w:val="21"/>
          <w:lang w:val="en-US"/>
        </w:rPr>
        <w:t>中标单位须提供消防篇，且自行与消防部门对接并通过验收。</w:t>
      </w:r>
    </w:p>
    <w:p>
      <w:pPr>
        <w:snapToGrid w:val="0"/>
        <w:spacing w:before="135" w:beforeAutospacing="0" w:after="135" w:afterAutospacing="0" w:line="400" w:lineRule="exact"/>
        <w:ind w:firstLine="422" w:firstLineChars="200"/>
        <w:jc w:val="left"/>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（五）系统可扩展性</w:t>
      </w:r>
    </w:p>
    <w:p>
      <w:pPr>
        <w:snapToGrid w:val="0"/>
        <w:spacing w:before="216" w:beforeAutospacing="0" w:after="216"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ab/>
      </w:r>
      <w:r>
        <w:rPr>
          <w:rFonts w:hint="eastAsia" w:ascii="宋体" w:hAnsi="宋体" w:cs="宋体"/>
          <w:b w:val="0"/>
          <w:i w:val="0"/>
          <w:caps w:val="0"/>
          <w:color w:val="auto"/>
          <w:spacing w:val="0"/>
          <w:w w:val="100"/>
          <w:sz w:val="21"/>
          <w:szCs w:val="21"/>
        </w:rPr>
        <w:t>系统预留适当容量，可满足使用者未来扩大分站数量的需求。系统可对接智能机械手存取站（库）、门诊快速发药系统。系统可对接检验自动化系统、实现标本的传输、分拣一体化。</w:t>
      </w:r>
    </w:p>
    <w:p>
      <w:pPr>
        <w:snapToGrid w:val="0"/>
        <w:spacing w:before="216" w:beforeAutospacing="0" w:after="216" w:afterAutospacing="0" w:line="360" w:lineRule="exact"/>
        <w:ind w:firstLine="422" w:firstLineChars="200"/>
        <w:jc w:val="both"/>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（六）中型箱式物流硬件设备说明:</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中型物流系统主要由垂直分拣机与水平传输线、工作站点以及物资运转箱四部分组成。</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垂直分拣机与水平传输线分别负责垂直与水平方向上的物资运输,工作站点负责接收及发送物资。</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1、垂直分拣部要求:</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 为节省空间及土建造价,高层提升机原则采用无机房设计(根据具体方案设计)；</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 为提高垂直分拣运输效率,垂直分拣机轿厢模组采用上下双层设计,每层至少可以容纳两个标准周转箱(周转箱尺寸:≥长540mm*宽320mm*高320mm),可一次提升四个及以上标准周转箱,轿厢模组单层长度≥1320mm；</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 为提高垂直分拣识别精度,垂直分拣机采用高精度光栅尺或磁栅尺,使平层停靠精度误差为±2mm；</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 为保证垂直分拣机的安全稳定运行,垂直分拣机应在底坑下设置对重缓冲器,同时加装对重安全钳,一般情况下,提升机井道需要设置底坑,深度0.8米。低层分拣机(≤2层)不需设置底坑,对层高也无特殊要求；</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1.5 高层垂直分拣机载重量≥200KG,提升速度为≥2m/s,运行噪音≤45分贝；</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 垂直分拣机井道的内部平面尺寸最小为1.6米*1.6米,垂直分拣机的工作站点或水平线进出口开洞位置只能在管井同一侧或对侧,位置不能为90度。同时为便于垂直分拣机相关零部件的安装，管井土建需设置圈梁，第一道圈梁距地1350mm，后面圈梁设置原则不大于2000mm，（具体以最终需求图纸为准）。如实在难以达到上述需求，可根据实际情况对提升机结构等进行特殊设计,但往往会对站点布局等造成不利影响；</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1.7 在提升机土建井道顶部设置承载力≥3000KG的吊钩,设备需由土建单位提前预留。</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2、水平分拣部要求:</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 同一路径上的水平传输线分两条设置,分别负责往返两个方向的物资运输；</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 水平传输线上下设置时,其所占空间的总高为1.3米,宽度1.1米；左右并排设置时,其高度为0.8米；宽度为1.7米(注:并排设置一般与上下层设置为并存关系,在水平线出垂直分拣机的地方为上下层,经过转换后为双并排设置)。同时在条件允许的情况下,水平传输线两侧或单侧需预留500mm左右的维修通道；</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2.3 水平分拣线单台设备尺寸长(依据实际需求制作)*宽500*高200,运行噪音≤40分贝；</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2.4 为方便水平分拣线的安装与维护,采用梳齿状结构；</w:t>
      </w:r>
    </w:p>
    <w:p>
      <w:pPr>
        <w:snapToGrid w:val="0"/>
        <w:spacing w:before="0" w:beforeAutospacing="0" w:after="0" w:afterAutospacing="0" w:line="360" w:lineRule="exact"/>
        <w:ind w:firstLine="420" w:firstLineChars="200"/>
        <w:jc w:val="both"/>
        <w:textAlignment w:val="baseline"/>
        <w:rPr>
          <w:rFonts w:ascii="宋体" w:hAnsi="宋体" w:cs="宋体"/>
          <w:b/>
          <w:bCs/>
          <w:i w:val="0"/>
          <w:caps w:val="0"/>
          <w:color w:val="auto"/>
          <w:spacing w:val="0"/>
          <w:w w:val="100"/>
          <w:sz w:val="20"/>
          <w:szCs w:val="21"/>
        </w:rPr>
      </w:pPr>
      <w:r>
        <w:rPr>
          <w:rFonts w:hint="eastAsia" w:ascii="宋体" w:hAnsi="宋体" w:cs="宋体"/>
          <w:b w:val="0"/>
          <w:i w:val="0"/>
          <w:caps w:val="0"/>
          <w:color w:val="auto"/>
          <w:spacing w:val="0"/>
          <w:w w:val="100"/>
          <w:sz w:val="21"/>
          <w:szCs w:val="21"/>
        </w:rPr>
        <w:t>2.5 为保证水平分拣线的高效运行,在普通转弯处采用多角度转弯机(30°、45°、60°、90°及其它非标尺寸),在分拣采用高效移栽机进行分拣,分拣效率达到1200箱/小时。</w:t>
      </w:r>
    </w:p>
    <w:p>
      <w:pPr>
        <w:snapToGrid w:val="0"/>
        <w:spacing w:before="216" w:beforeAutospacing="0" w:after="216" w:afterAutospacing="0" w:line="360" w:lineRule="exact"/>
        <w:ind w:firstLine="422" w:firstLineChars="200"/>
        <w:jc w:val="both"/>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（七）中型物流系统站点一览表</w:t>
      </w:r>
    </w:p>
    <w:tbl>
      <w:tblPr>
        <w:tblStyle w:val="30"/>
        <w:tblW w:w="5000" w:type="pct"/>
        <w:tblInd w:w="0" w:type="dxa"/>
        <w:tblLayout w:type="autofit"/>
        <w:tblCellMar>
          <w:top w:w="0" w:type="dxa"/>
          <w:left w:w="108" w:type="dxa"/>
          <w:bottom w:w="0" w:type="dxa"/>
          <w:right w:w="108" w:type="dxa"/>
        </w:tblCellMar>
      </w:tblPr>
      <w:tblGrid>
        <w:gridCol w:w="1137"/>
        <w:gridCol w:w="926"/>
        <w:gridCol w:w="1356"/>
        <w:gridCol w:w="1137"/>
        <w:gridCol w:w="926"/>
        <w:gridCol w:w="611"/>
        <w:gridCol w:w="926"/>
        <w:gridCol w:w="2206"/>
        <w:gridCol w:w="630"/>
      </w:tblGrid>
      <w:tr>
        <w:tblPrEx>
          <w:tblCellMar>
            <w:top w:w="0" w:type="dxa"/>
            <w:left w:w="108" w:type="dxa"/>
            <w:bottom w:w="0" w:type="dxa"/>
            <w:right w:w="108" w:type="dxa"/>
          </w:tblCellMar>
        </w:tblPrEx>
        <w:trPr>
          <w:trHeight w:val="397"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绍兴中医院中型物流系统站点一览表</w:t>
            </w: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58"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新楼</w:t>
            </w:r>
          </w:p>
        </w:tc>
        <w:tc>
          <w:tcPr>
            <w:tcW w:w="1357"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3、4号楼</w:t>
            </w:r>
          </w:p>
        </w:tc>
        <w:tc>
          <w:tcPr>
            <w:tcW w:w="1905"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5号楼</w:t>
            </w: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楼层</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LT1</w:t>
            </w: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LT2</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LT5</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LT6</w:t>
            </w: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LT8</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LT7</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LT4</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LT3</w:t>
            </w: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屋顶层</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6F</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中控维护室</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5F</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4F</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3F</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ICU</w:t>
            </w: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手术中心</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2F</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中心供应</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EICU</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护士站</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1F</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急诊急救</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静配中心+住院药房×</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负1F</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站点小计</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68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c>
          <w:tcPr>
            <w:tcW w:w="308"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0</w:t>
            </w:r>
          </w:p>
        </w:tc>
        <w:tc>
          <w:tcPr>
            <w:tcW w:w="470"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c>
          <w:tcPr>
            <w:tcW w:w="111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31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0</w:t>
            </w:r>
          </w:p>
        </w:tc>
      </w:tr>
      <w:tr>
        <w:tblPrEx>
          <w:tblCellMar>
            <w:top w:w="0" w:type="dxa"/>
            <w:left w:w="108" w:type="dxa"/>
            <w:bottom w:w="0" w:type="dxa"/>
            <w:right w:w="108" w:type="dxa"/>
          </w:tblCellMar>
        </w:tblPrEx>
        <w:trPr>
          <w:trHeight w:val="397" w:hRule="atLeast"/>
        </w:trPr>
        <w:tc>
          <w:tcPr>
            <w:tcW w:w="577"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站点总计</w:t>
            </w:r>
          </w:p>
        </w:tc>
        <w:tc>
          <w:tcPr>
            <w:tcW w:w="4422"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w:t>
            </w:r>
          </w:p>
        </w:tc>
      </w:tr>
      <w:tr>
        <w:tblPrEx>
          <w:tblCellMar>
            <w:top w:w="0" w:type="dxa"/>
            <w:left w:w="108" w:type="dxa"/>
            <w:bottom w:w="0" w:type="dxa"/>
            <w:right w:w="108" w:type="dxa"/>
          </w:tblCellMar>
        </w:tblPrEx>
        <w:trPr>
          <w:trHeight w:val="397" w:hRule="atLeast"/>
        </w:trPr>
        <w:tc>
          <w:tcPr>
            <w:tcW w:w="5000"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注：带×为多箱位站点</w:t>
            </w:r>
          </w:p>
        </w:tc>
      </w:tr>
    </w:tbl>
    <w:p>
      <w:pPr>
        <w:pStyle w:val="27"/>
        <w:widowControl w:val="0"/>
        <w:snapToGrid w:val="0"/>
        <w:spacing w:before="216" w:beforeAutospacing="0" w:after="216" w:afterAutospacing="0" w:line="360" w:lineRule="exact"/>
        <w:ind w:firstLine="422" w:firstLineChars="200"/>
        <w:jc w:val="both"/>
        <w:textAlignment w:val="baseline"/>
        <w:rPr>
          <w:rFonts w:ascii="宋体" w:hAnsi="宋体" w:cs="宋体"/>
          <w:b/>
          <w:bCs/>
          <w:i w:val="0"/>
          <w:caps w:val="0"/>
          <w:color w:val="auto"/>
          <w:spacing w:val="0"/>
          <w:w w:val="100"/>
          <w:sz w:val="21"/>
          <w:szCs w:val="21"/>
        </w:rPr>
      </w:pPr>
      <w:r>
        <w:rPr>
          <w:rFonts w:hint="eastAsia" w:ascii="宋体" w:hAnsi="宋体" w:cs="宋体"/>
          <w:b/>
          <w:bCs/>
          <w:i w:val="0"/>
          <w:caps w:val="0"/>
          <w:color w:val="auto"/>
          <w:spacing w:val="0"/>
          <w:w w:val="100"/>
          <w:sz w:val="21"/>
          <w:szCs w:val="21"/>
        </w:rPr>
        <w:t>（八）中型物流系统总体技术要求</w:t>
      </w:r>
    </w:p>
    <w:tbl>
      <w:tblPr>
        <w:tblStyle w:val="30"/>
        <w:tblW w:w="4988" w:type="pct"/>
        <w:tblInd w:w="0" w:type="dxa"/>
        <w:tblLayout w:type="autofit"/>
        <w:tblCellMar>
          <w:top w:w="0" w:type="dxa"/>
          <w:left w:w="108" w:type="dxa"/>
          <w:bottom w:w="0" w:type="dxa"/>
          <w:right w:w="108" w:type="dxa"/>
        </w:tblCellMar>
      </w:tblPr>
      <w:tblGrid>
        <w:gridCol w:w="2088"/>
        <w:gridCol w:w="12"/>
        <w:gridCol w:w="7731"/>
      </w:tblGrid>
      <w:tr>
        <w:tblPrEx>
          <w:tblCellMar>
            <w:top w:w="0" w:type="dxa"/>
            <w:left w:w="108" w:type="dxa"/>
            <w:bottom w:w="0" w:type="dxa"/>
            <w:right w:w="108" w:type="dxa"/>
          </w:tblCellMar>
        </w:tblPrEx>
        <w:trPr>
          <w:trHeight w:val="570"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一、中型箱式物流传输系统总体要求</w:t>
            </w:r>
          </w:p>
        </w:tc>
      </w:tr>
      <w:tr>
        <w:tblPrEx>
          <w:tblCellMar>
            <w:top w:w="0" w:type="dxa"/>
            <w:left w:w="108" w:type="dxa"/>
            <w:bottom w:w="0" w:type="dxa"/>
            <w:right w:w="108" w:type="dxa"/>
          </w:tblCellMar>
        </w:tblPrEx>
        <w:trPr>
          <w:trHeight w:val="166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1.系统整体要求</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式物流传输系统是以周转箱为载体，通过传输线体和提升设备的运载，自动、平稳的将输送物品传输至目的地的新型医院物流设备。任意收发站之间可安全、高效的收发物品。形成一套科学合理、有效的物资自动化传输系统，全面解决院内大部分物品的自动化、智能化传输需求。</w:t>
            </w:r>
          </w:p>
        </w:tc>
      </w:tr>
      <w:tr>
        <w:tblPrEx>
          <w:tblCellMar>
            <w:top w:w="0" w:type="dxa"/>
            <w:left w:w="108" w:type="dxa"/>
            <w:bottom w:w="0" w:type="dxa"/>
            <w:right w:w="108" w:type="dxa"/>
          </w:tblCellMar>
        </w:tblPrEx>
        <w:trPr>
          <w:trHeight w:val="75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2.传输对象</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如：药品、标本、血液制品、血样、X光片、医疗器械、手术包、医用消耗品和文本、文件、被服、餐饮等物品。</w:t>
            </w:r>
          </w:p>
        </w:tc>
      </w:tr>
      <w:tr>
        <w:tblPrEx>
          <w:tblCellMar>
            <w:top w:w="0" w:type="dxa"/>
            <w:left w:w="108" w:type="dxa"/>
            <w:bottom w:w="0" w:type="dxa"/>
            <w:right w:w="108" w:type="dxa"/>
          </w:tblCellMar>
        </w:tblPrEx>
        <w:trPr>
          <w:trHeight w:val="501" w:hRule="atLeast"/>
        </w:trPr>
        <w:tc>
          <w:tcPr>
            <w:tcW w:w="1062" w:type="pct"/>
            <w:tcBorders>
              <w:top w:val="nil"/>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3.适用环境条件</w:t>
            </w:r>
          </w:p>
        </w:tc>
        <w:tc>
          <w:tcPr>
            <w:tcW w:w="3938" w:type="pct"/>
            <w:gridSpan w:val="2"/>
            <w:tcBorders>
              <w:top w:val="nil"/>
              <w:left w:val="nil"/>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温度：-10℃—+45℃；相对湿度：40%～98%(无凝露)；湿度变化率：≤±10%/h。</w:t>
            </w:r>
          </w:p>
        </w:tc>
      </w:tr>
      <w:tr>
        <w:tblPrEx>
          <w:tblCellMar>
            <w:top w:w="0" w:type="dxa"/>
            <w:left w:w="108" w:type="dxa"/>
            <w:bottom w:w="0" w:type="dxa"/>
            <w:right w:w="108" w:type="dxa"/>
          </w:tblCellMar>
        </w:tblPrEx>
        <w:trPr>
          <w:trHeight w:val="585" w:hRule="atLeast"/>
        </w:trPr>
        <w:tc>
          <w:tcPr>
            <w:tcW w:w="106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4.运行时间</w:t>
            </w:r>
          </w:p>
        </w:tc>
        <w:tc>
          <w:tcPr>
            <w:tcW w:w="3932"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保障每日连续工作24小时，每周连续工作7日。</w:t>
            </w:r>
          </w:p>
        </w:tc>
      </w:tr>
      <w:tr>
        <w:tblPrEx>
          <w:tblCellMar>
            <w:top w:w="0" w:type="dxa"/>
            <w:left w:w="108" w:type="dxa"/>
            <w:bottom w:w="0" w:type="dxa"/>
            <w:right w:w="108" w:type="dxa"/>
          </w:tblCellMar>
        </w:tblPrEx>
        <w:trPr>
          <w:trHeight w:val="615" w:hRule="atLeast"/>
        </w:trPr>
        <w:tc>
          <w:tcPr>
            <w:tcW w:w="1068" w:type="pct"/>
            <w:gridSpan w:val="2"/>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5.系统工作站点数</w:t>
            </w:r>
          </w:p>
        </w:tc>
        <w:tc>
          <w:tcPr>
            <w:tcW w:w="3932" w:type="pct"/>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25个箱式物流站点(分布详见招标图纸)</w:t>
            </w:r>
          </w:p>
        </w:tc>
      </w:tr>
      <w:tr>
        <w:tblPrEx>
          <w:tblCellMar>
            <w:top w:w="0" w:type="dxa"/>
            <w:left w:w="108" w:type="dxa"/>
            <w:bottom w:w="0" w:type="dxa"/>
            <w:right w:w="108" w:type="dxa"/>
          </w:tblCellMar>
        </w:tblPrEx>
        <w:trPr>
          <w:trHeight w:val="735" w:hRule="atLeast"/>
        </w:trPr>
        <w:tc>
          <w:tcPr>
            <w:tcW w:w="1068" w:type="pct"/>
            <w:gridSpan w:val="2"/>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6.平稳性</w:t>
            </w:r>
          </w:p>
        </w:tc>
        <w:tc>
          <w:tcPr>
            <w:tcW w:w="3932" w:type="pct"/>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系统启动及停止均有缓冲，无撞击，系统载物箱传输全过程保持水平状态。</w:t>
            </w:r>
          </w:p>
        </w:tc>
      </w:tr>
      <w:tr>
        <w:tblPrEx>
          <w:tblCellMar>
            <w:top w:w="0" w:type="dxa"/>
            <w:left w:w="108" w:type="dxa"/>
            <w:bottom w:w="0" w:type="dxa"/>
            <w:right w:w="108" w:type="dxa"/>
          </w:tblCellMar>
        </w:tblPrEx>
        <w:trPr>
          <w:trHeight w:val="1125" w:hRule="atLeast"/>
        </w:trPr>
        <w:tc>
          <w:tcPr>
            <w:tcW w:w="1068" w:type="pct"/>
            <w:gridSpan w:val="2"/>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7.安全性</w:t>
            </w:r>
          </w:p>
        </w:tc>
        <w:tc>
          <w:tcPr>
            <w:tcW w:w="3932" w:type="pct"/>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系统无超标噪声污染、不对其他设备产生电磁干扰。系统易管理、易维护、易升级。系统具备故障恢复能力，传输中如发生断电，数据不会丢失，来电后能自动恢复，继续完成原定传输指令。</w:t>
            </w:r>
          </w:p>
        </w:tc>
      </w:tr>
      <w:tr>
        <w:tblPrEx>
          <w:tblCellMar>
            <w:top w:w="0" w:type="dxa"/>
            <w:left w:w="108" w:type="dxa"/>
            <w:bottom w:w="0" w:type="dxa"/>
            <w:right w:w="108" w:type="dxa"/>
          </w:tblCellMar>
        </w:tblPrEx>
        <w:trPr>
          <w:trHeight w:val="1380" w:hRule="atLeast"/>
        </w:trPr>
        <w:tc>
          <w:tcPr>
            <w:tcW w:w="1068" w:type="pct"/>
            <w:gridSpan w:val="2"/>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8.防火性能</w:t>
            </w:r>
          </w:p>
        </w:tc>
        <w:tc>
          <w:tcPr>
            <w:tcW w:w="3932" w:type="pct"/>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每个垂直方向上的工作站点出入口，需配置自动防火门/窗/防火卷帘及防火控制监控器，保证载物箱出入时能自动开启或关闭。防火门/窗/防火卷帘任意向火面材料厚度、防火等级、耐火等级等条件需满足甲级消防规范要求。</w:t>
            </w:r>
          </w:p>
        </w:tc>
      </w:tr>
      <w:tr>
        <w:tblPrEx>
          <w:tblCellMar>
            <w:top w:w="0" w:type="dxa"/>
            <w:left w:w="108" w:type="dxa"/>
            <w:bottom w:w="0" w:type="dxa"/>
            <w:right w:w="108" w:type="dxa"/>
          </w:tblCellMar>
        </w:tblPrEx>
        <w:trPr>
          <w:trHeight w:val="1410" w:hRule="atLeast"/>
        </w:trPr>
        <w:tc>
          <w:tcPr>
            <w:tcW w:w="1068" w:type="pct"/>
            <w:gridSpan w:val="2"/>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9.稳定性</w:t>
            </w:r>
          </w:p>
        </w:tc>
        <w:tc>
          <w:tcPr>
            <w:tcW w:w="3932" w:type="pct"/>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部分科室有直接传输整包装物品的需要(如药房等)，考虑到易碎品整包装直接传输的便捷性和安全性，要求所投中型箱式物流传输系统可直接传输尺寸小于等于标准周转箱/托盘的整包装物品，且传输前后整包装物品(易碎品)无损坏。</w:t>
            </w:r>
            <w:r>
              <w:rPr>
                <w:rFonts w:hint="eastAsia" w:ascii="宋体" w:hAnsi="宋体" w:cs="宋体"/>
                <w:b/>
                <w:bCs/>
                <w:i w:val="0"/>
                <w:caps w:val="0"/>
                <w:color w:val="auto"/>
                <w:spacing w:val="0"/>
                <w:w w:val="100"/>
                <w:sz w:val="21"/>
                <w:szCs w:val="21"/>
              </w:rPr>
              <w:t>投标文件中需提供实际传输场景的图片。</w:t>
            </w:r>
          </w:p>
        </w:tc>
      </w:tr>
      <w:tr>
        <w:tblPrEx>
          <w:tblCellMar>
            <w:top w:w="0" w:type="dxa"/>
            <w:left w:w="108" w:type="dxa"/>
            <w:bottom w:w="0" w:type="dxa"/>
            <w:right w:w="108" w:type="dxa"/>
          </w:tblCellMar>
        </w:tblPrEx>
        <w:trPr>
          <w:trHeight w:val="1320" w:hRule="atLeast"/>
        </w:trPr>
        <w:tc>
          <w:tcPr>
            <w:tcW w:w="1068" w:type="pct"/>
            <w:gridSpan w:val="2"/>
            <w:tcBorders>
              <w:top w:val="nil"/>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10.系统可扩展性</w:t>
            </w:r>
          </w:p>
        </w:tc>
        <w:tc>
          <w:tcPr>
            <w:tcW w:w="3932" w:type="pct"/>
            <w:tcBorders>
              <w:top w:val="nil"/>
              <w:left w:val="nil"/>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系统容量应适当预留，可满足招标人未来扩大分站数量的需求。垂直提升系统可根据医院的传输数量及效率需要，在垂直方向上可扩展、增加运送箱位数，最少不低于六箱位。</w:t>
            </w:r>
            <w:r>
              <w:rPr>
                <w:rFonts w:hint="eastAsia" w:ascii="宋体" w:hAnsi="宋体" w:cs="宋体"/>
                <w:b/>
                <w:bCs/>
                <w:i w:val="0"/>
                <w:caps w:val="0"/>
                <w:color w:val="auto"/>
                <w:spacing w:val="0"/>
                <w:w w:val="100"/>
                <w:sz w:val="21"/>
                <w:szCs w:val="21"/>
              </w:rPr>
              <w:t>投标文件中需提供可扩展增箱位的技术实现方案。</w:t>
            </w:r>
          </w:p>
        </w:tc>
      </w:tr>
      <w:tr>
        <w:tblPrEx>
          <w:tblCellMar>
            <w:top w:w="0" w:type="dxa"/>
            <w:left w:w="108" w:type="dxa"/>
            <w:bottom w:w="0" w:type="dxa"/>
            <w:right w:w="108" w:type="dxa"/>
          </w:tblCellMar>
        </w:tblPrEx>
        <w:trPr>
          <w:trHeight w:val="480" w:hRule="atLeast"/>
        </w:trPr>
        <w:tc>
          <w:tcPr>
            <w:tcW w:w="1068" w:type="pct"/>
            <w:gridSpan w:val="2"/>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11.设计使用寿命</w:t>
            </w:r>
          </w:p>
        </w:tc>
        <w:tc>
          <w:tcPr>
            <w:tcW w:w="3932" w:type="pct"/>
            <w:tcBorders>
              <w:top w:val="single" w:color="auto" w:sz="4" w:space="0"/>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系统使用寿命≥30年。</w:t>
            </w:r>
          </w:p>
        </w:tc>
      </w:tr>
      <w:tr>
        <w:tblPrEx>
          <w:tblCellMar>
            <w:top w:w="0" w:type="dxa"/>
            <w:left w:w="108" w:type="dxa"/>
            <w:bottom w:w="0" w:type="dxa"/>
            <w:right w:w="108" w:type="dxa"/>
          </w:tblCellMar>
        </w:tblPrEx>
        <w:trPr>
          <w:trHeight w:val="55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二、中型箱式物流传输系统主要技术要求</w:t>
            </w:r>
          </w:p>
        </w:tc>
      </w:tr>
      <w:tr>
        <w:tblPrEx>
          <w:tblCellMar>
            <w:top w:w="0" w:type="dxa"/>
            <w:left w:w="108" w:type="dxa"/>
            <w:bottom w:w="0" w:type="dxa"/>
            <w:right w:w="108" w:type="dxa"/>
          </w:tblCellMar>
        </w:tblPrEx>
        <w:trPr>
          <w:trHeight w:val="825" w:hRule="atLeast"/>
        </w:trPr>
        <w:tc>
          <w:tcPr>
            <w:tcW w:w="1068" w:type="pct"/>
            <w:gridSpan w:val="2"/>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1.总述</w:t>
            </w:r>
          </w:p>
        </w:tc>
        <w:tc>
          <w:tcPr>
            <w:tcW w:w="3932" w:type="pct"/>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系统组成：系统由水平传输分拣、垂直传输分拣、智能工作站点、传输控制系统、上位机软件系统、物资传输周转箱等组成。</w:t>
            </w:r>
          </w:p>
        </w:tc>
      </w:tr>
      <w:tr>
        <w:tblPrEx>
          <w:tblCellMar>
            <w:top w:w="0" w:type="dxa"/>
            <w:left w:w="108" w:type="dxa"/>
            <w:bottom w:w="0" w:type="dxa"/>
            <w:right w:w="108" w:type="dxa"/>
          </w:tblCellMar>
        </w:tblPrEx>
        <w:trPr>
          <w:trHeight w:val="480"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2.垂直传输分拣系统</w:t>
            </w:r>
          </w:p>
        </w:tc>
      </w:tr>
      <w:tr>
        <w:tblPrEx>
          <w:tblCellMar>
            <w:top w:w="0" w:type="dxa"/>
            <w:left w:w="108" w:type="dxa"/>
            <w:bottom w:w="0" w:type="dxa"/>
            <w:right w:w="108" w:type="dxa"/>
          </w:tblCellMar>
        </w:tblPrEx>
        <w:trPr>
          <w:trHeight w:val="49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2.1垂直传输分拣系统分类</w:t>
            </w:r>
          </w:p>
        </w:tc>
      </w:tr>
      <w:tr>
        <w:tblPrEx>
          <w:tblCellMar>
            <w:top w:w="0" w:type="dxa"/>
            <w:left w:w="108" w:type="dxa"/>
            <w:bottom w:w="0" w:type="dxa"/>
            <w:right w:w="108" w:type="dxa"/>
          </w:tblCellMar>
        </w:tblPrEx>
        <w:trPr>
          <w:trHeight w:val="585" w:hRule="atLeast"/>
        </w:trPr>
        <w:tc>
          <w:tcPr>
            <w:tcW w:w="1068" w:type="pct"/>
            <w:gridSpan w:val="2"/>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分类</w:t>
            </w:r>
          </w:p>
        </w:tc>
        <w:tc>
          <w:tcPr>
            <w:tcW w:w="3932" w:type="pct"/>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主要有高层垂直分拣机</w:t>
            </w:r>
          </w:p>
        </w:tc>
      </w:tr>
      <w:tr>
        <w:tblPrEx>
          <w:tblCellMar>
            <w:top w:w="0" w:type="dxa"/>
            <w:left w:w="108" w:type="dxa"/>
            <w:bottom w:w="0" w:type="dxa"/>
            <w:right w:w="108" w:type="dxa"/>
          </w:tblCellMar>
        </w:tblPrEx>
        <w:trPr>
          <w:trHeight w:val="61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2.2高层垂直分拣机</w:t>
            </w:r>
          </w:p>
        </w:tc>
      </w:tr>
      <w:tr>
        <w:tblPrEx>
          <w:tblCellMar>
            <w:top w:w="0" w:type="dxa"/>
            <w:left w:w="108" w:type="dxa"/>
            <w:bottom w:w="0" w:type="dxa"/>
            <w:right w:w="108" w:type="dxa"/>
          </w:tblCellMar>
        </w:tblPrEx>
        <w:trPr>
          <w:trHeight w:val="1275" w:hRule="atLeast"/>
        </w:trPr>
        <w:tc>
          <w:tcPr>
            <w:tcW w:w="1068" w:type="pct"/>
            <w:gridSpan w:val="2"/>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2.2.1</w:t>
            </w:r>
          </w:p>
        </w:tc>
        <w:tc>
          <w:tcPr>
            <w:tcW w:w="3932" w:type="pct"/>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高层垂直分拣机为高速分拣结构，为保证垂直分拣的安全性，系统由(包含但不限于)：曳引机、曳引机制动器、渐进式安全钳、限速器自动门、自动防火门、箱内分拣设备等部件构成。具有高效、静音、可靠、安全的特点。</w:t>
            </w:r>
          </w:p>
        </w:tc>
      </w:tr>
      <w:tr>
        <w:tblPrEx>
          <w:tblCellMar>
            <w:top w:w="0" w:type="dxa"/>
            <w:left w:w="108" w:type="dxa"/>
            <w:bottom w:w="0" w:type="dxa"/>
            <w:right w:w="108" w:type="dxa"/>
          </w:tblCellMar>
        </w:tblPrEx>
        <w:trPr>
          <w:trHeight w:val="2880"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▲2.2.2</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为保障未来使用效率需求，提升速度≥1.75m/s，在图纸规定的井道尺寸内，单个垂直提升设备的轿厢内可以同时进入、并且承载不少于四个标准周转箱(</w:t>
            </w:r>
            <w:r>
              <w:rPr>
                <w:rFonts w:hint="eastAsia"/>
                <w:b w:val="0"/>
                <w:i w:val="0"/>
                <w:caps w:val="0"/>
                <w:color w:val="auto"/>
                <w:spacing w:val="0"/>
                <w:w w:val="100"/>
                <w:sz w:val="20"/>
                <w:szCs w:val="20"/>
                <w:lang w:bidi="ar"/>
              </w:rPr>
              <w:t>容积为0.06立方米，具体周转箱尺寸根据现场实际井道尺寸，并在进场前需经过业主确认箱体规格和同意后方可进场。</w:t>
            </w:r>
            <w:r>
              <w:rPr>
                <w:rFonts w:hint="eastAsia" w:ascii="宋体" w:hAnsi="宋体" w:cs="宋体"/>
                <w:b w:val="0"/>
                <w:i w:val="0"/>
                <w:caps w:val="0"/>
                <w:color w:val="auto"/>
                <w:spacing w:val="0"/>
                <w:w w:val="100"/>
                <w:sz w:val="21"/>
                <w:szCs w:val="21"/>
              </w:rPr>
              <w:t>)，在一个往复循环内传送至垂直方向上的不同目的地。</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投标文件中需提供详细说明，井提供已运行使用医院的照片、医院出具的使用证明</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840"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2.2.3</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垂直分拣机工作时噪声指标不得大于45分贝，</w:t>
            </w:r>
            <w:r>
              <w:rPr>
                <w:rFonts w:hint="eastAsia" w:ascii="宋体" w:hAnsi="宋体" w:cs="宋体"/>
                <w:b/>
                <w:bCs/>
                <w:i w:val="0"/>
                <w:caps w:val="0"/>
                <w:color w:val="auto"/>
                <w:spacing w:val="0"/>
                <w:w w:val="100"/>
                <w:sz w:val="21"/>
                <w:szCs w:val="21"/>
              </w:rPr>
              <w:t>投标文件需提供</w:t>
            </w:r>
            <w:r>
              <w:rPr>
                <w:rFonts w:hint="eastAsia"/>
                <w:b/>
                <w:bCs/>
                <w:i w:val="0"/>
                <w:caps w:val="0"/>
                <w:color w:val="auto"/>
                <w:spacing w:val="0"/>
                <w:w w:val="100"/>
                <w:sz w:val="20"/>
                <w:szCs w:val="20"/>
                <w:lang w:bidi="ar"/>
              </w:rPr>
              <w:t>CNAS或CMA</w:t>
            </w:r>
            <w:r>
              <w:rPr>
                <w:rFonts w:hint="eastAsia"/>
                <w:b/>
                <w:bCs/>
                <w:i w:val="0"/>
                <w:caps w:val="0"/>
                <w:color w:val="auto"/>
                <w:spacing w:val="0"/>
                <w:w w:val="100"/>
                <w:sz w:val="20"/>
                <w:szCs w:val="20"/>
              </w:rPr>
              <w:t>标识的</w:t>
            </w:r>
            <w:r>
              <w:rPr>
                <w:rFonts w:hint="eastAsia" w:ascii="宋体" w:hAnsi="宋体" w:cs="宋体"/>
                <w:b/>
                <w:bCs/>
                <w:i w:val="0"/>
                <w:caps w:val="0"/>
                <w:color w:val="auto"/>
                <w:spacing w:val="0"/>
                <w:w w:val="100"/>
                <w:sz w:val="21"/>
                <w:szCs w:val="21"/>
              </w:rPr>
              <w:t>第三方</w:t>
            </w:r>
            <w:r>
              <w:rPr>
                <w:rFonts w:hint="eastAsia" w:ascii="宋体" w:hAnsi="宋体" w:cs="宋体"/>
                <w:b/>
                <w:bCs/>
                <w:i w:val="0"/>
                <w:caps w:val="0"/>
                <w:color w:val="auto"/>
                <w:spacing w:val="0"/>
                <w:w w:val="100"/>
                <w:sz w:val="21"/>
                <w:szCs w:val="21"/>
              </w:rPr>
              <w:t>检测</w:t>
            </w:r>
            <w:r>
              <w:rPr>
                <w:rFonts w:hint="eastAsia" w:ascii="宋体" w:hAnsi="宋体" w:cs="宋体"/>
                <w:b/>
                <w:bCs/>
                <w:i w:val="0"/>
                <w:caps w:val="0"/>
                <w:color w:val="auto"/>
                <w:spacing w:val="0"/>
                <w:w w:val="100"/>
                <w:sz w:val="21"/>
                <w:szCs w:val="21"/>
              </w:rPr>
              <w:t>机构出具的检验报告</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615" w:hRule="atLeast"/>
        </w:trPr>
        <w:tc>
          <w:tcPr>
            <w:tcW w:w="1062" w:type="pct"/>
            <w:vMerge w:val="continue"/>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垂直传输分拣效率≥320箱/小时。</w:t>
            </w:r>
          </w:p>
        </w:tc>
      </w:tr>
      <w:tr>
        <w:tblPrEx>
          <w:tblCellMar>
            <w:top w:w="0" w:type="dxa"/>
            <w:left w:w="108" w:type="dxa"/>
            <w:bottom w:w="0" w:type="dxa"/>
            <w:right w:w="108" w:type="dxa"/>
          </w:tblCellMar>
        </w:tblPrEx>
        <w:trPr>
          <w:trHeight w:val="645"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▲2.2.4</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垂直分拣机具备应急故障处理系统。</w:t>
            </w:r>
          </w:p>
        </w:tc>
      </w:tr>
      <w:tr>
        <w:tblPrEx>
          <w:tblCellMar>
            <w:top w:w="0" w:type="dxa"/>
            <w:left w:w="108" w:type="dxa"/>
            <w:bottom w:w="0" w:type="dxa"/>
            <w:right w:w="108" w:type="dxa"/>
          </w:tblCellMar>
        </w:tblPrEx>
        <w:trPr>
          <w:trHeight w:val="1365" w:hRule="atLeast"/>
        </w:trPr>
        <w:tc>
          <w:tcPr>
            <w:tcW w:w="1062" w:type="pct"/>
            <w:vMerge w:val="continue"/>
            <w:tcBorders>
              <w:top w:val="single" w:color="auto" w:sz="8"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运行时，当遇到停电或其他突发故障时，可采用垂直分拣机的应急控制系统，通过备用控制电源，系统可自动打开曳引机抱闸，以设定的安全速度，通过定位系统反馈的实时位置数据，将轿厢自动平层输运到最近的楼层，手动取出轿厢内的周转箱或传输的物品。</w:t>
            </w:r>
          </w:p>
        </w:tc>
      </w:tr>
      <w:tr>
        <w:tblPrEx>
          <w:tblCellMar>
            <w:top w:w="0" w:type="dxa"/>
            <w:left w:w="108" w:type="dxa"/>
            <w:bottom w:w="0" w:type="dxa"/>
            <w:right w:w="108" w:type="dxa"/>
          </w:tblCellMar>
        </w:tblPrEx>
        <w:trPr>
          <w:trHeight w:val="46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3、智能工作站点</w:t>
            </w:r>
          </w:p>
        </w:tc>
      </w:tr>
      <w:tr>
        <w:tblPrEx>
          <w:tblCellMar>
            <w:top w:w="0" w:type="dxa"/>
            <w:left w:w="108" w:type="dxa"/>
            <w:bottom w:w="0" w:type="dxa"/>
            <w:right w:w="108" w:type="dxa"/>
          </w:tblCellMar>
        </w:tblPrEx>
        <w:trPr>
          <w:trHeight w:val="43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3.1智能工作站点</w:t>
            </w:r>
          </w:p>
        </w:tc>
      </w:tr>
      <w:tr>
        <w:tblPrEx>
          <w:tblCellMar>
            <w:top w:w="0" w:type="dxa"/>
            <w:left w:w="108" w:type="dxa"/>
            <w:bottom w:w="0" w:type="dxa"/>
            <w:right w:w="108" w:type="dxa"/>
          </w:tblCellMar>
        </w:tblPrEx>
        <w:trPr>
          <w:trHeight w:val="2190"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3.1.1</w:t>
            </w:r>
          </w:p>
        </w:tc>
        <w:tc>
          <w:tcPr>
            <w:tcW w:w="3938" w:type="pct"/>
            <w:gridSpan w:val="2"/>
            <w:tcBorders>
              <w:top w:val="single" w:color="auto" w:sz="4" w:space="0"/>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工作站的收发为上下或水平双轨结构，具备独立的发送和接收通道，任意站点间可相互发送、接收，每条通道至少可以停放不少于两个标准传输箱。发送工作站具备触摸屏操作或语音指令选择目的地的双重功能。具备站点名称显示、到货提醒、设备运行状态显示等功能。物流站点需配备语音提醒报警功能，在收发货及设备故障、箱位占满的情况下报警提醒。站点可安装蜂鸣器、语音提示器或客户端提醒功能，进行远距离提醒。</w:t>
            </w:r>
          </w:p>
        </w:tc>
      </w:tr>
      <w:tr>
        <w:tblPrEx>
          <w:tblCellMar>
            <w:top w:w="0" w:type="dxa"/>
            <w:left w:w="108" w:type="dxa"/>
            <w:bottom w:w="0" w:type="dxa"/>
            <w:right w:w="108" w:type="dxa"/>
          </w:tblCellMar>
        </w:tblPrEx>
        <w:trPr>
          <w:trHeight w:val="9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3.1.2站点显示</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站点配备大于等于21英寸触摸屏。可显示站点名称、实时显示语音交互内容、到货提醒、货物运送状态、设备运行状态、时间、日历、医院文宣等内容。</w:t>
            </w:r>
          </w:p>
        </w:tc>
      </w:tr>
      <w:tr>
        <w:tblPrEx>
          <w:tblCellMar>
            <w:top w:w="0" w:type="dxa"/>
            <w:left w:w="108" w:type="dxa"/>
            <w:bottom w:w="0" w:type="dxa"/>
            <w:right w:w="108" w:type="dxa"/>
          </w:tblCellMar>
        </w:tblPrEx>
        <w:trPr>
          <w:trHeight w:val="82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3.1.3声光指示</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物流站点具备声光指示器，用于提醒操作人员载物箱到达信息及站点满箱信息。</w:t>
            </w:r>
          </w:p>
        </w:tc>
      </w:tr>
      <w:tr>
        <w:tblPrEx>
          <w:tblCellMar>
            <w:top w:w="0" w:type="dxa"/>
            <w:left w:w="108" w:type="dxa"/>
            <w:bottom w:w="0" w:type="dxa"/>
            <w:right w:w="108" w:type="dxa"/>
          </w:tblCellMar>
        </w:tblPrEx>
        <w:trPr>
          <w:trHeight w:val="90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3.1.4噪音控制</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物流站点工作时噪声指标不得大于45分贝。</w:t>
            </w:r>
            <w:r>
              <w:rPr>
                <w:rFonts w:hint="eastAsia" w:ascii="宋体" w:hAnsi="宋体" w:cs="宋体"/>
                <w:b/>
                <w:bCs/>
                <w:i w:val="0"/>
                <w:caps w:val="0"/>
                <w:color w:val="auto"/>
                <w:spacing w:val="0"/>
                <w:w w:val="100"/>
                <w:sz w:val="21"/>
                <w:szCs w:val="21"/>
              </w:rPr>
              <w:t>投标文件需提供</w:t>
            </w:r>
            <w:r>
              <w:rPr>
                <w:rFonts w:hint="eastAsia"/>
                <w:b/>
                <w:bCs/>
                <w:i w:val="0"/>
                <w:caps w:val="0"/>
                <w:color w:val="auto"/>
                <w:spacing w:val="0"/>
                <w:w w:val="100"/>
                <w:sz w:val="20"/>
                <w:szCs w:val="20"/>
                <w:lang w:bidi="ar"/>
              </w:rPr>
              <w:t>CNAS或CMA</w:t>
            </w:r>
            <w:r>
              <w:rPr>
                <w:rFonts w:hint="eastAsia"/>
                <w:b/>
                <w:bCs/>
                <w:i w:val="0"/>
                <w:caps w:val="0"/>
                <w:color w:val="auto"/>
                <w:spacing w:val="0"/>
                <w:w w:val="100"/>
                <w:sz w:val="20"/>
                <w:szCs w:val="20"/>
              </w:rPr>
              <w:t>标识的</w:t>
            </w:r>
            <w:r>
              <w:rPr>
                <w:rFonts w:hint="eastAsia" w:ascii="宋体" w:hAnsi="宋体" w:cs="宋体"/>
                <w:b/>
                <w:bCs/>
                <w:i w:val="0"/>
                <w:caps w:val="0"/>
                <w:color w:val="auto"/>
                <w:spacing w:val="0"/>
                <w:w w:val="100"/>
                <w:sz w:val="21"/>
                <w:szCs w:val="21"/>
              </w:rPr>
              <w:t>第三方</w:t>
            </w:r>
            <w:r>
              <w:rPr>
                <w:rFonts w:hint="eastAsia" w:ascii="宋体" w:hAnsi="宋体" w:cs="宋体"/>
                <w:b/>
                <w:bCs/>
                <w:i w:val="0"/>
                <w:caps w:val="0"/>
                <w:color w:val="auto"/>
                <w:spacing w:val="0"/>
                <w:w w:val="100"/>
                <w:sz w:val="21"/>
                <w:szCs w:val="21"/>
              </w:rPr>
              <w:t>检测</w:t>
            </w:r>
            <w:r>
              <w:rPr>
                <w:rFonts w:hint="eastAsia" w:ascii="宋体" w:hAnsi="宋体" w:cs="宋体"/>
                <w:b/>
                <w:bCs/>
                <w:i w:val="0"/>
                <w:caps w:val="0"/>
                <w:color w:val="auto"/>
                <w:spacing w:val="0"/>
                <w:w w:val="100"/>
                <w:sz w:val="21"/>
                <w:szCs w:val="21"/>
              </w:rPr>
              <w:t>机构出具的检验报告</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1946"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▲3.1.5智能监控系统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在所有收发站点设置监控系统。实现在任意一个站点，可根据时间列表或根据周转箱条码/芯片信息，查询不少于一周内每箱物资的发送、在途、及接收的监控信息及画面，实现物品的全程追溯和电子化签收的追溯管理。</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投标文件需提供</w:t>
            </w:r>
            <w:r>
              <w:rPr>
                <w:rFonts w:hint="eastAsia"/>
                <w:b/>
                <w:bCs/>
                <w:i w:val="0"/>
                <w:caps w:val="0"/>
                <w:color w:val="auto"/>
                <w:spacing w:val="0"/>
                <w:w w:val="100"/>
                <w:sz w:val="20"/>
                <w:szCs w:val="20"/>
                <w:lang w:bidi="ar"/>
              </w:rPr>
              <w:t>CNAS或CMA</w:t>
            </w:r>
            <w:r>
              <w:rPr>
                <w:rFonts w:hint="eastAsia"/>
                <w:b/>
                <w:bCs/>
                <w:i w:val="0"/>
                <w:caps w:val="0"/>
                <w:color w:val="auto"/>
                <w:spacing w:val="0"/>
                <w:w w:val="100"/>
                <w:sz w:val="20"/>
                <w:szCs w:val="20"/>
              </w:rPr>
              <w:t>标识的</w:t>
            </w:r>
            <w:r>
              <w:rPr>
                <w:rFonts w:hint="eastAsia" w:ascii="宋体" w:hAnsi="宋体" w:cs="宋体"/>
                <w:b/>
                <w:bCs/>
                <w:i w:val="0"/>
                <w:caps w:val="0"/>
                <w:color w:val="auto"/>
                <w:spacing w:val="0"/>
                <w:w w:val="100"/>
                <w:sz w:val="21"/>
                <w:szCs w:val="21"/>
              </w:rPr>
              <w:t>第三方</w:t>
            </w:r>
            <w:r>
              <w:rPr>
                <w:rFonts w:hint="eastAsia" w:ascii="宋体" w:hAnsi="宋体" w:cs="宋体"/>
                <w:b/>
                <w:bCs/>
                <w:i w:val="0"/>
                <w:caps w:val="0"/>
                <w:color w:val="auto"/>
                <w:spacing w:val="0"/>
                <w:w w:val="100"/>
                <w:sz w:val="21"/>
                <w:szCs w:val="21"/>
              </w:rPr>
              <w:t>检测</w:t>
            </w:r>
            <w:r>
              <w:rPr>
                <w:rFonts w:hint="eastAsia" w:ascii="宋体" w:hAnsi="宋体" w:cs="宋体"/>
                <w:b/>
                <w:bCs/>
                <w:i w:val="0"/>
                <w:caps w:val="0"/>
                <w:color w:val="auto"/>
                <w:spacing w:val="0"/>
                <w:w w:val="100"/>
                <w:sz w:val="21"/>
                <w:szCs w:val="21"/>
              </w:rPr>
              <w:t>机构出具的检验报告</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1379"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3.1.6语音通话系统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站点需配置语音通话功能，可通过站点触摸屏，实现任意两个站点之间，一键呼叫，语音实时通话。</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投标文件需提供</w:t>
            </w:r>
            <w:r>
              <w:rPr>
                <w:rFonts w:hint="eastAsia"/>
                <w:b/>
                <w:bCs/>
                <w:i w:val="0"/>
                <w:caps w:val="0"/>
                <w:color w:val="auto"/>
                <w:spacing w:val="0"/>
                <w:w w:val="100"/>
                <w:sz w:val="20"/>
                <w:szCs w:val="20"/>
                <w:lang w:bidi="ar"/>
              </w:rPr>
              <w:t>CNAS或CMA</w:t>
            </w:r>
            <w:r>
              <w:rPr>
                <w:rFonts w:hint="eastAsia"/>
                <w:b/>
                <w:bCs/>
                <w:i w:val="0"/>
                <w:caps w:val="0"/>
                <w:color w:val="auto"/>
                <w:spacing w:val="0"/>
                <w:w w:val="100"/>
                <w:sz w:val="20"/>
                <w:szCs w:val="20"/>
              </w:rPr>
              <w:t>标识的</w:t>
            </w:r>
            <w:r>
              <w:rPr>
                <w:rFonts w:hint="eastAsia" w:ascii="宋体" w:hAnsi="宋体" w:cs="宋体"/>
                <w:b/>
                <w:bCs/>
                <w:i w:val="0"/>
                <w:caps w:val="0"/>
                <w:color w:val="auto"/>
                <w:spacing w:val="0"/>
                <w:w w:val="100"/>
                <w:sz w:val="21"/>
                <w:szCs w:val="21"/>
              </w:rPr>
              <w:t>第三方</w:t>
            </w:r>
            <w:r>
              <w:rPr>
                <w:rFonts w:hint="eastAsia" w:ascii="宋体" w:hAnsi="宋体" w:cs="宋体"/>
                <w:b/>
                <w:bCs/>
                <w:i w:val="0"/>
                <w:caps w:val="0"/>
                <w:color w:val="auto"/>
                <w:spacing w:val="0"/>
                <w:w w:val="100"/>
                <w:sz w:val="21"/>
                <w:szCs w:val="21"/>
              </w:rPr>
              <w:t>检测</w:t>
            </w:r>
            <w:r>
              <w:rPr>
                <w:rFonts w:hint="eastAsia" w:ascii="宋体" w:hAnsi="宋体" w:cs="宋体"/>
                <w:b/>
                <w:bCs/>
                <w:i w:val="0"/>
                <w:caps w:val="0"/>
                <w:color w:val="auto"/>
                <w:spacing w:val="0"/>
                <w:w w:val="100"/>
                <w:sz w:val="21"/>
                <w:szCs w:val="21"/>
              </w:rPr>
              <w:t>机构出具的检验报告</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900" w:hRule="atLeast"/>
        </w:trPr>
        <w:tc>
          <w:tcPr>
            <w:tcW w:w="1062" w:type="pc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3.1.7人脸识别系统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站点配置人脸识别系统，和整体物流系统的上位系统对接、通过人脸自动识别解锁操作人员权限，授权进行相关操作。</w:t>
            </w:r>
          </w:p>
        </w:tc>
      </w:tr>
      <w:tr>
        <w:tblPrEx>
          <w:tblCellMar>
            <w:top w:w="0" w:type="dxa"/>
            <w:left w:w="108" w:type="dxa"/>
            <w:bottom w:w="0" w:type="dxa"/>
            <w:right w:w="108" w:type="dxa"/>
          </w:tblCellMar>
        </w:tblPrEx>
        <w:trPr>
          <w:trHeight w:val="558"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3.1.8</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工作站外观需符合医院装修风格。(提供实物图片)</w:t>
            </w:r>
          </w:p>
        </w:tc>
      </w:tr>
      <w:tr>
        <w:tblPrEx>
          <w:tblCellMar>
            <w:top w:w="0" w:type="dxa"/>
            <w:left w:w="108" w:type="dxa"/>
            <w:bottom w:w="0" w:type="dxa"/>
            <w:right w:w="108" w:type="dxa"/>
          </w:tblCellMar>
        </w:tblPrEx>
        <w:trPr>
          <w:trHeight w:val="570"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4.水平传输分拣系统</w:t>
            </w:r>
          </w:p>
        </w:tc>
      </w:tr>
      <w:tr>
        <w:tblPrEx>
          <w:tblCellMar>
            <w:top w:w="0" w:type="dxa"/>
            <w:left w:w="108" w:type="dxa"/>
            <w:bottom w:w="0" w:type="dxa"/>
            <w:right w:w="108" w:type="dxa"/>
          </w:tblCellMar>
        </w:tblPrEx>
        <w:trPr>
          <w:trHeight w:val="570"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4.1水平传输分拣系统技术要求</w:t>
            </w:r>
          </w:p>
        </w:tc>
      </w:tr>
      <w:tr>
        <w:tblPrEx>
          <w:tblCellMar>
            <w:top w:w="0" w:type="dxa"/>
            <w:left w:w="108" w:type="dxa"/>
            <w:bottom w:w="0" w:type="dxa"/>
            <w:right w:w="108" w:type="dxa"/>
          </w:tblCellMar>
        </w:tblPrEx>
        <w:trPr>
          <w:trHeight w:val="1118" w:hRule="atLeast"/>
        </w:trPr>
        <w:tc>
          <w:tcPr>
            <w:tcW w:w="1062" w:type="pct"/>
            <w:tcBorders>
              <w:top w:val="single" w:color="auto" w:sz="8" w:space="0"/>
              <w:left w:val="single" w:color="auto" w:sz="8" w:space="0"/>
              <w:bottom w:val="nil"/>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4.1.1</w:t>
            </w:r>
          </w:p>
        </w:tc>
        <w:tc>
          <w:tcPr>
            <w:tcW w:w="3938" w:type="pct"/>
            <w:gridSpan w:val="2"/>
            <w:tcBorders>
              <w:top w:val="single" w:color="auto" w:sz="4" w:space="0"/>
              <w:left w:val="single" w:color="auto" w:sz="4"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水平传输分拣系统采用电滚筒驱动方式或双侧皮带传输方式。传输速度≥0.5m/s</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投标文件中需提供实物照片。</w:t>
            </w:r>
          </w:p>
        </w:tc>
      </w:tr>
      <w:tr>
        <w:tblPrEx>
          <w:tblCellMar>
            <w:top w:w="0" w:type="dxa"/>
            <w:left w:w="108" w:type="dxa"/>
            <w:bottom w:w="0" w:type="dxa"/>
            <w:right w:w="108" w:type="dxa"/>
          </w:tblCellMar>
        </w:tblPrEx>
        <w:trPr>
          <w:trHeight w:val="1035"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4.1.2</w:t>
            </w:r>
          </w:p>
        </w:tc>
        <w:tc>
          <w:tcPr>
            <w:tcW w:w="3938" w:type="pct"/>
            <w:gridSpan w:val="2"/>
            <w:tcBorders>
              <w:top w:val="single" w:color="auto" w:sz="4" w:space="0"/>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水平传输线工作时噪声指标不得大于45分贝。</w:t>
            </w:r>
            <w:r>
              <w:rPr>
                <w:rFonts w:hint="eastAsia" w:ascii="宋体" w:hAnsi="宋体" w:cs="宋体"/>
                <w:b/>
                <w:bCs/>
                <w:i w:val="0"/>
                <w:caps w:val="0"/>
                <w:color w:val="auto"/>
                <w:spacing w:val="0"/>
                <w:w w:val="100"/>
                <w:sz w:val="21"/>
                <w:szCs w:val="21"/>
              </w:rPr>
              <w:t>投标文件需提供</w:t>
            </w:r>
            <w:r>
              <w:rPr>
                <w:rFonts w:hint="eastAsia"/>
                <w:b/>
                <w:bCs/>
                <w:i w:val="0"/>
                <w:caps w:val="0"/>
                <w:color w:val="auto"/>
                <w:spacing w:val="0"/>
                <w:w w:val="100"/>
                <w:sz w:val="20"/>
                <w:szCs w:val="20"/>
                <w:lang w:bidi="ar"/>
              </w:rPr>
              <w:t>CNAS或CMA</w:t>
            </w:r>
            <w:r>
              <w:rPr>
                <w:rFonts w:hint="eastAsia"/>
                <w:b/>
                <w:bCs/>
                <w:i w:val="0"/>
                <w:caps w:val="0"/>
                <w:color w:val="auto"/>
                <w:spacing w:val="0"/>
                <w:w w:val="100"/>
                <w:sz w:val="20"/>
                <w:szCs w:val="20"/>
              </w:rPr>
              <w:t>标识的</w:t>
            </w:r>
            <w:r>
              <w:rPr>
                <w:rFonts w:hint="eastAsia" w:ascii="宋体" w:hAnsi="宋体" w:cs="宋体"/>
                <w:b/>
                <w:bCs/>
                <w:i w:val="0"/>
                <w:caps w:val="0"/>
                <w:color w:val="auto"/>
                <w:spacing w:val="0"/>
                <w:w w:val="100"/>
                <w:sz w:val="21"/>
                <w:szCs w:val="21"/>
              </w:rPr>
              <w:t>第三方</w:t>
            </w:r>
            <w:r>
              <w:rPr>
                <w:rFonts w:hint="eastAsia" w:ascii="宋体" w:hAnsi="宋体" w:cs="宋体"/>
                <w:b/>
                <w:bCs/>
                <w:i w:val="0"/>
                <w:caps w:val="0"/>
                <w:color w:val="auto"/>
                <w:spacing w:val="0"/>
                <w:w w:val="100"/>
                <w:sz w:val="21"/>
                <w:szCs w:val="21"/>
              </w:rPr>
              <w:t>检测</w:t>
            </w:r>
            <w:r>
              <w:rPr>
                <w:rFonts w:hint="eastAsia" w:ascii="宋体" w:hAnsi="宋体" w:cs="宋体"/>
                <w:b/>
                <w:bCs/>
                <w:i w:val="0"/>
                <w:caps w:val="0"/>
                <w:color w:val="auto"/>
                <w:spacing w:val="0"/>
                <w:w w:val="100"/>
                <w:sz w:val="21"/>
                <w:szCs w:val="21"/>
              </w:rPr>
              <w:t>机构出具的检验报告</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54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4.1.3</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水平传输分拣线通过率≥1000箱/小时。</w:t>
            </w:r>
          </w:p>
        </w:tc>
      </w:tr>
      <w:tr>
        <w:tblPrEx>
          <w:tblCellMar>
            <w:top w:w="0" w:type="dxa"/>
            <w:left w:w="108" w:type="dxa"/>
            <w:bottom w:w="0" w:type="dxa"/>
            <w:right w:w="108" w:type="dxa"/>
          </w:tblCellMar>
        </w:tblPrEx>
        <w:trPr>
          <w:trHeight w:val="468"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4.1.4</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监测装置：每个独立的传输单元具备光电监测功能，可实时上传至中心控制室。</w:t>
            </w:r>
          </w:p>
        </w:tc>
      </w:tr>
      <w:tr>
        <w:tblPrEx>
          <w:tblCellMar>
            <w:top w:w="0" w:type="dxa"/>
            <w:left w:w="108" w:type="dxa"/>
            <w:bottom w:w="0" w:type="dxa"/>
            <w:right w:w="108" w:type="dxa"/>
          </w:tblCellMar>
        </w:tblPrEx>
        <w:trPr>
          <w:trHeight w:val="478"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4.2水平传输分拣线模组机架及技术要求</w:t>
            </w:r>
          </w:p>
        </w:tc>
      </w:tr>
      <w:tr>
        <w:tblPrEx>
          <w:tblCellMar>
            <w:top w:w="0" w:type="dxa"/>
            <w:left w:w="108" w:type="dxa"/>
            <w:bottom w:w="0" w:type="dxa"/>
            <w:right w:w="108" w:type="dxa"/>
          </w:tblCellMar>
        </w:tblPrEx>
        <w:trPr>
          <w:trHeight w:val="85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4.2.1组成</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水平传输分拣线模组机架使用≥2.5mm高强度冷轧碳钢/铝合金材料制造，确保传输线模组机架强度。冷轧碳钢表面需进行防锈喷塑处理。</w:t>
            </w:r>
          </w:p>
        </w:tc>
      </w:tr>
      <w:tr>
        <w:tblPrEx>
          <w:tblCellMar>
            <w:top w:w="0" w:type="dxa"/>
            <w:left w:w="108" w:type="dxa"/>
            <w:bottom w:w="0" w:type="dxa"/>
            <w:right w:w="108" w:type="dxa"/>
          </w:tblCellMar>
        </w:tblPrEx>
        <w:trPr>
          <w:trHeight w:val="570" w:hRule="atLeast"/>
        </w:trPr>
        <w:tc>
          <w:tcPr>
            <w:tcW w:w="5000" w:type="pct"/>
            <w:gridSpan w:val="3"/>
            <w:tcBorders>
              <w:top w:val="single" w:color="auto" w:sz="8" w:space="0"/>
              <w:left w:val="single" w:color="auto" w:sz="8" w:space="0"/>
              <w:bottom w:val="single" w:color="auto" w:sz="8" w:space="0"/>
              <w:right w:val="single" w:color="000000"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4.3平行换轨器或转向器设备</w:t>
            </w:r>
          </w:p>
        </w:tc>
      </w:tr>
      <w:tr>
        <w:tblPrEx>
          <w:tblCellMar>
            <w:top w:w="0" w:type="dxa"/>
            <w:left w:w="108" w:type="dxa"/>
            <w:bottom w:w="0" w:type="dxa"/>
            <w:right w:w="108" w:type="dxa"/>
          </w:tblCellMar>
        </w:tblPrEx>
        <w:trPr>
          <w:trHeight w:val="1503" w:hRule="atLeast"/>
        </w:trPr>
        <w:tc>
          <w:tcPr>
            <w:tcW w:w="1062" w:type="pc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4.3.1</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平行换轨器可实现水平传输线之间的自动水平切换移动，无需旋转。内置传感器，能自动精确定位到相应位置，重复定位精度小于0.2mm，平行换轨器可以实现提前换轨，周转箱到达时无需等待。</w:t>
            </w:r>
          </w:p>
        </w:tc>
      </w:tr>
      <w:tr>
        <w:tblPrEx>
          <w:tblCellMar>
            <w:top w:w="0" w:type="dxa"/>
            <w:left w:w="108" w:type="dxa"/>
            <w:bottom w:w="0" w:type="dxa"/>
            <w:right w:w="108" w:type="dxa"/>
          </w:tblCellMar>
        </w:tblPrEx>
        <w:trPr>
          <w:trHeight w:val="1110"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4.3.2</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转向器设备旋转方式：可0-90度原地旋转，占地空间(面积)小于0.5平方米。</w:t>
            </w:r>
            <w:r>
              <w:rPr>
                <w:rFonts w:hint="eastAsia" w:ascii="宋体" w:hAnsi="宋体" w:cs="宋体"/>
                <w:b/>
                <w:bCs/>
                <w:i w:val="0"/>
                <w:caps w:val="0"/>
                <w:color w:val="auto"/>
                <w:spacing w:val="0"/>
                <w:w w:val="100"/>
                <w:sz w:val="21"/>
                <w:szCs w:val="21"/>
              </w:rPr>
              <w:t>投标文件需</w:t>
            </w:r>
            <w:r>
              <w:rPr>
                <w:rFonts w:hint="eastAsia" w:ascii="宋体" w:hAnsi="宋体" w:cs="宋体"/>
                <w:b/>
                <w:bCs/>
                <w:i w:val="0"/>
                <w:caps w:val="0"/>
                <w:color w:val="auto"/>
                <w:spacing w:val="0"/>
                <w:w w:val="100"/>
                <w:sz w:val="21"/>
                <w:szCs w:val="21"/>
              </w:rPr>
              <w:t>提供已投入使用用户实物照并提供医院联系方式备査</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534"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5.传输控制系统</w:t>
            </w:r>
          </w:p>
        </w:tc>
      </w:tr>
      <w:tr>
        <w:tblPrEx>
          <w:tblCellMar>
            <w:top w:w="0" w:type="dxa"/>
            <w:left w:w="108" w:type="dxa"/>
            <w:bottom w:w="0" w:type="dxa"/>
            <w:right w:w="108" w:type="dxa"/>
          </w:tblCellMar>
        </w:tblPrEx>
        <w:trPr>
          <w:trHeight w:val="51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5.1传输控制系统组成及技术条件</w:t>
            </w:r>
          </w:p>
        </w:tc>
      </w:tr>
      <w:tr>
        <w:tblPrEx>
          <w:tblCellMar>
            <w:top w:w="0" w:type="dxa"/>
            <w:left w:w="108" w:type="dxa"/>
            <w:bottom w:w="0" w:type="dxa"/>
            <w:right w:w="108" w:type="dxa"/>
          </w:tblCellMar>
        </w:tblPrEx>
        <w:trPr>
          <w:trHeight w:val="93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5.1.1系统组成</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传输控制系统由分布式标准化控制柜、设备层网络、控制层网络、管理层网络及控制软件组成。</w:t>
            </w:r>
          </w:p>
        </w:tc>
      </w:tr>
      <w:tr>
        <w:tblPrEx>
          <w:tblCellMar>
            <w:top w:w="0" w:type="dxa"/>
            <w:left w:w="108" w:type="dxa"/>
            <w:bottom w:w="0" w:type="dxa"/>
            <w:right w:w="108" w:type="dxa"/>
          </w:tblCellMar>
        </w:tblPrEx>
        <w:trPr>
          <w:trHeight w:val="904" w:hRule="atLeast"/>
        </w:trPr>
        <w:tc>
          <w:tcPr>
            <w:tcW w:w="1062" w:type="pct"/>
            <w:vMerge w:val="restart"/>
            <w:tcBorders>
              <w:top w:val="single" w:color="auto" w:sz="8"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5.1.2基本要求</w:t>
            </w:r>
          </w:p>
        </w:tc>
        <w:tc>
          <w:tcPr>
            <w:tcW w:w="3938" w:type="pct"/>
            <w:gridSpan w:val="2"/>
            <w:tcBorders>
              <w:top w:val="nil"/>
              <w:left w:val="nil"/>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1、控制系统除具备先进性、经济性以及安全性外，还需要具备不小于10%的冗余功能以应对后期系统的增加，损坏之后快速替换，布线断裂等情况。</w:t>
            </w:r>
          </w:p>
        </w:tc>
      </w:tr>
      <w:tr>
        <w:tblPrEx>
          <w:tblCellMar>
            <w:top w:w="0" w:type="dxa"/>
            <w:left w:w="108" w:type="dxa"/>
            <w:bottom w:w="0" w:type="dxa"/>
            <w:right w:w="108" w:type="dxa"/>
          </w:tblCellMar>
        </w:tblPrEx>
        <w:trPr>
          <w:trHeight w:val="1401" w:hRule="atLeast"/>
        </w:trPr>
        <w:tc>
          <w:tcPr>
            <w:tcW w:w="1062" w:type="pct"/>
            <w:vMerge w:val="continue"/>
            <w:tcBorders>
              <w:top w:val="single" w:color="auto" w:sz="4"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single" w:color="auto" w:sz="4" w:space="0"/>
              <w:left w:val="nil"/>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控制层网络采用工业以太网，实现各控制子模块如垂直多箱位分拣机，ASI网管条码扫描器/芯片等数据传递；为了系统数据传递快速和安全主网拓扑络结构采用1000M光纤环网，当其中任意一条网络出现故障时不会影响整个系统数据正常传输。</w:t>
            </w:r>
          </w:p>
        </w:tc>
      </w:tr>
      <w:tr>
        <w:tblPrEx>
          <w:tblCellMar>
            <w:top w:w="0" w:type="dxa"/>
            <w:left w:w="108" w:type="dxa"/>
            <w:bottom w:w="0" w:type="dxa"/>
            <w:right w:w="108" w:type="dxa"/>
          </w:tblCellMar>
        </w:tblPrEx>
        <w:trPr>
          <w:trHeight w:val="1249" w:hRule="atLeast"/>
        </w:trPr>
        <w:tc>
          <w:tcPr>
            <w:tcW w:w="1062" w:type="pct"/>
            <w:vMerge w:val="continue"/>
            <w:tcBorders>
              <w:top w:val="single" w:color="auto" w:sz="4"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single" w:color="auto" w:sz="4" w:space="0"/>
              <w:left w:val="nil"/>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设备层网络采用抗干扰能力极强，无需要做屏蔽处理，目前国际最通用的ASI总线络，实现各分布式标准化子系统和ASI网管之间数据交互；ASI通讯线使用专用标志性的黄双芯扁平电缆，为了防止安装时出错，扁平电缆上需要带有反极性机械码。</w:t>
            </w:r>
          </w:p>
        </w:tc>
      </w:tr>
      <w:tr>
        <w:tblPrEx>
          <w:tblCellMar>
            <w:top w:w="0" w:type="dxa"/>
            <w:left w:w="108" w:type="dxa"/>
            <w:bottom w:w="0" w:type="dxa"/>
            <w:right w:w="108" w:type="dxa"/>
          </w:tblCellMar>
        </w:tblPrEx>
        <w:trPr>
          <w:trHeight w:val="49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5.1.3控制软件</w:t>
            </w:r>
          </w:p>
        </w:tc>
      </w:tr>
      <w:tr>
        <w:tblPrEx>
          <w:tblCellMar>
            <w:top w:w="0" w:type="dxa"/>
            <w:left w:w="108" w:type="dxa"/>
            <w:bottom w:w="0" w:type="dxa"/>
            <w:right w:w="108" w:type="dxa"/>
          </w:tblCellMar>
        </w:tblPrEx>
        <w:trPr>
          <w:trHeight w:val="1725"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5.1.3.1物流模式切换系统</w:t>
            </w:r>
          </w:p>
        </w:tc>
        <w:tc>
          <w:tcPr>
            <w:tcW w:w="3938" w:type="pct"/>
            <w:gridSpan w:val="2"/>
            <w:tcBorders>
              <w:top w:val="single" w:color="auto" w:sz="4" w:space="0"/>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在每段设备的附近要有远程/本地模式选择开关，当选择远程模式时控制由PLC来控制，设备处于自动运行状态。当选择本地模式时控制由分散系统进行控制，设备处于检修状态；两种控制模式要有互锁功能；某一段设备的检修状态，不影响其他设备的正常运行。</w:t>
            </w:r>
          </w:p>
        </w:tc>
      </w:tr>
      <w:tr>
        <w:tblPrEx>
          <w:tblCellMar>
            <w:top w:w="0" w:type="dxa"/>
            <w:left w:w="108" w:type="dxa"/>
            <w:bottom w:w="0" w:type="dxa"/>
            <w:right w:w="108" w:type="dxa"/>
          </w:tblCellMar>
        </w:tblPrEx>
        <w:trPr>
          <w:trHeight w:val="138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5.1.3.2物流节能系统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为降低功耗控制，系统具有节能模式。在某段设备运行一段时间后(时间周期在系统内可修改)无新的运输任务时自动进入休眠状态。当上游有新的任务时此设备自动唤醒。</w:t>
            </w:r>
          </w:p>
        </w:tc>
      </w:tr>
      <w:tr>
        <w:tblPrEx>
          <w:tblCellMar>
            <w:top w:w="0" w:type="dxa"/>
            <w:left w:w="108" w:type="dxa"/>
            <w:bottom w:w="0" w:type="dxa"/>
            <w:right w:w="108" w:type="dxa"/>
          </w:tblCellMar>
        </w:tblPrEx>
        <w:trPr>
          <w:trHeight w:val="120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5.1.3.3物流排序系统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为降低对医院用电系统的瞬间涌入电流干扰，系统启动时从下游往上游按照顺序通过时间间隔启动(间隔时间在系统内可修改)；当系统休眠唤醒时从上游往下游按照顺序通过光电检查开关启动。</w:t>
            </w:r>
          </w:p>
        </w:tc>
      </w:tr>
      <w:tr>
        <w:tblPrEx>
          <w:tblCellMar>
            <w:top w:w="0" w:type="dxa"/>
            <w:left w:w="108" w:type="dxa"/>
            <w:bottom w:w="0" w:type="dxa"/>
            <w:right w:w="108" w:type="dxa"/>
          </w:tblCellMar>
        </w:tblPrEx>
        <w:trPr>
          <w:trHeight w:val="1625"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5.1.3.4物流窗口拉距系统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当控制系统检测到分拣口，合流口或垂直分拣机入口处有两个或者两个以上周转箱紧贴一起通过时，控制系统要启动程序进行拉距放行，保障传输效率及安全性。</w:t>
            </w:r>
          </w:p>
        </w:tc>
      </w:tr>
      <w:tr>
        <w:tblPrEx>
          <w:tblCellMar>
            <w:top w:w="0" w:type="dxa"/>
            <w:left w:w="108" w:type="dxa"/>
            <w:bottom w:w="0" w:type="dxa"/>
            <w:right w:w="108" w:type="dxa"/>
          </w:tblCellMar>
        </w:tblPrEx>
        <w:trPr>
          <w:trHeight w:val="553"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5.1.3.5物流故障自动修复系统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系统可设置一级故障、二级故障、三级故障等故障等级。</w:t>
            </w:r>
          </w:p>
        </w:tc>
      </w:tr>
      <w:tr>
        <w:tblPrEx>
          <w:tblCellMar>
            <w:top w:w="0" w:type="dxa"/>
            <w:left w:w="108" w:type="dxa"/>
            <w:bottom w:w="0" w:type="dxa"/>
            <w:right w:w="108" w:type="dxa"/>
          </w:tblCellMar>
        </w:tblPrEx>
        <w:trPr>
          <w:trHeight w:val="1095" w:hRule="atLeast"/>
        </w:trPr>
        <w:tc>
          <w:tcPr>
            <w:tcW w:w="1062" w:type="pct"/>
            <w:vMerge w:val="continue"/>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三级故障是指不需要人参与系统自动检测，判断，解除的故障；二级故障是指只需要运行人员确认后按复位按钮就能解除的故障；一级故障是指需维护人员参与情况下维修之后才能解除的故障。</w:t>
            </w:r>
          </w:p>
        </w:tc>
      </w:tr>
      <w:tr>
        <w:tblPrEx>
          <w:tblCellMar>
            <w:top w:w="0" w:type="dxa"/>
            <w:left w:w="108" w:type="dxa"/>
            <w:bottom w:w="0" w:type="dxa"/>
            <w:right w:w="108" w:type="dxa"/>
          </w:tblCellMar>
        </w:tblPrEx>
        <w:trPr>
          <w:trHeight w:val="1118" w:hRule="atLeast"/>
        </w:trPr>
        <w:tc>
          <w:tcPr>
            <w:tcW w:w="1062" w:type="pc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5.1.3.6周转箱自动寻找追溯系统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为提高医院物资输送的安全性，系统具备对周转箱记录、追踪及自动寻找功能。</w:t>
            </w:r>
          </w:p>
        </w:tc>
      </w:tr>
      <w:tr>
        <w:tblPrEx>
          <w:tblCellMar>
            <w:top w:w="0" w:type="dxa"/>
            <w:left w:w="108" w:type="dxa"/>
            <w:bottom w:w="0" w:type="dxa"/>
            <w:right w:w="108" w:type="dxa"/>
          </w:tblCellMar>
        </w:tblPrEx>
        <w:trPr>
          <w:trHeight w:val="819" w:hRule="atLeast"/>
        </w:trPr>
        <w:tc>
          <w:tcPr>
            <w:tcW w:w="1062" w:type="pct"/>
            <w:tcBorders>
              <w:top w:val="single" w:color="auto" w:sz="4"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5.1.3.7系统运行参数可视化</w:t>
            </w:r>
          </w:p>
        </w:tc>
        <w:tc>
          <w:tcPr>
            <w:tcW w:w="3938" w:type="pct"/>
            <w:gridSpan w:val="2"/>
            <w:tcBorders>
              <w:top w:val="nil"/>
              <w:left w:val="nil"/>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系统三级参数对医院开放，医院可根据自身运行情况进行修改调整。如修改中出现问题，系统具备自动恢复功能。</w:t>
            </w:r>
          </w:p>
        </w:tc>
      </w:tr>
      <w:tr>
        <w:tblPrEx>
          <w:tblCellMar>
            <w:top w:w="0" w:type="dxa"/>
            <w:left w:w="108" w:type="dxa"/>
            <w:bottom w:w="0" w:type="dxa"/>
            <w:right w:w="108" w:type="dxa"/>
          </w:tblCellMar>
        </w:tblPrEx>
        <w:trPr>
          <w:trHeight w:val="1680"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5.1.3.8智能调度防拥堵系统</w:t>
            </w:r>
          </w:p>
        </w:tc>
        <w:tc>
          <w:tcPr>
            <w:tcW w:w="3938" w:type="pct"/>
            <w:gridSpan w:val="2"/>
            <w:tcBorders>
              <w:top w:val="single" w:color="auto" w:sz="4" w:space="0"/>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输送线分拣口，如果出口处的某一个方向有周转箱排队，而入口处的周转箱恰巧又要到这个方向，这个时候后续周转箱再要通过时，就会发生堵箱。为了防止分拣口这种情况的发生，控制系统通过一系列的条件判断，要能够实现全自动疏通分拣口以上堵箱情况发生的功能。</w:t>
            </w:r>
          </w:p>
        </w:tc>
      </w:tr>
      <w:tr>
        <w:tblPrEx>
          <w:tblCellMar>
            <w:top w:w="0" w:type="dxa"/>
            <w:left w:w="108" w:type="dxa"/>
            <w:bottom w:w="0" w:type="dxa"/>
            <w:right w:w="108" w:type="dxa"/>
          </w:tblCellMar>
        </w:tblPrEx>
        <w:trPr>
          <w:trHeight w:val="2760"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5.1.3.9物流流量自动调节系统</w:t>
            </w:r>
          </w:p>
        </w:tc>
        <w:tc>
          <w:tcPr>
            <w:tcW w:w="3938" w:type="pct"/>
            <w:gridSpan w:val="2"/>
            <w:tcBorders>
              <w:top w:val="single" w:color="auto" w:sz="4" w:space="0"/>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具备流量自调节功能，通过对每个区域输送线上的流量进行实时监控，并将监控数据传输给控制中心上位机系统。上位机系统根据不同区域的的流量大小，进行统一调度，把流量偏高区域的周转箱调度到合适区域的输送线上，避免排队等待发生，提高整个系统的运行效率。对特定周转箱或特定站点发出的箱体提供特定时间段提高通过优先级的选项，保障临床特殊用药或快速检验的时效性。箱式物流系统设定使用优先级別。</w:t>
            </w:r>
          </w:p>
        </w:tc>
      </w:tr>
      <w:tr>
        <w:tblPrEx>
          <w:tblCellMar>
            <w:top w:w="0" w:type="dxa"/>
            <w:left w:w="108" w:type="dxa"/>
            <w:bottom w:w="0" w:type="dxa"/>
            <w:right w:w="108" w:type="dxa"/>
          </w:tblCellMar>
        </w:tblPrEx>
        <w:trPr>
          <w:trHeight w:val="217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▲5.1.3.10信息化对接</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中型箱式物流系统应具备和医院HIS系统、要接入的软件端口和功能(中标单位负责HIS系统接入相关费用及相关硬件配置)，现在或将来开放本项目的信息数据接口或必要升级/改造信息数据接口以满足招标人对物流系统与医院信息系统的对接需要，并有必要的保密措施保证医院内部数据不外泄。实现未来医院物品传输的闭环管理和追溯。</w:t>
            </w:r>
            <w:r>
              <w:rPr>
                <w:rFonts w:hint="eastAsia" w:ascii="宋体" w:hAnsi="宋体" w:cs="宋体"/>
                <w:b/>
                <w:bCs/>
                <w:i w:val="0"/>
                <w:caps w:val="0"/>
                <w:color w:val="auto"/>
                <w:spacing w:val="0"/>
                <w:w w:val="100"/>
                <w:sz w:val="21"/>
                <w:szCs w:val="21"/>
              </w:rPr>
              <w:t>投标文件中需提供详细说明及操作软件界面截图。</w:t>
            </w:r>
          </w:p>
        </w:tc>
      </w:tr>
      <w:tr>
        <w:tblPrEx>
          <w:tblCellMar>
            <w:top w:w="0" w:type="dxa"/>
            <w:left w:w="108" w:type="dxa"/>
            <w:bottom w:w="0" w:type="dxa"/>
            <w:right w:w="108" w:type="dxa"/>
          </w:tblCellMar>
        </w:tblPrEx>
        <w:trPr>
          <w:trHeight w:val="54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6.上位机系统</w:t>
            </w:r>
          </w:p>
        </w:tc>
      </w:tr>
      <w:tr>
        <w:tblPrEx>
          <w:tblCellMar>
            <w:top w:w="0" w:type="dxa"/>
            <w:left w:w="108" w:type="dxa"/>
            <w:bottom w:w="0" w:type="dxa"/>
            <w:right w:w="108" w:type="dxa"/>
          </w:tblCellMar>
        </w:tblPrEx>
        <w:trPr>
          <w:trHeight w:val="539"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6.1上位机系统组成描述</w:t>
            </w:r>
          </w:p>
        </w:tc>
      </w:tr>
      <w:tr>
        <w:tblPrEx>
          <w:tblCellMar>
            <w:top w:w="0" w:type="dxa"/>
            <w:left w:w="108" w:type="dxa"/>
            <w:bottom w:w="0" w:type="dxa"/>
            <w:right w:w="108" w:type="dxa"/>
          </w:tblCellMar>
        </w:tblPrEx>
        <w:trPr>
          <w:trHeight w:val="61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上位机系统由系统硬件、操作系统、数据库及系统软件组成。</w:t>
            </w:r>
          </w:p>
        </w:tc>
      </w:tr>
      <w:tr>
        <w:tblPrEx>
          <w:tblCellMar>
            <w:top w:w="0" w:type="dxa"/>
            <w:left w:w="108" w:type="dxa"/>
            <w:bottom w:w="0" w:type="dxa"/>
            <w:right w:w="108" w:type="dxa"/>
          </w:tblCellMar>
        </w:tblPrEx>
        <w:trPr>
          <w:trHeight w:val="570"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6.2上位机系统硬件</w:t>
            </w:r>
          </w:p>
        </w:tc>
      </w:tr>
      <w:tr>
        <w:tblPrEx>
          <w:tblCellMar>
            <w:top w:w="0" w:type="dxa"/>
            <w:left w:w="108" w:type="dxa"/>
            <w:bottom w:w="0" w:type="dxa"/>
            <w:right w:w="108" w:type="dxa"/>
          </w:tblCellMar>
        </w:tblPrEx>
        <w:trPr>
          <w:trHeight w:val="132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6.2.1服务器</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服务器：采用相当于“戴尔、惠普</w:t>
            </w:r>
            <w:r>
              <w:rPr>
                <w:rFonts w:hint="eastAsia" w:ascii="宋体" w:hAnsi="宋体" w:cs="宋体"/>
                <w:b w:val="0"/>
                <w:i w:val="0"/>
                <w:caps w:val="0"/>
                <w:color w:val="auto"/>
                <w:spacing w:val="0"/>
                <w:w w:val="100"/>
                <w:sz w:val="21"/>
                <w:szCs w:val="21"/>
              </w:rPr>
              <w:t>、联想</w:t>
            </w:r>
            <w:r>
              <w:rPr>
                <w:rFonts w:hint="eastAsia" w:ascii="宋体" w:hAnsi="宋体" w:cs="宋体"/>
                <w:b w:val="0"/>
                <w:i w:val="0"/>
                <w:caps w:val="0"/>
                <w:color w:val="auto"/>
                <w:spacing w:val="0"/>
                <w:w w:val="100"/>
                <w:sz w:val="21"/>
                <w:szCs w:val="21"/>
              </w:rPr>
              <w:t>”等国际品牌。参数不低于以下要求:2U机架式，</w:t>
            </w:r>
            <w:r>
              <w:rPr>
                <w:rFonts w:hint="eastAsia" w:ascii="宋体" w:hAnsi="宋体" w:cs="宋体"/>
                <w:b w:val="0"/>
                <w:i w:val="0"/>
                <w:caps w:val="0"/>
                <w:color w:val="auto"/>
                <w:spacing w:val="0"/>
                <w:w w:val="100"/>
                <w:sz w:val="21"/>
                <w:szCs w:val="21"/>
              </w:rPr>
              <w:t xml:space="preserve"> 2.2G CPU+双电源，</w:t>
            </w:r>
            <w:r>
              <w:rPr>
                <w:rFonts w:hint="eastAsia" w:ascii="宋体" w:hAnsi="宋体" w:cs="宋体"/>
                <w:b w:val="0"/>
                <w:i w:val="0"/>
                <w:caps w:val="0"/>
                <w:color w:val="auto"/>
                <w:spacing w:val="0"/>
                <w:w w:val="100"/>
                <w:sz w:val="21"/>
                <w:szCs w:val="21"/>
              </w:rPr>
              <w:t>双端口千兆网络适配器,32G内存，2块1TB 7.2K SATA硬盘，防水抗菌键盘，光电抗菌鼠标，32寸宽屏液晶。</w:t>
            </w:r>
          </w:p>
        </w:tc>
      </w:tr>
      <w:tr>
        <w:tblPrEx>
          <w:tblCellMar>
            <w:top w:w="0" w:type="dxa"/>
            <w:left w:w="108" w:type="dxa"/>
            <w:bottom w:w="0" w:type="dxa"/>
            <w:right w:w="108" w:type="dxa"/>
          </w:tblCellMar>
        </w:tblPrEx>
        <w:trPr>
          <w:trHeight w:val="1267"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6.2.2服务器系统</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保障系统运行的可靠性和数据的安全性(防止服务器硬件或者软件发生故障)，服务器系统采用双服务器模式，除了单台服务器本身硬盘做raid1磁盘阵列冗余设计外，还需单独备用一台服务器。两台服务器按照一定时间周期切换运行。</w:t>
            </w:r>
          </w:p>
        </w:tc>
      </w:tr>
      <w:tr>
        <w:tblPrEx>
          <w:tblCellMar>
            <w:top w:w="0" w:type="dxa"/>
            <w:left w:w="108" w:type="dxa"/>
            <w:bottom w:w="0" w:type="dxa"/>
            <w:right w:w="108" w:type="dxa"/>
          </w:tblCellMar>
        </w:tblPrEx>
        <w:trPr>
          <w:trHeight w:val="44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6.2.3 UPS</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UPS采用国内一线优质品牌，可供系统断电延时15分钟使用。</w:t>
            </w:r>
          </w:p>
        </w:tc>
      </w:tr>
      <w:tr>
        <w:tblPrEx>
          <w:tblCellMar>
            <w:top w:w="0" w:type="dxa"/>
            <w:left w:w="108" w:type="dxa"/>
            <w:bottom w:w="0" w:type="dxa"/>
            <w:right w:w="108" w:type="dxa"/>
          </w:tblCellMar>
        </w:tblPrEx>
        <w:trPr>
          <w:trHeight w:val="88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6.2.4系统断电恢复功能</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若断电时间超过15分钟，需保证数据不丢失，通电后数据自动恢复，继续完成原定输送指令。</w:t>
            </w:r>
          </w:p>
        </w:tc>
      </w:tr>
      <w:tr>
        <w:tblPrEx>
          <w:tblCellMar>
            <w:top w:w="0" w:type="dxa"/>
            <w:left w:w="108" w:type="dxa"/>
            <w:bottom w:w="0" w:type="dxa"/>
            <w:right w:w="108" w:type="dxa"/>
          </w:tblCellMar>
        </w:tblPrEx>
        <w:trPr>
          <w:trHeight w:val="2362" w:hRule="atLeast"/>
        </w:trPr>
        <w:tc>
          <w:tcPr>
            <w:tcW w:w="1062" w:type="pct"/>
            <w:tcBorders>
              <w:top w:val="single" w:color="auto" w:sz="4" w:space="0"/>
              <w:left w:val="single" w:color="auto" w:sz="8" w:space="0"/>
              <w:bottom w:val="single" w:color="auto" w:sz="4"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▲6.2.5物流监控中心</w:t>
            </w:r>
          </w:p>
        </w:tc>
        <w:tc>
          <w:tcPr>
            <w:tcW w:w="3938" w:type="pct"/>
            <w:gridSpan w:val="2"/>
            <w:tcBorders>
              <w:top w:val="single" w:color="auto" w:sz="4" w:space="0"/>
              <w:left w:val="single" w:color="auto" w:sz="4"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控制中心配备不小于100英寸的分屏显示系统，能够将视频监控系统、调度系统、运力分析、系统运行实时在线监测、3D监控系统、网络系统连接集成，形成一套功能完善、技术先进的交互式信息显示及管理平台。能够实现远程控制，可在同一画面监控传输箱在水平及垂直提升的实时动态位置，提供监控画面和手机监控画面，可通过网络进行实时查询。</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投标文件中需提供己安装医院的现场照片。</w:t>
            </w:r>
          </w:p>
        </w:tc>
      </w:tr>
      <w:tr>
        <w:tblPrEx>
          <w:tblCellMar>
            <w:top w:w="0" w:type="dxa"/>
            <w:left w:w="108" w:type="dxa"/>
            <w:bottom w:w="0" w:type="dxa"/>
            <w:right w:w="108" w:type="dxa"/>
          </w:tblCellMar>
        </w:tblPrEx>
        <w:trPr>
          <w:trHeight w:val="551" w:hRule="atLeast"/>
        </w:trPr>
        <w:tc>
          <w:tcPr>
            <w:tcW w:w="5000" w:type="pct"/>
            <w:gridSpan w:val="3"/>
            <w:tcBorders>
              <w:top w:val="single" w:color="auto" w:sz="4"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6.3操作系统、数据库</w:t>
            </w:r>
          </w:p>
        </w:tc>
      </w:tr>
      <w:tr>
        <w:tblPrEx>
          <w:tblCellMar>
            <w:top w:w="0" w:type="dxa"/>
            <w:left w:w="108" w:type="dxa"/>
            <w:bottom w:w="0" w:type="dxa"/>
            <w:right w:w="108" w:type="dxa"/>
          </w:tblCellMar>
        </w:tblPrEx>
        <w:trPr>
          <w:trHeight w:val="54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服务器操作系统：Windows SERVER 2012。</w:t>
            </w:r>
          </w:p>
        </w:tc>
      </w:tr>
      <w:tr>
        <w:tblPrEx>
          <w:tblCellMar>
            <w:top w:w="0" w:type="dxa"/>
            <w:left w:w="108" w:type="dxa"/>
            <w:bottom w:w="0" w:type="dxa"/>
            <w:right w:w="108" w:type="dxa"/>
          </w:tblCellMar>
        </w:tblPrEx>
        <w:trPr>
          <w:trHeight w:val="526"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数据库：SQL SERVER 2012中文标准版或 oracle 11g 企业版或mysql。</w:t>
            </w:r>
          </w:p>
        </w:tc>
      </w:tr>
      <w:tr>
        <w:tblPrEx>
          <w:tblCellMar>
            <w:top w:w="0" w:type="dxa"/>
            <w:left w:w="108" w:type="dxa"/>
            <w:bottom w:w="0" w:type="dxa"/>
            <w:right w:w="108" w:type="dxa"/>
          </w:tblCellMar>
        </w:tblPrEx>
        <w:trPr>
          <w:trHeight w:val="571"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6.4系统软件</w:t>
            </w:r>
          </w:p>
        </w:tc>
      </w:tr>
      <w:tr>
        <w:tblPrEx>
          <w:tblCellMar>
            <w:top w:w="0" w:type="dxa"/>
            <w:left w:w="108" w:type="dxa"/>
            <w:bottom w:w="0" w:type="dxa"/>
            <w:right w:w="108" w:type="dxa"/>
          </w:tblCellMar>
        </w:tblPrEx>
        <w:trPr>
          <w:trHeight w:val="541"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6.4.1组成</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系统软件包括监控及管理系统软件组成。</w:t>
            </w:r>
          </w:p>
        </w:tc>
      </w:tr>
      <w:tr>
        <w:tblPrEx>
          <w:tblCellMar>
            <w:top w:w="0" w:type="dxa"/>
            <w:left w:w="108" w:type="dxa"/>
            <w:bottom w:w="0" w:type="dxa"/>
            <w:right w:w="108" w:type="dxa"/>
          </w:tblCellMar>
        </w:tblPrEx>
        <w:trPr>
          <w:trHeight w:val="403"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6.4.2参数要求</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1、传输监控系统采用图形化方式模拟显示设备运行状况；</w:t>
            </w:r>
          </w:p>
        </w:tc>
      </w:tr>
      <w:tr>
        <w:tblPrEx>
          <w:tblCellMar>
            <w:top w:w="0" w:type="dxa"/>
            <w:left w:w="108" w:type="dxa"/>
            <w:bottom w:w="0" w:type="dxa"/>
            <w:right w:w="108" w:type="dxa"/>
          </w:tblCellMar>
        </w:tblPrEx>
        <w:trPr>
          <w:trHeight w:val="822" w:hRule="atLeast"/>
        </w:trPr>
        <w:tc>
          <w:tcPr>
            <w:tcW w:w="1062" w:type="pct"/>
            <w:vMerge w:val="continue"/>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2、传输远程监控系统在线显示设备的开机、关机、故障等，记录故障位置、发生时间、设备编号及异常原因；能显示全部设备的运行、停止、报警等信息；</w:t>
            </w:r>
          </w:p>
        </w:tc>
      </w:tr>
      <w:tr>
        <w:tblPrEx>
          <w:tblCellMar>
            <w:top w:w="0" w:type="dxa"/>
            <w:left w:w="108" w:type="dxa"/>
            <w:bottom w:w="0" w:type="dxa"/>
            <w:right w:w="108" w:type="dxa"/>
          </w:tblCellMar>
        </w:tblPrEx>
        <w:trPr>
          <w:trHeight w:val="90" w:hRule="atLeast"/>
        </w:trPr>
        <w:tc>
          <w:tcPr>
            <w:tcW w:w="1062" w:type="pct"/>
            <w:vMerge w:val="continue"/>
            <w:tcBorders>
              <w:top w:val="single" w:color="auto" w:sz="8"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3、传输监控系统可将输送系统的设备状态通过安装于现场的操作面板给予实时显示，操作面板同时能够提供报警信息以及一定的手动操作功能；</w:t>
            </w:r>
          </w:p>
        </w:tc>
      </w:tr>
      <w:tr>
        <w:tblPrEx>
          <w:tblCellMar>
            <w:top w:w="0" w:type="dxa"/>
            <w:left w:w="108" w:type="dxa"/>
            <w:bottom w:w="0" w:type="dxa"/>
            <w:right w:w="108" w:type="dxa"/>
          </w:tblCellMar>
        </w:tblPrEx>
        <w:trPr>
          <w:trHeight w:val="825" w:hRule="atLeast"/>
        </w:trPr>
        <w:tc>
          <w:tcPr>
            <w:tcW w:w="1062" w:type="pct"/>
            <w:vMerge w:val="continue"/>
            <w:tcBorders>
              <w:top w:val="single" w:color="auto" w:sz="4"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single" w:color="auto" w:sz="4" w:space="0"/>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4、系统具有单独定义周转箱条码/芯片的功能，设置一套单独定义周转箱的软件作为应急预案；</w:t>
            </w:r>
          </w:p>
        </w:tc>
      </w:tr>
      <w:tr>
        <w:tblPrEx>
          <w:tblCellMar>
            <w:top w:w="0" w:type="dxa"/>
            <w:left w:w="108" w:type="dxa"/>
            <w:bottom w:w="0" w:type="dxa"/>
            <w:right w:w="108" w:type="dxa"/>
          </w:tblCellMar>
        </w:tblPrEx>
        <w:trPr>
          <w:trHeight w:val="735" w:hRule="atLeast"/>
        </w:trPr>
        <w:tc>
          <w:tcPr>
            <w:tcW w:w="1062" w:type="pct"/>
            <w:vMerge w:val="continue"/>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5、条码/芯片管理系统能自动识别周转箱条码/芯片信息，实现输送、升降、贮存等功能；</w:t>
            </w:r>
          </w:p>
        </w:tc>
      </w:tr>
      <w:tr>
        <w:tblPrEx>
          <w:tblCellMar>
            <w:top w:w="0" w:type="dxa"/>
            <w:left w:w="108" w:type="dxa"/>
            <w:bottom w:w="0" w:type="dxa"/>
            <w:right w:w="108" w:type="dxa"/>
          </w:tblCellMar>
        </w:tblPrEx>
        <w:trPr>
          <w:trHeight w:val="765" w:hRule="atLeast"/>
        </w:trPr>
        <w:tc>
          <w:tcPr>
            <w:tcW w:w="1062" w:type="pct"/>
            <w:vMerge w:val="continue"/>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6、系统对接收的周转箱，在无条码/芯片和条码/芯片不能识读时，能够将周转箱输送到指定的收容口；</w:t>
            </w:r>
          </w:p>
        </w:tc>
      </w:tr>
      <w:tr>
        <w:tblPrEx>
          <w:tblCellMar>
            <w:top w:w="0" w:type="dxa"/>
            <w:left w:w="108" w:type="dxa"/>
            <w:bottom w:w="0" w:type="dxa"/>
            <w:right w:w="108" w:type="dxa"/>
          </w:tblCellMar>
        </w:tblPrEx>
        <w:trPr>
          <w:trHeight w:val="795" w:hRule="atLeast"/>
        </w:trPr>
        <w:tc>
          <w:tcPr>
            <w:tcW w:w="1062" w:type="pct"/>
            <w:vMerge w:val="continue"/>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7、医院物资管理平台提供与医院HIS信息系统对接的接口，实现物资请领、物资运输、物资管理等功能的信息化闭环管理；</w:t>
            </w:r>
          </w:p>
        </w:tc>
      </w:tr>
      <w:tr>
        <w:tblPrEx>
          <w:tblCellMar>
            <w:top w:w="0" w:type="dxa"/>
            <w:left w:w="108" w:type="dxa"/>
            <w:bottom w:w="0" w:type="dxa"/>
            <w:right w:w="108" w:type="dxa"/>
          </w:tblCellMar>
        </w:tblPrEx>
        <w:trPr>
          <w:trHeight w:val="453" w:hRule="atLeast"/>
        </w:trPr>
        <w:tc>
          <w:tcPr>
            <w:tcW w:w="1062" w:type="pct"/>
            <w:vMerge w:val="continue"/>
            <w:tcBorders>
              <w:top w:val="single" w:color="auto" w:sz="8"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8、存储及查询功能：具备运行记录存储及查询功能，数据可保留10年以上。</w:t>
            </w:r>
          </w:p>
        </w:tc>
      </w:tr>
      <w:tr>
        <w:tblPrEx>
          <w:tblCellMar>
            <w:top w:w="0" w:type="dxa"/>
            <w:left w:w="108" w:type="dxa"/>
            <w:bottom w:w="0" w:type="dxa"/>
            <w:right w:w="108" w:type="dxa"/>
          </w:tblCellMar>
        </w:tblPrEx>
        <w:trPr>
          <w:trHeight w:val="1242"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6.4.3监控软件</w:t>
            </w:r>
          </w:p>
        </w:tc>
        <w:tc>
          <w:tcPr>
            <w:tcW w:w="3938" w:type="pct"/>
            <w:gridSpan w:val="2"/>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系统实时监控画面以动画的效果呈现，真实展现物资输送的场景，有效地了解物资实时输运状况。画面具有无级缩放功能，能够无限的扩展可视空间。</w:t>
            </w:r>
          </w:p>
        </w:tc>
      </w:tr>
      <w:tr>
        <w:tblPrEx>
          <w:tblCellMar>
            <w:top w:w="0" w:type="dxa"/>
            <w:left w:w="108" w:type="dxa"/>
            <w:bottom w:w="0" w:type="dxa"/>
            <w:right w:w="108" w:type="dxa"/>
          </w:tblCellMar>
        </w:tblPrEx>
        <w:trPr>
          <w:trHeight w:val="1350" w:hRule="atLeast"/>
        </w:trPr>
        <w:tc>
          <w:tcPr>
            <w:tcW w:w="1062" w:type="pct"/>
            <w:tcBorders>
              <w:top w:val="nil"/>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6.4.4远程运维系统</w:t>
            </w:r>
          </w:p>
        </w:tc>
        <w:tc>
          <w:tcPr>
            <w:tcW w:w="3938" w:type="pct"/>
            <w:gridSpan w:val="2"/>
            <w:tcBorders>
              <w:top w:val="single" w:color="auto" w:sz="8"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集数据采集、工程Web发布、数据Web发布等多种功能为一体，用户完全定制的B/S系统，实现数据查询、维修记录、物流系统故障报表及分析等远程运营维护功能。满足7×24小时售后服务要求。</w:t>
            </w:r>
          </w:p>
        </w:tc>
      </w:tr>
      <w:tr>
        <w:tblPrEx>
          <w:tblCellMar>
            <w:top w:w="0" w:type="dxa"/>
            <w:left w:w="108" w:type="dxa"/>
            <w:bottom w:w="0" w:type="dxa"/>
            <w:right w:w="108" w:type="dxa"/>
          </w:tblCellMar>
        </w:tblPrEx>
        <w:trPr>
          <w:trHeight w:val="810"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6.4.5物流站点智能交互系统</w:t>
            </w:r>
          </w:p>
        </w:tc>
        <w:tc>
          <w:tcPr>
            <w:tcW w:w="3938" w:type="pct"/>
            <w:gridSpan w:val="2"/>
            <w:tcBorders>
              <w:top w:val="single" w:color="auto" w:sz="4"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站点的收发状态可以通过智能化显示，终端图形化呈现，站点收发物资实现柔性化提醒。结合图形及标准国语发音，提示工作人员接收物资。</w:t>
            </w:r>
          </w:p>
        </w:tc>
      </w:tr>
      <w:tr>
        <w:tblPrEx>
          <w:tblCellMar>
            <w:top w:w="0" w:type="dxa"/>
            <w:left w:w="108" w:type="dxa"/>
            <w:bottom w:w="0" w:type="dxa"/>
            <w:right w:w="108" w:type="dxa"/>
          </w:tblCellMar>
        </w:tblPrEx>
        <w:trPr>
          <w:trHeight w:val="1005" w:hRule="atLeast"/>
        </w:trPr>
        <w:tc>
          <w:tcPr>
            <w:tcW w:w="1062" w:type="pct"/>
            <w:vMerge w:val="restart"/>
            <w:tcBorders>
              <w:top w:val="single" w:color="auto" w:sz="4" w:space="0"/>
              <w:left w:val="single" w:color="auto" w:sz="8" w:space="0"/>
              <w:bottom w:val="single" w:color="auto" w:sz="4" w:space="0"/>
              <w:right w:val="single" w:color="auto" w:sz="4" w:space="0"/>
            </w:tcBorders>
            <w:shd w:val="clear" w:color="auto"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b w:val="0"/>
                <w:i w:val="0"/>
                <w:caps w:val="0"/>
                <w:color w:val="auto"/>
                <w:spacing w:val="0"/>
                <w:w w:val="100"/>
                <w:sz w:val="21"/>
                <w:szCs w:val="21"/>
              </w:rPr>
              <w:t>▲</w:t>
            </w:r>
            <w:r>
              <w:rPr>
                <w:rFonts w:hint="eastAsia" w:ascii="宋体" w:hAnsi="宋体" w:cs="宋体"/>
                <w:b w:val="0"/>
                <w:i w:val="0"/>
                <w:caps w:val="0"/>
                <w:color w:val="auto"/>
                <w:spacing w:val="0"/>
                <w:w w:val="100"/>
                <w:sz w:val="21"/>
                <w:szCs w:val="21"/>
              </w:rPr>
              <w:t>6.4.6智能站点安全防护系统</w:t>
            </w:r>
          </w:p>
        </w:tc>
        <w:tc>
          <w:tcPr>
            <w:tcW w:w="3938" w:type="pct"/>
            <w:gridSpan w:val="2"/>
            <w:tcBorders>
              <w:top w:val="single" w:color="auto" w:sz="8"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物流站点可实时采集摄像头视频数据，通过后台人工智能算法，能够自动识別异常周转箱，或人员误触发系统，及安全防护智能检测的功能。</w:t>
            </w:r>
          </w:p>
        </w:tc>
      </w:tr>
      <w:tr>
        <w:tblPrEx>
          <w:tblCellMar>
            <w:top w:w="0" w:type="dxa"/>
            <w:left w:w="108" w:type="dxa"/>
            <w:bottom w:w="0" w:type="dxa"/>
            <w:right w:w="108" w:type="dxa"/>
          </w:tblCellMar>
        </w:tblPrEx>
        <w:trPr>
          <w:trHeight w:val="416" w:hRule="atLeast"/>
        </w:trPr>
        <w:tc>
          <w:tcPr>
            <w:tcW w:w="1062" w:type="pct"/>
            <w:vMerge w:val="continue"/>
            <w:tcBorders>
              <w:left w:val="single" w:color="auto" w:sz="8" w:space="0"/>
              <w:bottom w:val="single" w:color="auto" w:sz="4" w:space="0"/>
              <w:right w:val="single" w:color="auto" w:sz="4"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single" w:color="auto" w:sz="4"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投标文件中需提供该系统功能视频截图、及印有CNAS和CMA标识的软件测试报告。</w:t>
            </w:r>
          </w:p>
        </w:tc>
      </w:tr>
      <w:tr>
        <w:tblPrEx>
          <w:tblCellMar>
            <w:top w:w="0" w:type="dxa"/>
            <w:left w:w="108" w:type="dxa"/>
            <w:bottom w:w="0" w:type="dxa"/>
            <w:right w:w="108" w:type="dxa"/>
          </w:tblCellMar>
        </w:tblPrEx>
        <w:trPr>
          <w:trHeight w:val="1110"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6.4.7物品电子化全程追溯系统</w:t>
            </w:r>
          </w:p>
        </w:tc>
        <w:tc>
          <w:tcPr>
            <w:tcW w:w="3938" w:type="pct"/>
            <w:gridSpan w:val="2"/>
            <w:tcBorders>
              <w:top w:val="single" w:color="auto" w:sz="4"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为防止物品在传输过程中丢失或损毁，中型箱式物流传输系统应配备物品电子化全程追溯系统，方便物品在传输过程中的全程可追溯。</w:t>
            </w:r>
            <w:r>
              <w:rPr>
                <w:rFonts w:hint="eastAsia" w:ascii="宋体" w:hAnsi="宋体" w:cs="宋体"/>
                <w:b/>
                <w:bCs/>
                <w:i w:val="0"/>
                <w:caps w:val="0"/>
                <w:color w:val="auto"/>
                <w:spacing w:val="0"/>
                <w:w w:val="100"/>
                <w:sz w:val="21"/>
                <w:szCs w:val="21"/>
              </w:rPr>
              <w:t>投标文件需提供该软件系统的软件界面截图</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108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6.4.8电子化签收系统</w:t>
            </w:r>
          </w:p>
        </w:tc>
        <w:tc>
          <w:tcPr>
            <w:tcW w:w="3938" w:type="pct"/>
            <w:gridSpan w:val="2"/>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为方便工作人员物品传输过程中进行发送端和接收端的远程签收，中型箱式物流传输系统应配备电子化签收系统，方便物品远程物品交接和责任界定，</w:t>
            </w:r>
            <w:r>
              <w:rPr>
                <w:rFonts w:hint="eastAsia" w:ascii="宋体" w:hAnsi="宋体" w:cs="宋体"/>
                <w:b/>
                <w:bCs/>
                <w:i w:val="0"/>
                <w:caps w:val="0"/>
                <w:color w:val="auto"/>
                <w:spacing w:val="0"/>
                <w:w w:val="100"/>
                <w:sz w:val="21"/>
                <w:szCs w:val="21"/>
              </w:rPr>
              <w:t>提供该软件系统的软件界面截图</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518"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6.4.9售后运维电话提醒系统</w:t>
            </w:r>
          </w:p>
        </w:tc>
        <w:tc>
          <w:tcPr>
            <w:tcW w:w="3938" w:type="pct"/>
            <w:gridSpan w:val="2"/>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系统具备售后运维电话提醒系统。在发生故障时，在系统默认时间内售后人员未响应处理，系统需自动拨打电话提醒处理。</w:t>
            </w:r>
            <w:r>
              <w:rPr>
                <w:rFonts w:hint="eastAsia" w:ascii="宋体" w:hAnsi="宋体" w:cs="宋体"/>
                <w:b/>
                <w:bCs/>
                <w:i w:val="0"/>
                <w:caps w:val="0"/>
                <w:color w:val="auto"/>
                <w:spacing w:val="0"/>
                <w:w w:val="100"/>
                <w:sz w:val="21"/>
                <w:szCs w:val="21"/>
              </w:rPr>
              <w:t>投标文件中需提供对应的软件测试报告</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942" w:hRule="atLeast"/>
        </w:trPr>
        <w:tc>
          <w:tcPr>
            <w:tcW w:w="1062" w:type="pct"/>
            <w:tcBorders>
              <w:top w:val="nil"/>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6.4.10售后运维打卡系统</w:t>
            </w:r>
          </w:p>
        </w:tc>
        <w:tc>
          <w:tcPr>
            <w:tcW w:w="3938" w:type="pct"/>
            <w:gridSpan w:val="2"/>
            <w:tcBorders>
              <w:top w:val="single" w:color="auto" w:sz="8"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站点对售后人员维护检査时，具备自动对维护过程进行拍照或视频录制打卡的功能。记录和完售后运维体系，</w:t>
            </w:r>
            <w:r>
              <w:rPr>
                <w:rFonts w:hint="eastAsia" w:ascii="宋体" w:hAnsi="宋体" w:cs="宋体"/>
                <w:b/>
                <w:bCs/>
                <w:i w:val="0"/>
                <w:caps w:val="0"/>
                <w:color w:val="auto"/>
                <w:spacing w:val="0"/>
                <w:w w:val="100"/>
                <w:sz w:val="21"/>
                <w:szCs w:val="21"/>
              </w:rPr>
              <w:t>投标文件中需提供对应的软件测试报告</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705" w:hRule="atLeast"/>
        </w:trPr>
        <w:tc>
          <w:tcPr>
            <w:tcW w:w="1062" w:type="pct"/>
            <w:tcBorders>
              <w:top w:val="single" w:color="auto" w:sz="4" w:space="0"/>
              <w:left w:val="single" w:color="auto" w:sz="4" w:space="0"/>
              <w:bottom w:val="nil"/>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6.5.1★质量保证期</w:t>
            </w:r>
          </w:p>
        </w:tc>
        <w:tc>
          <w:tcPr>
            <w:tcW w:w="3938" w:type="pct"/>
            <w:gridSpan w:val="2"/>
            <w:tcBorders>
              <w:top w:val="single" w:color="auto" w:sz="4" w:space="0"/>
              <w:left w:val="single" w:color="auto" w:sz="4" w:space="0"/>
              <w:bottom w:val="nil"/>
              <w:right w:val="single" w:color="auto" w:sz="8" w:space="0"/>
            </w:tcBorders>
            <w:shd w:val="clear" w:color="auto"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质量保证期为24个月，含免费维修和保养（评分中承诺的质保期需包含免费维修和保养），时间从使用人使用产品之日算起。在此期间，医用气动物流传输系统因制造、安装而发生损坏或不能正常工作时，中标人应负责免费维修或更换零部件，并赔偿招标人损失。</w:t>
            </w:r>
          </w:p>
        </w:tc>
      </w:tr>
      <w:tr>
        <w:tblPrEx>
          <w:tblCellMar>
            <w:top w:w="0" w:type="dxa"/>
            <w:left w:w="108" w:type="dxa"/>
            <w:bottom w:w="0" w:type="dxa"/>
            <w:right w:w="108" w:type="dxa"/>
          </w:tblCellMar>
        </w:tblPrEx>
        <w:trPr>
          <w:trHeight w:val="689" w:hRule="atLeast"/>
        </w:trPr>
        <w:tc>
          <w:tcPr>
            <w:tcW w:w="1062" w:type="pc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6.5.2★驻场人员</w:t>
            </w:r>
          </w:p>
        </w:tc>
        <w:tc>
          <w:tcPr>
            <w:tcW w:w="3938" w:type="pct"/>
            <w:gridSpan w:val="2"/>
            <w:tcBorders>
              <w:top w:val="single" w:color="auto" w:sz="8" w:space="0"/>
              <w:left w:val="single" w:color="auto" w:sz="8" w:space="0"/>
              <w:bottom w:val="nil"/>
              <w:right w:val="single" w:color="auto" w:sz="8" w:space="0"/>
            </w:tcBorders>
            <w:shd w:val="clear" w:color="auto"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投标人在质保期及质保优惠期内至少派</w:t>
            </w:r>
            <w:r>
              <w:rPr>
                <w:rFonts w:hint="eastAsia" w:ascii="宋体" w:hAnsi="宋体" w:cs="宋体"/>
                <w:b w:val="0"/>
                <w:i w:val="0"/>
                <w:caps w:val="0"/>
                <w:color w:val="auto"/>
                <w:spacing w:val="0"/>
                <w:w w:val="100"/>
                <w:sz w:val="21"/>
                <w:szCs w:val="21"/>
                <w:u w:val="single" w:color="000000"/>
              </w:rPr>
              <w:t>1人</w:t>
            </w:r>
            <w:r>
              <w:rPr>
                <w:rFonts w:hint="eastAsia" w:ascii="宋体" w:hAnsi="宋体" w:cs="宋体"/>
                <w:b w:val="0"/>
                <w:i w:val="0"/>
                <w:caps w:val="0"/>
                <w:color w:val="auto"/>
                <w:spacing w:val="0"/>
                <w:w w:val="100"/>
                <w:sz w:val="21"/>
                <w:szCs w:val="21"/>
              </w:rPr>
              <w:t>驻场，开展每年365天*24小时服务。</w:t>
            </w:r>
          </w:p>
        </w:tc>
      </w:tr>
      <w:tr>
        <w:tblPrEx>
          <w:tblCellMar>
            <w:top w:w="0" w:type="dxa"/>
            <w:left w:w="108" w:type="dxa"/>
            <w:bottom w:w="0" w:type="dxa"/>
            <w:right w:w="108" w:type="dxa"/>
          </w:tblCellMar>
        </w:tblPrEx>
        <w:trPr>
          <w:trHeight w:val="49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7.消防系统</w:t>
            </w:r>
          </w:p>
        </w:tc>
      </w:tr>
      <w:tr>
        <w:tblPrEx>
          <w:tblCellMar>
            <w:top w:w="0" w:type="dxa"/>
            <w:left w:w="108" w:type="dxa"/>
            <w:bottom w:w="0" w:type="dxa"/>
            <w:right w:w="108" w:type="dxa"/>
          </w:tblCellMar>
        </w:tblPrEx>
        <w:trPr>
          <w:trHeight w:val="480"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 物流消防系统组成描述</w:t>
            </w:r>
          </w:p>
        </w:tc>
      </w:tr>
      <w:tr>
        <w:tblPrEx>
          <w:tblCellMar>
            <w:top w:w="0" w:type="dxa"/>
            <w:left w:w="108" w:type="dxa"/>
            <w:bottom w:w="0" w:type="dxa"/>
            <w:right w:w="108" w:type="dxa"/>
          </w:tblCellMar>
        </w:tblPrEx>
        <w:trPr>
          <w:trHeight w:val="55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7.1.1 系统组成</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系统由自动防火门/窗及防火控制监控器组成。</w:t>
            </w:r>
          </w:p>
        </w:tc>
      </w:tr>
      <w:tr>
        <w:tblPrEx>
          <w:tblCellMar>
            <w:top w:w="0" w:type="dxa"/>
            <w:left w:w="108" w:type="dxa"/>
            <w:bottom w:w="0" w:type="dxa"/>
            <w:right w:w="108" w:type="dxa"/>
          </w:tblCellMar>
        </w:tblPrEx>
        <w:trPr>
          <w:trHeight w:val="2040" w:hRule="atLeast"/>
        </w:trPr>
        <w:tc>
          <w:tcPr>
            <w:tcW w:w="1062" w:type="pct"/>
            <w:tcBorders>
              <w:top w:val="single" w:color="auto" w:sz="8" w:space="0"/>
              <w:left w:val="single" w:color="auto" w:sz="8" w:space="0"/>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▲自动防火门/窗</w:t>
            </w:r>
          </w:p>
        </w:tc>
        <w:tc>
          <w:tcPr>
            <w:tcW w:w="3938" w:type="pct"/>
            <w:gridSpan w:val="2"/>
            <w:tcBorders>
              <w:top w:val="nil"/>
              <w:left w:val="nil"/>
              <w:bottom w:val="single" w:color="auto" w:sz="4"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每个垂直方向工作站的出入口，均安装自动防火门/窗/防火卷帘及防火控制监控器，保证周转箱出入能自动开启或关闭，防火门/窗/防火卷帘任意向火面材料厚度、防火等级、耐火等级等条件需满足甲级消防规范要求。</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投标文件中需提供有</w:t>
            </w:r>
            <w:r>
              <w:rPr>
                <w:rFonts w:hint="eastAsia" w:ascii="宋体" w:hAnsi="宋体" w:cs="宋体"/>
                <w:b/>
                <w:bCs/>
                <w:i w:val="0"/>
                <w:caps w:val="0"/>
                <w:color w:val="auto"/>
                <w:spacing w:val="0"/>
                <w:w w:val="100"/>
                <w:sz w:val="21"/>
                <w:szCs w:val="21"/>
              </w:rPr>
              <w:t>资质的第三方</w:t>
            </w:r>
            <w:r>
              <w:rPr>
                <w:rFonts w:hint="eastAsia" w:ascii="宋体" w:hAnsi="宋体" w:cs="宋体"/>
                <w:b/>
                <w:bCs/>
                <w:i w:val="0"/>
                <w:caps w:val="0"/>
                <w:color w:val="auto"/>
                <w:spacing w:val="0"/>
                <w:w w:val="100"/>
                <w:sz w:val="21"/>
                <w:szCs w:val="21"/>
              </w:rPr>
              <w:t>出具的有效防火门/窗/防火卷帘检验报告。</w:t>
            </w:r>
          </w:p>
        </w:tc>
      </w:tr>
      <w:tr>
        <w:tblPrEx>
          <w:tblCellMar>
            <w:top w:w="0" w:type="dxa"/>
            <w:left w:w="108" w:type="dxa"/>
            <w:bottom w:w="0" w:type="dxa"/>
            <w:right w:w="108" w:type="dxa"/>
          </w:tblCellMar>
        </w:tblPrEx>
        <w:trPr>
          <w:trHeight w:val="1275" w:hRule="atLeast"/>
        </w:trPr>
        <w:tc>
          <w:tcPr>
            <w:tcW w:w="1062" w:type="pct"/>
            <w:tcBorders>
              <w:top w:val="single" w:color="auto" w:sz="4" w:space="0"/>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▲防火监控器</w:t>
            </w:r>
          </w:p>
        </w:tc>
        <w:tc>
          <w:tcPr>
            <w:tcW w:w="3938" w:type="pct"/>
            <w:gridSpan w:val="2"/>
            <w:tcBorders>
              <w:top w:val="single" w:color="auto" w:sz="4" w:space="0"/>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系统配置防火监控器，可与医院整体消防系统进行联动。一旦出现火警，传输系统确保防火门/窗下方没有传输箱，确保防火门/窗下落。</w:t>
            </w:r>
            <w:r>
              <w:rPr>
                <w:rFonts w:hint="eastAsia" w:ascii="宋体" w:hAnsi="宋体" w:cs="宋体"/>
                <w:b/>
                <w:bCs/>
                <w:i w:val="0"/>
                <w:caps w:val="0"/>
                <w:color w:val="auto"/>
                <w:spacing w:val="0"/>
                <w:w w:val="100"/>
                <w:sz w:val="21"/>
                <w:szCs w:val="21"/>
              </w:rPr>
              <w:t>投标文件中需提供</w:t>
            </w:r>
            <w:r>
              <w:rPr>
                <w:rFonts w:hint="eastAsia" w:ascii="宋体" w:hAnsi="宋体" w:cs="宋体"/>
                <w:b/>
                <w:bCs/>
                <w:i w:val="0"/>
                <w:caps w:val="0"/>
                <w:color w:val="auto"/>
                <w:spacing w:val="0"/>
                <w:w w:val="100"/>
                <w:sz w:val="21"/>
                <w:szCs w:val="21"/>
              </w:rPr>
              <w:t>有资质的第三方</w:t>
            </w:r>
            <w:r>
              <w:rPr>
                <w:rFonts w:hint="eastAsia" w:ascii="宋体" w:hAnsi="宋体" w:cs="宋体"/>
                <w:b/>
                <w:bCs/>
                <w:i w:val="0"/>
                <w:caps w:val="0"/>
                <w:color w:val="auto"/>
                <w:spacing w:val="0"/>
                <w:w w:val="100"/>
                <w:sz w:val="21"/>
                <w:szCs w:val="21"/>
              </w:rPr>
              <w:t>出具的产品检验报告。</w:t>
            </w:r>
          </w:p>
        </w:tc>
      </w:tr>
      <w:tr>
        <w:tblPrEx>
          <w:tblCellMar>
            <w:top w:w="0" w:type="dxa"/>
            <w:left w:w="108" w:type="dxa"/>
            <w:bottom w:w="0" w:type="dxa"/>
            <w:right w:w="108" w:type="dxa"/>
          </w:tblCellMar>
        </w:tblPrEx>
        <w:trPr>
          <w:trHeight w:val="105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7.2消防方案</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系统具备完善的消防设计方案。</w:t>
            </w:r>
            <w:r>
              <w:rPr>
                <w:rFonts w:hint="eastAsia" w:ascii="宋体" w:hAnsi="宋体" w:cs="宋体"/>
                <w:b/>
                <w:bCs/>
                <w:i w:val="0"/>
                <w:caps w:val="0"/>
                <w:color w:val="auto"/>
                <w:spacing w:val="0"/>
                <w:w w:val="100"/>
                <w:sz w:val="21"/>
                <w:szCs w:val="21"/>
              </w:rPr>
              <w:t>投标文件中需提供详细消防方案介绍，并提供已实施医院的物流系统消防设计方案</w:t>
            </w:r>
            <w:r>
              <w:rPr>
                <w:rFonts w:hint="eastAsia" w:ascii="宋体" w:hAnsi="宋体" w:cs="宋体"/>
                <w:b/>
                <w:bCs/>
                <w:i w:val="0"/>
                <w:caps w:val="0"/>
                <w:color w:val="auto"/>
                <w:spacing w:val="0"/>
                <w:w w:val="100"/>
                <w:sz w:val="21"/>
                <w:szCs w:val="21"/>
              </w:rPr>
              <w:t>，通过相关消防部门认定的证明</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82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7.3消防证明</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提供已运行医院消防整体验收的证明</w:t>
            </w:r>
            <w:r>
              <w:rPr>
                <w:rFonts w:hint="eastAsia" w:ascii="宋体" w:hAnsi="宋体" w:cs="宋体"/>
                <w:b w:val="0"/>
                <w:i w:val="0"/>
                <w:caps w:val="0"/>
                <w:color w:val="auto"/>
                <w:spacing w:val="0"/>
                <w:w w:val="100"/>
                <w:sz w:val="21"/>
                <w:szCs w:val="21"/>
              </w:rPr>
              <w:t>。</w:t>
            </w:r>
          </w:p>
        </w:tc>
      </w:tr>
      <w:tr>
        <w:tblPrEx>
          <w:tblCellMar>
            <w:top w:w="0" w:type="dxa"/>
            <w:left w:w="108" w:type="dxa"/>
            <w:bottom w:w="0" w:type="dxa"/>
            <w:right w:w="108" w:type="dxa"/>
          </w:tblCellMar>
        </w:tblPrEx>
        <w:trPr>
          <w:trHeight w:val="570"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8.消毒杀菌及空气环境控制系统</w:t>
            </w:r>
          </w:p>
        </w:tc>
      </w:tr>
      <w:tr>
        <w:tblPrEx>
          <w:tblCellMar>
            <w:top w:w="0" w:type="dxa"/>
            <w:left w:w="108" w:type="dxa"/>
            <w:bottom w:w="0" w:type="dxa"/>
            <w:right w:w="108" w:type="dxa"/>
          </w:tblCellMar>
        </w:tblPrEx>
        <w:trPr>
          <w:trHeight w:val="1020" w:hRule="atLeast"/>
        </w:trPr>
        <w:tc>
          <w:tcPr>
            <w:tcW w:w="1062" w:type="pct"/>
            <w:vMerge w:val="restar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▲8.1 系统描述</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每台主发站的垂直提升机轿厢内，配有环境控制系统，系统包含空气过滤模块、喷雾装置、紫外灯模块。</w:t>
            </w:r>
          </w:p>
        </w:tc>
      </w:tr>
      <w:tr>
        <w:tblPrEx>
          <w:tblCellMar>
            <w:top w:w="0" w:type="dxa"/>
            <w:left w:w="108" w:type="dxa"/>
            <w:bottom w:w="0" w:type="dxa"/>
            <w:right w:w="108" w:type="dxa"/>
          </w:tblCellMar>
        </w:tblPrEx>
        <w:trPr>
          <w:trHeight w:val="415" w:hRule="atLeast"/>
        </w:trPr>
        <w:tc>
          <w:tcPr>
            <w:tcW w:w="1062" w:type="pct"/>
            <w:vMerge w:val="continue"/>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系统对HIN1流感病毒的去除率可达99%、对白色葡萄球菌的除菌率可达99%。投标文件中需提供</w:t>
            </w:r>
            <w:r>
              <w:rPr>
                <w:rFonts w:hint="eastAsia" w:ascii="宋体" w:hAnsi="宋体" w:cs="宋体"/>
                <w:b w:val="0"/>
                <w:i w:val="0"/>
                <w:caps w:val="0"/>
                <w:color w:val="auto"/>
                <w:spacing w:val="0"/>
                <w:w w:val="100"/>
                <w:sz w:val="21"/>
                <w:szCs w:val="21"/>
              </w:rPr>
              <w:t>微生物检测中心</w:t>
            </w:r>
            <w:r>
              <w:rPr>
                <w:rFonts w:hint="eastAsia" w:ascii="宋体" w:hAnsi="宋体" w:cs="宋体"/>
                <w:b w:val="0"/>
                <w:i w:val="0"/>
                <w:caps w:val="0"/>
                <w:color w:val="auto"/>
                <w:spacing w:val="0"/>
                <w:w w:val="100"/>
                <w:sz w:val="21"/>
                <w:szCs w:val="21"/>
              </w:rPr>
              <w:t>出具的检测报告(报告需详细标注对HIN1流感病毒和白色葡萄球菌的去除率)。</w:t>
            </w:r>
          </w:p>
        </w:tc>
      </w:tr>
      <w:tr>
        <w:tblPrEx>
          <w:tblCellMar>
            <w:top w:w="0" w:type="dxa"/>
            <w:left w:w="108" w:type="dxa"/>
            <w:bottom w:w="0" w:type="dxa"/>
            <w:right w:w="108" w:type="dxa"/>
          </w:tblCellMar>
        </w:tblPrEx>
        <w:trPr>
          <w:trHeight w:val="52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9.物流周转箱</w:t>
            </w:r>
          </w:p>
        </w:tc>
      </w:tr>
      <w:tr>
        <w:tblPrEx>
          <w:tblCellMar>
            <w:top w:w="0" w:type="dxa"/>
            <w:left w:w="108" w:type="dxa"/>
            <w:bottom w:w="0" w:type="dxa"/>
            <w:right w:w="108" w:type="dxa"/>
          </w:tblCellMar>
        </w:tblPrEx>
        <w:trPr>
          <w:trHeight w:val="1245" w:hRule="atLeast"/>
        </w:trPr>
        <w:tc>
          <w:tcPr>
            <w:tcW w:w="1062" w:type="pct"/>
            <w:tcBorders>
              <w:top w:val="single" w:color="auto" w:sz="8" w:space="0"/>
              <w:left w:val="single" w:color="auto" w:sz="8" w:space="0"/>
              <w:bottom w:val="nil"/>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9.1周转箱类型</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系统配备标准周转箱、检验科专用周转箱、餐饮保温周转箱、冷链保温周转箱等多种箱体。</w:t>
            </w:r>
          </w:p>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投标文件中需分别提供相应的实物照片。</w:t>
            </w:r>
          </w:p>
        </w:tc>
      </w:tr>
      <w:tr>
        <w:tblPrEx>
          <w:tblCellMar>
            <w:top w:w="0" w:type="dxa"/>
            <w:left w:w="108" w:type="dxa"/>
            <w:bottom w:w="0" w:type="dxa"/>
            <w:right w:w="108" w:type="dxa"/>
          </w:tblCellMar>
        </w:tblPrEx>
        <w:trPr>
          <w:trHeight w:val="465"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10、传输的可靠性</w:t>
            </w:r>
          </w:p>
        </w:tc>
      </w:tr>
      <w:tr>
        <w:tblPrEx>
          <w:tblCellMar>
            <w:top w:w="0" w:type="dxa"/>
            <w:left w:w="108" w:type="dxa"/>
            <w:bottom w:w="0" w:type="dxa"/>
            <w:right w:w="108" w:type="dxa"/>
          </w:tblCellMar>
        </w:tblPrEx>
        <w:trPr>
          <w:trHeight w:val="750"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10.1易损类药品的传输</w:t>
            </w:r>
          </w:p>
        </w:tc>
        <w:tc>
          <w:tcPr>
            <w:tcW w:w="3938" w:type="pct"/>
            <w:gridSpan w:val="2"/>
            <w:tcBorders>
              <w:top w:val="nil"/>
              <w:left w:val="nil"/>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系统运行平稳，无翻转，可保证玻璃包装的易破碎药品运输，</w:t>
            </w:r>
            <w:r>
              <w:rPr>
                <w:rFonts w:hint="eastAsia" w:ascii="宋体" w:hAnsi="宋体" w:cs="宋体"/>
                <w:b/>
                <w:bCs/>
                <w:i w:val="0"/>
                <w:caps w:val="0"/>
                <w:color w:val="auto"/>
                <w:spacing w:val="0"/>
                <w:w w:val="100"/>
                <w:sz w:val="21"/>
                <w:szCs w:val="21"/>
              </w:rPr>
              <w:t>投标文件需提供己使用医院加盖单位公章的证明文件。</w:t>
            </w:r>
          </w:p>
        </w:tc>
      </w:tr>
      <w:tr>
        <w:tblPrEx>
          <w:tblCellMar>
            <w:top w:w="0" w:type="dxa"/>
            <w:left w:w="108" w:type="dxa"/>
            <w:bottom w:w="0" w:type="dxa"/>
            <w:right w:w="108" w:type="dxa"/>
          </w:tblCellMar>
        </w:tblPrEx>
        <w:trPr>
          <w:trHeight w:val="510" w:hRule="atLeast"/>
        </w:trPr>
        <w:tc>
          <w:tcPr>
            <w:tcW w:w="5000" w:type="pct"/>
            <w:gridSpan w:val="3"/>
            <w:tcBorders>
              <w:top w:val="single" w:color="auto" w:sz="8" w:space="0"/>
              <w:left w:val="single" w:color="auto" w:sz="8" w:space="0"/>
              <w:bottom w:val="single" w:color="auto" w:sz="8" w:space="0"/>
              <w:right w:val="single" w:color="auto" w:sz="4"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11、箱式物流传输系统设备生产能力与资质要求</w:t>
            </w:r>
          </w:p>
        </w:tc>
      </w:tr>
      <w:tr>
        <w:tblPrEx>
          <w:tblCellMar>
            <w:top w:w="0" w:type="dxa"/>
            <w:left w:w="108" w:type="dxa"/>
            <w:bottom w:w="0" w:type="dxa"/>
            <w:right w:w="108" w:type="dxa"/>
          </w:tblCellMar>
        </w:tblPrEx>
        <w:trPr>
          <w:trHeight w:val="675" w:hRule="atLeast"/>
        </w:trPr>
        <w:tc>
          <w:tcPr>
            <w:tcW w:w="1062" w:type="pct"/>
            <w:tcBorders>
              <w:top w:val="nil"/>
              <w:left w:val="single" w:color="auto" w:sz="8" w:space="0"/>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11.1</w:t>
            </w:r>
          </w:p>
        </w:tc>
        <w:tc>
          <w:tcPr>
            <w:tcW w:w="3938" w:type="pct"/>
            <w:gridSpan w:val="2"/>
            <w:tcBorders>
              <w:top w:val="nil"/>
              <w:left w:val="nil"/>
              <w:bottom w:val="single" w:color="auto" w:sz="8" w:space="0"/>
              <w:right w:val="single" w:color="auto" w:sz="8" w:space="0"/>
            </w:tcBorders>
            <w:shd w:val="clear" w:color="auto" w:fill="auto"/>
            <w:vAlign w:val="center"/>
          </w:tcPr>
          <w:p>
            <w:pPr>
              <w:snapToGrid w:val="0"/>
              <w:spacing w:before="0" w:beforeAutospacing="0" w:after="0" w:afterAutospacing="0" w:line="360" w:lineRule="exact"/>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提供中型箱式物流传输系统质量标准。</w:t>
            </w:r>
          </w:p>
        </w:tc>
      </w:tr>
    </w:tbl>
    <w:p>
      <w:pPr>
        <w:pStyle w:val="27"/>
        <w:snapToGrid w:val="0"/>
        <w:spacing w:before="271" w:beforeAutospacing="0" w:after="271" w:afterAutospacing="0" w:line="360" w:lineRule="exact"/>
        <w:jc w:val="center"/>
        <w:textAlignment w:val="baseline"/>
        <w:rPr>
          <w:rFonts w:ascii="宋体" w:hAnsi="宋体" w:cs="宋体"/>
          <w:b/>
          <w:bCs/>
          <w:i w:val="0"/>
          <w:caps w:val="0"/>
          <w:color w:val="auto"/>
          <w:spacing w:val="0"/>
          <w:w w:val="100"/>
          <w:sz w:val="24"/>
          <w:szCs w:val="24"/>
        </w:rPr>
      </w:pPr>
      <w:r>
        <w:rPr>
          <w:rFonts w:hint="eastAsia" w:ascii="宋体" w:hAnsi="宋体" w:cs="宋体"/>
          <w:b/>
          <w:bCs/>
          <w:i w:val="0"/>
          <w:caps w:val="0"/>
          <w:color w:val="auto"/>
          <w:spacing w:val="0"/>
          <w:w w:val="100"/>
          <w:sz w:val="24"/>
          <w:szCs w:val="24"/>
        </w:rPr>
        <w:t>三、货物清单</w:t>
      </w:r>
    </w:p>
    <w:p>
      <w:pPr>
        <w:pStyle w:val="79"/>
        <w:snapToGrid w:val="0"/>
        <w:spacing w:before="0" w:beforeAutospacing="0" w:after="135" w:afterAutospacing="0" w:line="360" w:lineRule="exact"/>
        <w:ind w:firstLine="422" w:firstLineChars="200"/>
        <w:jc w:val="both"/>
        <w:textAlignment w:val="baseline"/>
        <w:rPr>
          <w:rFonts w:hAnsi="宋体" w:cs="宋体"/>
          <w:b w:val="0"/>
          <w:i w:val="0"/>
          <w:caps w:val="0"/>
          <w:color w:val="auto"/>
          <w:spacing w:val="0"/>
          <w:w w:val="100"/>
          <w:sz w:val="21"/>
          <w:szCs w:val="21"/>
        </w:rPr>
      </w:pPr>
      <w:r>
        <w:rPr>
          <w:rFonts w:hint="eastAsia" w:hAnsi="宋体" w:cs="宋体"/>
          <w:b/>
          <w:bCs/>
          <w:i w:val="0"/>
          <w:caps w:val="0"/>
          <w:color w:val="auto"/>
          <w:spacing w:val="0"/>
          <w:w w:val="100"/>
          <w:sz w:val="21"/>
          <w:szCs w:val="21"/>
        </w:rPr>
        <w:t>※气动物流系统材料清单（包括但不限于）</w:t>
      </w:r>
    </w:p>
    <w:tbl>
      <w:tblPr>
        <w:tblStyle w:val="30"/>
        <w:tblW w:w="4998" w:type="pct"/>
        <w:tblInd w:w="0" w:type="dxa"/>
        <w:tblLayout w:type="autofit"/>
        <w:tblCellMar>
          <w:top w:w="15" w:type="dxa"/>
          <w:left w:w="15" w:type="dxa"/>
          <w:bottom w:w="15" w:type="dxa"/>
          <w:right w:w="15" w:type="dxa"/>
        </w:tblCellMar>
      </w:tblPr>
      <w:tblGrid>
        <w:gridCol w:w="568"/>
        <w:gridCol w:w="2090"/>
        <w:gridCol w:w="2434"/>
        <w:gridCol w:w="872"/>
        <w:gridCol w:w="3701"/>
      </w:tblGrid>
      <w:tr>
        <w:tblPrEx>
          <w:tblCellMar>
            <w:top w:w="15" w:type="dxa"/>
            <w:left w:w="15" w:type="dxa"/>
            <w:bottom w:w="15" w:type="dxa"/>
            <w:right w:w="15" w:type="dxa"/>
          </w:tblCellMar>
        </w:tblPrEx>
        <w:trPr>
          <w:trHeight w:val="286" w:hRule="atLeast"/>
        </w:trPr>
        <w:tc>
          <w:tcPr>
            <w:tcW w:w="294" w:type="pct"/>
            <w:tcBorders>
              <w:top w:val="single" w:color="auto" w:sz="4" w:space="0"/>
              <w:left w:val="single" w:color="auto"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序号</w:t>
            </w:r>
          </w:p>
        </w:tc>
        <w:tc>
          <w:tcPr>
            <w:tcW w:w="1081" w:type="pct"/>
            <w:tcBorders>
              <w:top w:val="single" w:color="auto"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名称</w:t>
            </w:r>
          </w:p>
        </w:tc>
        <w:tc>
          <w:tcPr>
            <w:tcW w:w="1259" w:type="pct"/>
            <w:tcBorders>
              <w:top w:val="single" w:color="auto"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型号</w:t>
            </w:r>
          </w:p>
        </w:tc>
        <w:tc>
          <w:tcPr>
            <w:tcW w:w="451" w:type="pct"/>
            <w:tcBorders>
              <w:top w:val="single" w:color="auto"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单位</w:t>
            </w:r>
          </w:p>
        </w:tc>
        <w:tc>
          <w:tcPr>
            <w:tcW w:w="1912" w:type="pct"/>
            <w:tcBorders>
              <w:top w:val="single" w:color="auto"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数量</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一</w:t>
            </w:r>
          </w:p>
        </w:tc>
        <w:tc>
          <w:tcPr>
            <w:tcW w:w="4705" w:type="pct"/>
            <w:gridSpan w:val="4"/>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硬件部分</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1.1</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站点部分</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baseline"/>
              <w:rPr>
                <w:rFonts w:ascii="宋体" w:hAnsi="宋体" w:cs="宋体"/>
                <w:b/>
                <w:i w:val="0"/>
                <w:caps w:val="0"/>
                <w:color w:val="auto"/>
                <w:spacing w:val="0"/>
                <w:w w:val="100"/>
                <w:sz w:val="20"/>
                <w:szCs w:val="21"/>
              </w:rPr>
            </w:pP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1.1.1</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智能化站点</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标准站点</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27</w:t>
            </w:r>
          </w:p>
        </w:tc>
      </w:tr>
      <w:tr>
        <w:tblPrEx>
          <w:tblCellMar>
            <w:top w:w="15" w:type="dxa"/>
            <w:left w:w="15" w:type="dxa"/>
            <w:bottom w:w="15" w:type="dxa"/>
            <w:right w:w="15" w:type="dxa"/>
          </w:tblCellMar>
        </w:tblPrEx>
        <w:trPr>
          <w:trHeight w:val="510"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站点配件</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传输瓶盛放架+缓冲接受篮</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26</w:t>
            </w:r>
          </w:p>
        </w:tc>
      </w:tr>
      <w:tr>
        <w:tblPrEx>
          <w:tblCellMar>
            <w:top w:w="15" w:type="dxa"/>
            <w:left w:w="15" w:type="dxa"/>
            <w:bottom w:w="15" w:type="dxa"/>
            <w:right w:w="15" w:type="dxa"/>
          </w:tblCellMar>
        </w:tblPrEx>
        <w:trPr>
          <w:trHeight w:val="810"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检验科（血液科）接收平台</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1.5m滑动平台滑轨</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1.1.2</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传送瓶</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每个站点配置两个</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54</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1.2</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空压机系统/附件</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baseline"/>
              <w:rPr>
                <w:rFonts w:ascii="宋体" w:hAnsi="宋体" w:cs="宋体"/>
                <w:b/>
                <w:i w:val="0"/>
                <w:caps w:val="0"/>
                <w:color w:val="auto"/>
                <w:spacing w:val="0"/>
                <w:w w:val="100"/>
                <w:sz w:val="20"/>
                <w:szCs w:val="21"/>
              </w:rPr>
            </w:pP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1.2.1</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风压机</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德国ELEKTROR 5.5SD380V</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台</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风机控制系统</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每台风机配1套</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光电传感装置</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按图配置</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风压机配套</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旁通装置，每台风机配一套</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1.2.2</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三向转换器</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系统设计数量</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1.2.3</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区域转换器</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系统设计数量</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1.3</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传输管道</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baseline"/>
              <w:rPr>
                <w:rFonts w:ascii="宋体" w:hAnsi="宋体" w:cs="宋体"/>
                <w:b/>
                <w:i w:val="0"/>
                <w:caps w:val="0"/>
                <w:color w:val="auto"/>
                <w:spacing w:val="0"/>
                <w:w w:val="100"/>
                <w:sz w:val="20"/>
                <w:szCs w:val="21"/>
              </w:rPr>
            </w:pP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1.3.1</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PVC直管</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160X3.2mm</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米</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1484</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1.3.2</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PVC弯管</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160X3.2mm r=800mm</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120</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1.3.3</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PVC管套</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baseline"/>
              <w:rPr>
                <w:rFonts w:ascii="宋体" w:hAnsi="宋体" w:cs="宋体"/>
                <w:b w:val="0"/>
                <w:i w:val="0"/>
                <w:caps w:val="0"/>
                <w:color w:val="auto"/>
                <w:spacing w:val="0"/>
                <w:w w:val="100"/>
                <w:sz w:val="20"/>
                <w:szCs w:val="21"/>
              </w:rPr>
            </w:pP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424</w:t>
            </w:r>
          </w:p>
        </w:tc>
      </w:tr>
      <w:tr>
        <w:tblPrEx>
          <w:tblCellMar>
            <w:top w:w="15" w:type="dxa"/>
            <w:left w:w="15" w:type="dxa"/>
            <w:bottom w:w="15" w:type="dxa"/>
            <w:right w:w="15" w:type="dxa"/>
          </w:tblCellMar>
        </w:tblPrEx>
        <w:trPr>
          <w:trHeight w:val="540"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1.3.4</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配件</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含直管、管套、管箍、不锈钢管套和空气弯管）</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1.3.5</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系统控制电缆</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通讯供电线缆</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米</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1484</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二</w:t>
            </w:r>
          </w:p>
        </w:tc>
        <w:tc>
          <w:tcPr>
            <w:tcW w:w="4705" w:type="pct"/>
            <w:gridSpan w:val="4"/>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软件系统</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主控电源+主监控系统</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监控电脑和电源系统</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系统控制软件</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基础控制软件</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区域控制系统软件</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baseline"/>
              <w:rPr>
                <w:rFonts w:ascii="宋体" w:hAnsi="宋体" w:cs="宋体"/>
                <w:b w:val="0"/>
                <w:i w:val="0"/>
                <w:caps w:val="0"/>
                <w:color w:val="auto"/>
                <w:spacing w:val="0"/>
                <w:w w:val="100"/>
                <w:sz w:val="20"/>
                <w:szCs w:val="21"/>
              </w:rPr>
            </w:pP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2.3</w:t>
            </w:r>
          </w:p>
        </w:tc>
        <w:tc>
          <w:tcPr>
            <w:tcW w:w="108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BUS型号转换装置</w:t>
            </w:r>
          </w:p>
        </w:tc>
        <w:tc>
          <w:tcPr>
            <w:tcW w:w="1259"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信号转换系统和网络</w:t>
            </w:r>
          </w:p>
        </w:tc>
        <w:tc>
          <w:tcPr>
            <w:tcW w:w="451" w:type="pct"/>
            <w:tcBorders>
              <w:top w:val="single" w:color="000000" w:sz="4" w:space="0"/>
              <w:left w:val="single" w:color="000000" w:sz="4"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bottom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三</w:t>
            </w:r>
          </w:p>
        </w:tc>
        <w:tc>
          <w:tcPr>
            <w:tcW w:w="4705" w:type="pct"/>
            <w:gridSpan w:val="4"/>
            <w:tcBorders>
              <w:top w:val="single" w:color="000000" w:sz="4" w:space="0"/>
              <w:left w:val="single" w:color="000000" w:sz="4" w:space="0"/>
              <w:bottom w:val="single" w:color="000000" w:sz="4" w:space="0"/>
              <w:right w:val="single" w:color="000000" w:sz="12"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运输、安装、调试等</w:t>
            </w:r>
          </w:p>
        </w:tc>
      </w:tr>
      <w:tr>
        <w:tblPrEx>
          <w:tblCellMar>
            <w:top w:w="15" w:type="dxa"/>
            <w:left w:w="15" w:type="dxa"/>
            <w:bottom w:w="15" w:type="dxa"/>
            <w:right w:w="15" w:type="dxa"/>
          </w:tblCellMar>
        </w:tblPrEx>
        <w:trPr>
          <w:trHeight w:val="286" w:hRule="atLeast"/>
        </w:trPr>
        <w:tc>
          <w:tcPr>
            <w:tcW w:w="294" w:type="pct"/>
            <w:tcBorders>
              <w:top w:val="single" w:color="000000" w:sz="4" w:space="0"/>
              <w:left w:val="single" w:color="000000" w:sz="12"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w:t>
            </w:r>
          </w:p>
        </w:tc>
        <w:tc>
          <w:tcPr>
            <w:tcW w:w="1081" w:type="pct"/>
            <w:tcBorders>
              <w:top w:val="single" w:color="000000" w:sz="4" w:space="0"/>
              <w:left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安装材料费</w:t>
            </w:r>
          </w:p>
        </w:tc>
        <w:tc>
          <w:tcPr>
            <w:tcW w:w="1259" w:type="pct"/>
            <w:tcBorders>
              <w:top w:val="single" w:color="000000" w:sz="4" w:space="0"/>
              <w:left w:val="single" w:color="000000" w:sz="4" w:space="0"/>
              <w:right w:val="single" w:color="000000" w:sz="4" w:space="0"/>
            </w:tcBorders>
            <w:shd w:val="clear" w:color="auto" w:fill="FFFFFF"/>
            <w:vAlign w:val="center"/>
          </w:tcPr>
          <w:p>
            <w:pPr>
              <w:snapToGrid w:val="0"/>
              <w:spacing w:before="0" w:beforeAutospacing="0" w:after="0" w:afterAutospacing="0" w:line="312" w:lineRule="auto"/>
              <w:jc w:val="left"/>
              <w:textAlignment w:val="baseline"/>
              <w:rPr>
                <w:rFonts w:ascii="宋体" w:hAnsi="宋体" w:cs="宋体"/>
                <w:b w:val="0"/>
                <w:i w:val="0"/>
                <w:caps w:val="0"/>
                <w:color w:val="auto"/>
                <w:spacing w:val="0"/>
                <w:w w:val="100"/>
                <w:sz w:val="20"/>
                <w:szCs w:val="21"/>
              </w:rPr>
            </w:pPr>
          </w:p>
        </w:tc>
        <w:tc>
          <w:tcPr>
            <w:tcW w:w="451" w:type="pct"/>
            <w:tcBorders>
              <w:top w:val="single" w:color="000000" w:sz="4" w:space="0"/>
              <w:left w:val="single" w:color="000000" w:sz="4"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1912" w:type="pct"/>
            <w:tcBorders>
              <w:top w:val="single" w:color="000000" w:sz="4" w:space="0"/>
              <w:left w:val="single" w:color="000000" w:sz="4"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r>
      <w:tr>
        <w:tblPrEx>
          <w:tblCellMar>
            <w:top w:w="15" w:type="dxa"/>
            <w:left w:w="15" w:type="dxa"/>
            <w:bottom w:w="15" w:type="dxa"/>
            <w:right w:w="15" w:type="dxa"/>
          </w:tblCellMar>
        </w:tblPrEx>
        <w:trPr>
          <w:trHeight w:val="286" w:hRule="atLeast"/>
        </w:trPr>
        <w:tc>
          <w:tcPr>
            <w:tcW w:w="294" w:type="pct"/>
            <w:tcBorders>
              <w:top w:val="single" w:color="000000" w:sz="12" w:space="0"/>
              <w:left w:val="single" w:color="000000" w:sz="12" w:space="0"/>
              <w:bottom w:val="single" w:color="000000" w:sz="12"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w:t>
            </w:r>
          </w:p>
        </w:tc>
        <w:tc>
          <w:tcPr>
            <w:tcW w:w="1081" w:type="pct"/>
            <w:tcBorders>
              <w:top w:val="single" w:color="000000" w:sz="12" w:space="0"/>
              <w:left w:val="single" w:color="000000" w:sz="4" w:space="0"/>
              <w:bottom w:val="single" w:color="000000" w:sz="12" w:space="0"/>
              <w:right w:val="single" w:color="000000" w:sz="4" w:space="0"/>
            </w:tcBorders>
            <w:shd w:val="clear" w:color="auto" w:fill="FFFFFF"/>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安装人工费</w:t>
            </w:r>
          </w:p>
        </w:tc>
        <w:tc>
          <w:tcPr>
            <w:tcW w:w="1259" w:type="pct"/>
            <w:tcBorders>
              <w:top w:val="single" w:color="000000" w:sz="12" w:space="0"/>
              <w:left w:val="single" w:color="000000" w:sz="4" w:space="0"/>
              <w:bottom w:val="single" w:color="000000" w:sz="12" w:space="0"/>
              <w:right w:val="single" w:color="000000" w:sz="4" w:space="0"/>
            </w:tcBorders>
            <w:shd w:val="clear" w:color="auto" w:fill="FFFFFF"/>
            <w:vAlign w:val="center"/>
          </w:tcPr>
          <w:p>
            <w:pPr>
              <w:snapToGrid w:val="0"/>
              <w:spacing w:before="0" w:beforeAutospacing="0" w:after="0" w:afterAutospacing="0" w:line="312" w:lineRule="auto"/>
              <w:jc w:val="left"/>
              <w:textAlignment w:val="baseline"/>
              <w:rPr>
                <w:rFonts w:ascii="宋体" w:hAnsi="宋体" w:cs="宋体"/>
                <w:b w:val="0"/>
                <w:i w:val="0"/>
                <w:caps w:val="0"/>
                <w:color w:val="auto"/>
                <w:spacing w:val="0"/>
                <w:w w:val="100"/>
                <w:sz w:val="20"/>
                <w:szCs w:val="21"/>
              </w:rPr>
            </w:pPr>
          </w:p>
        </w:tc>
        <w:tc>
          <w:tcPr>
            <w:tcW w:w="451" w:type="pct"/>
            <w:tcBorders>
              <w:top w:val="single" w:color="000000" w:sz="12" w:space="0"/>
              <w:left w:val="single" w:color="000000" w:sz="4" w:space="0"/>
              <w:bottom w:val="single" w:color="000000" w:sz="12" w:space="0"/>
              <w:right w:val="single" w:color="000000" w:sz="4"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c>
          <w:tcPr>
            <w:tcW w:w="1912" w:type="pct"/>
            <w:tcBorders>
              <w:top w:val="single" w:color="000000" w:sz="12" w:space="0"/>
              <w:left w:val="single" w:color="000000" w:sz="4" w:space="0"/>
              <w:bottom w:val="single" w:color="000000" w:sz="12" w:space="0"/>
              <w:right w:val="single" w:color="000000" w:sz="12" w:space="0"/>
            </w:tcBorders>
            <w:shd w:val="clear" w:color="auto" w:fill="FFFFFF"/>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27</w:t>
            </w:r>
          </w:p>
        </w:tc>
      </w:tr>
    </w:tbl>
    <w:p>
      <w:pPr>
        <w:pStyle w:val="79"/>
        <w:snapToGrid w:val="0"/>
        <w:spacing w:before="216" w:beforeAutospacing="0" w:after="216" w:afterAutospacing="0" w:line="360" w:lineRule="exact"/>
        <w:ind w:firstLine="422" w:firstLineChars="200"/>
        <w:jc w:val="both"/>
        <w:textAlignment w:val="baseline"/>
        <w:rPr>
          <w:rFonts w:hAnsi="宋体" w:cs="宋体"/>
          <w:b/>
          <w:bCs/>
          <w:i w:val="0"/>
          <w:caps w:val="0"/>
          <w:color w:val="auto"/>
          <w:spacing w:val="0"/>
          <w:w w:val="100"/>
          <w:sz w:val="21"/>
          <w:szCs w:val="21"/>
        </w:rPr>
      </w:pPr>
      <w:r>
        <w:rPr>
          <w:rFonts w:hint="eastAsia" w:hAnsi="宋体" w:cs="宋体"/>
          <w:b/>
          <w:bCs/>
          <w:i w:val="0"/>
          <w:caps w:val="0"/>
          <w:color w:val="auto"/>
          <w:spacing w:val="0"/>
          <w:w w:val="100"/>
          <w:sz w:val="21"/>
          <w:szCs w:val="21"/>
        </w:rPr>
        <w:t>※中型箱式物流系统清单（包括但不限于）</w:t>
      </w:r>
    </w:p>
    <w:tbl>
      <w:tblPr>
        <w:tblStyle w:val="30"/>
        <w:tblW w:w="4997" w:type="pct"/>
        <w:tblInd w:w="0" w:type="dxa"/>
        <w:tblLayout w:type="autofit"/>
        <w:tblCellMar>
          <w:top w:w="15" w:type="dxa"/>
          <w:left w:w="15" w:type="dxa"/>
          <w:bottom w:w="15" w:type="dxa"/>
          <w:right w:w="15" w:type="dxa"/>
        </w:tblCellMar>
      </w:tblPr>
      <w:tblGrid>
        <w:gridCol w:w="655"/>
        <w:gridCol w:w="1494"/>
        <w:gridCol w:w="1266"/>
        <w:gridCol w:w="4301"/>
        <w:gridCol w:w="1013"/>
        <w:gridCol w:w="934"/>
      </w:tblGrid>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序号</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名称</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类型</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型号</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组成数量</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单位</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1</w:t>
            </w:r>
          </w:p>
        </w:tc>
        <w:tc>
          <w:tcPr>
            <w:tcW w:w="466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left"/>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垂直提升机械设备</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垂直分拣机LT1</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高往复、管井尺寸:长1.6m、宽1.6米，最大线速度105m/min</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缓冲器采用耗能型缓冲器，限速器采用离心式结构型式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永磁同步无齿轮结构型式，交流变频变压调速驱动，限速器采用离心式结构型式，工作时噪声指标≤45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箱位总成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一提四箱位设计</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垂直分拣机LT2</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高往复、管井尺寸:长1.6m、宽1.6米，最大线速度105m/min</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缓冲器采用耗能型缓冲器，限速器采用离心式结构型式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永磁同步无齿轮结构型式，交流变频变压调速驱动，限速器采用离心式结构型式，工作时噪声指标≤45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箱位总成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一提四箱位设计</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垂直分拣机LT3</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高往复、管井尺寸:长2.6m、宽1.6米，最大线速度105m/min</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缓冲器采用耗能型缓冲器，限速器采用离心式结构型式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永磁同步无齿轮结构型式，交流变频变压调速驱动，限速器采用离心式结构型式，工作时噪声指标≤45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箱位总成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一提四箱位设计</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1.7</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垂直分拣机LT4</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管井尺寸:长1.6m、宽1.6米，速度2M/S，承载重量300KG，动力满足轿厢内四箱位动力系统</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加强加宽型静音同步带密封式滑块、内嵌自润滑装置，工作时噪声指标≤45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箱位总成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一提四箱位设计</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垂直分拣机LT5</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高往复、管井尺寸:长1.6m、宽1.6米，最大线速度105m/min</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缓冲器采用耗能型缓冲器，限速器采用离心式结构型式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永磁同步无齿轮结构型式，交流变频变压调速驱动，限速器采用离心式结构型式，工作时噪声指标≤45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箱位总成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一提四箱位设计，搭配消毒模块</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1.5</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垂直分拣机LT6</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高往复、管井尺寸:长1.6m、宽1.6米，最大线速度105m/min</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缓冲器采用耗能型缓冲器，限速器采用离心式结构型式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永磁同步无齿轮结构型式，交流变频变压调速驱动，限速器采用离心式结构型式，工作时噪声指标≤45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箱位总成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一提四箱位设计，搭配消毒模块</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垂直分拣机LT7</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高往复、管井尺寸:长2.6m、宽1.6米，最大线速度105m/min</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缓冲器采用耗能型缓冲器，限速器采用离心式结构型式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永磁同步无齿轮结构型式，交流变频变压调速驱动，限速器采用离心式结构型式，工作时噪声指标≤45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箱位总成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一提四箱位设计</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垂直分拣机LT8</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高往复、管井尺寸:长2.6m、宽1.6米，最大线速度105m/min</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缓冲器采用耗能型缓冲器，限速器采用离心式结构型式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永磁同步无齿轮结构型式，交流变频变压调速驱动，限速器采用离心式结构型式，工作时噪声指标≤45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箱位总成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一提四箱位设计</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2</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智能站点总成</w:t>
            </w:r>
          </w:p>
        </w:tc>
        <w:tc>
          <w:tcPr>
            <w:tcW w:w="3886"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i w:val="0"/>
                <w:caps w:val="0"/>
                <w:color w:val="auto"/>
                <w:spacing w:val="0"/>
                <w:w w:val="100"/>
                <w:sz w:val="20"/>
                <w:szCs w:val="21"/>
              </w:rPr>
            </w:pPr>
          </w:p>
        </w:tc>
      </w:tr>
      <w:tr>
        <w:tblPrEx>
          <w:tblCellMar>
            <w:top w:w="15" w:type="dxa"/>
            <w:left w:w="15" w:type="dxa"/>
            <w:bottom w:w="15" w:type="dxa"/>
            <w:right w:w="15" w:type="dxa"/>
          </w:tblCellMar>
        </w:tblPrEx>
        <w:trPr>
          <w:trHeight w:val="36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2.1</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智能站点外观</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智能站点外观</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双层停靠4箱位+智能化站点总成（含站点安全防护系统）</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站点模组总成</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站点使用模组</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智能交互集成、工作时噪声指标≤45 分贝</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3</w:t>
            </w:r>
          </w:p>
        </w:tc>
        <w:tc>
          <w:tcPr>
            <w:tcW w:w="466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left"/>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水平输送分拣机械设备（滚筒驱动方式或双侧皮带传输方式，二选一）</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3.1</w:t>
            </w:r>
          </w:p>
        </w:tc>
        <w:tc>
          <w:tcPr>
            <w:tcW w:w="466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left"/>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水平输送分拣机械设备（滚筒驱动方式）</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3.1.1</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双层积方式动力输送线A型</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最大通过率1000件/小时，主动辊筒电机满足30次/分钟的启/停频次</w:t>
            </w:r>
          </w:p>
        </w:tc>
        <w:tc>
          <w:tcPr>
            <w:tcW w:w="5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24</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输送装置总成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电机驱动，功率0.09KW。工作时噪声指标≤45 分贝</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尺寸：长1.00m、宽0.54m，轴间距120mm，不小于2.5mm高强度冷轧碳钢材料</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3.1.2</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双层积方式动力输送线B型</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最大通过率1000件/小时</w:t>
            </w:r>
          </w:p>
        </w:tc>
        <w:tc>
          <w:tcPr>
            <w:tcW w:w="5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228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输送装置总成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电机驱动，功率0.09KW。工作时噪声指标≤45 分贝</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尺寸：长3.00m、宽0.54m，轴间距120mm，不小于2.5mm高强度冷轧碳钢材料</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3.1.3</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多角度转向分拣装置A型</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最大通过率1000件/小时</w:t>
            </w:r>
          </w:p>
        </w:tc>
        <w:tc>
          <w:tcPr>
            <w:tcW w:w="5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输送装置总成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电机驱动，功率0.09KW。工作时噪声指标≤45 分贝</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尺寸：长2.5m、宽0.54m，轴间距120mm，不小于2.5mm高强度冷轧碳钢材料</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3.1.4</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多角度转向分拣装置B型</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最大通过率1000件/小时</w:t>
            </w:r>
          </w:p>
        </w:tc>
        <w:tc>
          <w:tcPr>
            <w:tcW w:w="5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输送装置总成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电动辊筒驱动，功率0.09KW。工作时噪声指标≤45 分贝</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尺寸：长0.75m、宽0.54m，轴间距120mm，不小于2.5mm高强度冷轧碳钢材料</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3.1.5</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多角度转向分拣装置C型</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动力总成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最大通过率1000件/小时</w:t>
            </w:r>
          </w:p>
        </w:tc>
        <w:tc>
          <w:tcPr>
            <w:tcW w:w="5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输送装置总成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电动辊筒驱动，功率0.09KW。工作时噪声指标≤45 分贝</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尺寸：长0.75m、宽0.54m，轴间距120mm，不小于2.5mm高强度冷轧碳钢材料</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3.1.6</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倾斜式多角度输送机</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驱动电机</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最大通过率1000件/小时</w:t>
            </w:r>
          </w:p>
        </w:tc>
        <w:tc>
          <w:tcPr>
            <w:tcW w:w="5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输送装置总成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电机驱动，功率1.5KW。工作时噪声指标≤45 分贝</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结构总成</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尺寸：长4.00m、宽0.54m，轴间距120mm，不小于2.5mm高强度冷轧碳钢材料</w:t>
            </w:r>
          </w:p>
        </w:tc>
        <w:tc>
          <w:tcPr>
            <w:tcW w:w="5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54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w:t>
            </w:r>
          </w:p>
        </w:tc>
        <w:tc>
          <w:tcPr>
            <w:tcW w:w="466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left"/>
              <w:textAlignment w:val="center"/>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水平输送分拣机械设备（双侧皮带传输方式）</w:t>
            </w:r>
          </w:p>
        </w:tc>
      </w:tr>
      <w:tr>
        <w:tblPrEx>
          <w:tblCellMar>
            <w:top w:w="15" w:type="dxa"/>
            <w:left w:w="15" w:type="dxa"/>
            <w:bottom w:w="15" w:type="dxa"/>
            <w:right w:w="15" w:type="dxa"/>
          </w:tblCellMar>
        </w:tblPrEx>
        <w:trPr>
          <w:trHeight w:val="54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3.2.1</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水平传输线</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p>
        </w:tc>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传输速度≥0.75米/秒，负荷不低于50公斤。</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830</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米</w:t>
            </w:r>
          </w:p>
        </w:tc>
      </w:tr>
      <w:tr>
        <w:tblPrEx>
          <w:tblCellMar>
            <w:top w:w="15" w:type="dxa"/>
            <w:left w:w="15" w:type="dxa"/>
            <w:bottom w:w="15" w:type="dxa"/>
            <w:right w:w="15" w:type="dxa"/>
          </w:tblCellMar>
        </w:tblPrEx>
        <w:trPr>
          <w:trHeight w:val="54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3.2.2</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90度转换器</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p>
        </w:tc>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用于连接传输线的T布局设计和90拐弯，具备90度自旋转功能，占有空间≤0.5平方米。</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44</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台</w:t>
            </w:r>
          </w:p>
        </w:tc>
      </w:tr>
      <w:tr>
        <w:tblPrEx>
          <w:tblCellMar>
            <w:top w:w="15" w:type="dxa"/>
            <w:left w:w="15" w:type="dxa"/>
            <w:bottom w:w="15" w:type="dxa"/>
            <w:right w:w="15" w:type="dxa"/>
          </w:tblCellMar>
        </w:tblPrEx>
        <w:trPr>
          <w:trHeight w:val="540" w:hRule="atLeast"/>
        </w:trPr>
        <w:tc>
          <w:tcPr>
            <w:tcW w:w="655"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3.2.3</w:t>
            </w:r>
          </w:p>
        </w:tc>
        <w:tc>
          <w:tcPr>
            <w:tcW w:w="149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水平换轨机</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p>
        </w:tc>
        <w:tc>
          <w:tcPr>
            <w:tcW w:w="4301"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用于水平线之间转换</w:t>
            </w:r>
          </w:p>
        </w:tc>
        <w:tc>
          <w:tcPr>
            <w:tcW w:w="1013"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w:t>
            </w:r>
          </w:p>
        </w:tc>
        <w:tc>
          <w:tcPr>
            <w:tcW w:w="934" w:type="dxa"/>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台</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4</w:t>
            </w:r>
          </w:p>
        </w:tc>
        <w:tc>
          <w:tcPr>
            <w:tcW w:w="466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left"/>
              <w:textAlignment w:val="baseline"/>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医院物资管理平台V1.0</w:t>
            </w:r>
          </w:p>
        </w:tc>
      </w:tr>
      <w:tr>
        <w:tblPrEx>
          <w:tblCellMar>
            <w:top w:w="15" w:type="dxa"/>
            <w:left w:w="15" w:type="dxa"/>
            <w:bottom w:w="15" w:type="dxa"/>
            <w:right w:w="15" w:type="dxa"/>
          </w:tblCellMar>
        </w:tblPrEx>
        <w:trPr>
          <w:trHeight w:val="54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4.1</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WCS调度管理软件系统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管理层网络采用TCP/IP Ethernet高速以太网，实现各管理子系统如HIS系统，SCADA系统</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90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物流远程监控软件系统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系统实时监控画面以3D动画的效果呈现，真实展现物资输送的场景，便利地了解实时物资状况。3D画面具有无级缩放功能，运行监控时，都能够无限的扩展可视空间。</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4.2.1</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条码管理软件系统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能自动识别周转箱条码信息，实现输送、升降、贮存等功能</w:t>
            </w:r>
          </w:p>
        </w:tc>
        <w:tc>
          <w:tcPr>
            <w:tcW w:w="100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包含</w:t>
            </w:r>
          </w:p>
        </w:tc>
      </w:tr>
      <w:tr>
        <w:tblPrEx>
          <w:tblCellMar>
            <w:top w:w="15" w:type="dxa"/>
            <w:left w:w="15" w:type="dxa"/>
            <w:bottom w:w="15" w:type="dxa"/>
            <w:right w:w="15" w:type="dxa"/>
          </w:tblCellMar>
        </w:tblPrEx>
        <w:trPr>
          <w:trHeight w:val="90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4.2.2</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物流系统远程运维软件系统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系统实时监控画面以3D动画的效果呈现，真实展现物资输送的场景，便利地了解实时物资状况。3D画面具有无级缩放功能，运行监控时，都能够无限的扩展可视空间。</w:t>
            </w:r>
          </w:p>
        </w:tc>
        <w:tc>
          <w:tcPr>
            <w:tcW w:w="100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包含</w:t>
            </w:r>
          </w:p>
        </w:tc>
      </w:tr>
      <w:tr>
        <w:tblPrEx>
          <w:tblCellMar>
            <w:top w:w="15" w:type="dxa"/>
            <w:left w:w="15" w:type="dxa"/>
            <w:bottom w:w="15" w:type="dxa"/>
            <w:right w:w="15" w:type="dxa"/>
          </w:tblCellMar>
        </w:tblPrEx>
        <w:trPr>
          <w:trHeight w:val="72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4.2.3</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物流智能站点交互软件系统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站点的收发状态可以通过智能化显示终端图形化呈现，站点收发物资实现柔性化提醒，结合图形及标准国语发音</w:t>
            </w:r>
          </w:p>
        </w:tc>
        <w:tc>
          <w:tcPr>
            <w:tcW w:w="1005"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包含</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电控控制系统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72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4.3.1</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垂直输送电控系统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降低功耗控制系统具有节能功能，设备运行一段时间后（时间在SCADA系统可修改）无新的运输任务时进入休眠停止状态</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磁栅尺定位</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服务器系统采用双服务器模式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主控控制柜</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4.3.2</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智能站点电控系统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实现各分布式标准化子系统和ASI网管之间数据交互</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服务器系统采用双服务器模式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站点控制盒</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720"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4.3.3</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水平分拣电控系统</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降低功耗控制系统具有节能功能，设备运行一段时间后（时间在SCADA系统可修改）无新的运输任务时进入休眠停止状态</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360"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实现各分布式标准化子系统和ASI网管之间数据交互</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服务器系统采用双服务器模式</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分段控制柜</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25</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4.3.4</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专用网络</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5</w:t>
            </w:r>
          </w:p>
        </w:tc>
        <w:tc>
          <w:tcPr>
            <w:tcW w:w="466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物流系统辅助设备材料</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5.1</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医用周转箱</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周转箱</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300</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5.2</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其他</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手持终端、监控电脑等</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6</w:t>
            </w:r>
          </w:p>
        </w:tc>
        <w:tc>
          <w:tcPr>
            <w:tcW w:w="466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安装调试费用</w:t>
            </w:r>
          </w:p>
        </w:tc>
      </w:tr>
      <w:tr>
        <w:tblPrEx>
          <w:tblCellMar>
            <w:top w:w="15" w:type="dxa"/>
            <w:left w:w="15" w:type="dxa"/>
            <w:bottom w:w="15" w:type="dxa"/>
            <w:right w:w="15" w:type="dxa"/>
          </w:tblCellMar>
        </w:tblPrEx>
        <w:trPr>
          <w:trHeight w:val="271"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6.1</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安装材料费</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垂直提升机安装材料、耗材</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水平输送线安装材料、耗材</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33</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6.2</w:t>
            </w:r>
          </w:p>
        </w:tc>
        <w:tc>
          <w:tcPr>
            <w:tcW w:w="77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安装、调试费用</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提升机安装、调试费</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71" w:hRule="atLeast"/>
        </w:trPr>
        <w:tc>
          <w:tcPr>
            <w:tcW w:w="3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77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水平线安装、调试费</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186</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86"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i w:val="0"/>
                <w:caps w:val="0"/>
                <w:color w:val="auto"/>
                <w:spacing w:val="0"/>
                <w:w w:val="100"/>
                <w:sz w:val="20"/>
                <w:szCs w:val="21"/>
              </w:rPr>
            </w:pPr>
            <w:r>
              <w:rPr>
                <w:rFonts w:hint="eastAsia" w:ascii="宋体" w:hAnsi="宋体" w:cs="宋体"/>
                <w:b/>
                <w:i w:val="0"/>
                <w:caps w:val="0"/>
                <w:color w:val="auto"/>
                <w:spacing w:val="0"/>
                <w:w w:val="100"/>
                <w:sz w:val="21"/>
                <w:szCs w:val="21"/>
              </w:rPr>
              <w:t>7</w:t>
            </w:r>
          </w:p>
        </w:tc>
        <w:tc>
          <w:tcPr>
            <w:tcW w:w="466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i w:val="0"/>
                <w:caps w:val="0"/>
                <w:color w:val="auto"/>
                <w:spacing w:val="0"/>
                <w:w w:val="100"/>
                <w:sz w:val="21"/>
                <w:szCs w:val="21"/>
              </w:rPr>
              <w:t>监控中心机房</w:t>
            </w:r>
          </w:p>
        </w:tc>
      </w:tr>
      <w:tr>
        <w:tblPrEx>
          <w:tblCellMar>
            <w:top w:w="15" w:type="dxa"/>
            <w:left w:w="15" w:type="dxa"/>
            <w:bottom w:w="15" w:type="dxa"/>
            <w:right w:w="15" w:type="dxa"/>
          </w:tblCellMar>
        </w:tblPrEx>
        <w:trPr>
          <w:trHeight w:val="540"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7.1</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商用电脑</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计算机</w:t>
            </w: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CPU：i7及以上，显卡：6G独立显卡，内存：32G及以上，硬盘：2T及以上</w:t>
            </w: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台</w:t>
            </w:r>
          </w:p>
        </w:tc>
      </w:tr>
      <w:tr>
        <w:tblPrEx>
          <w:tblCellMar>
            <w:top w:w="15" w:type="dxa"/>
            <w:left w:w="15" w:type="dxa"/>
            <w:bottom w:w="15" w:type="dxa"/>
            <w:right w:w="15" w:type="dxa"/>
          </w:tblCellMar>
        </w:tblPrEx>
        <w:trPr>
          <w:trHeight w:val="286"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7.2</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桌椅</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r>
        <w:tblPrEx>
          <w:tblCellMar>
            <w:top w:w="15" w:type="dxa"/>
            <w:left w:w="15" w:type="dxa"/>
            <w:bottom w:w="15" w:type="dxa"/>
            <w:right w:w="15" w:type="dxa"/>
          </w:tblCellMar>
        </w:tblPrEx>
        <w:trPr>
          <w:trHeight w:val="286" w:hRule="atLeast"/>
        </w:trPr>
        <w:tc>
          <w:tcPr>
            <w:tcW w:w="339"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7.3</w:t>
            </w:r>
          </w:p>
        </w:tc>
        <w:tc>
          <w:tcPr>
            <w:tcW w:w="773"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显示大屏</w:t>
            </w:r>
          </w:p>
        </w:tc>
        <w:tc>
          <w:tcPr>
            <w:tcW w:w="65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2225"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baseline"/>
              <w:rPr>
                <w:rFonts w:ascii="宋体" w:hAnsi="宋体" w:cs="宋体"/>
                <w:b w:val="0"/>
                <w:i w:val="0"/>
                <w:caps w:val="0"/>
                <w:color w:val="auto"/>
                <w:spacing w:val="0"/>
                <w:w w:val="100"/>
                <w:sz w:val="20"/>
                <w:szCs w:val="21"/>
              </w:rPr>
            </w:pPr>
          </w:p>
        </w:tc>
        <w:tc>
          <w:tcPr>
            <w:tcW w:w="524"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481" w:type="pct"/>
            <w:tcBorders>
              <w:top w:val="single" w:color="000000" w:sz="4" w:space="0"/>
              <w:left w:val="single" w:color="000000" w:sz="4" w:space="0"/>
              <w:bottom w:val="single" w:color="000000" w:sz="4" w:space="0"/>
              <w:right w:val="single" w:color="000000" w:sz="4" w:space="0"/>
            </w:tcBorders>
            <w:shd w:val="clear" w:color="auto" w:fill="auto"/>
            <w:vAlign w:val="center"/>
          </w:tcPr>
          <w:p>
            <w:pPr>
              <w:snapToGrid w:val="0"/>
              <w:spacing w:before="0" w:beforeAutospacing="0" w:after="0" w:afterAutospacing="0" w:line="312"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r>
    </w:tbl>
    <w:p>
      <w:pPr>
        <w:pStyle w:val="79"/>
        <w:snapToGrid w:val="0"/>
        <w:spacing w:before="216" w:beforeAutospacing="0" w:after="216" w:afterAutospacing="0" w:line="360" w:lineRule="exact"/>
        <w:ind w:firstLine="422" w:firstLineChars="200"/>
        <w:jc w:val="both"/>
        <w:textAlignment w:val="baseline"/>
        <w:rPr>
          <w:rFonts w:hAnsi="宋体" w:cs="宋体"/>
          <w:b/>
          <w:bCs/>
          <w:i w:val="0"/>
          <w:caps w:val="0"/>
          <w:color w:val="auto"/>
          <w:spacing w:val="0"/>
          <w:w w:val="100"/>
          <w:sz w:val="21"/>
          <w:szCs w:val="21"/>
        </w:rPr>
      </w:pPr>
      <w:r>
        <w:rPr>
          <w:rFonts w:hint="eastAsia" w:hAnsi="宋体" w:cs="宋体"/>
          <w:b/>
          <w:bCs/>
          <w:i w:val="0"/>
          <w:caps w:val="0"/>
          <w:color w:val="auto"/>
          <w:spacing w:val="0"/>
          <w:w w:val="100"/>
          <w:sz w:val="21"/>
          <w:szCs w:val="21"/>
        </w:rPr>
        <w:t>※物流工程配套设备清单（包括但不限于）</w:t>
      </w:r>
    </w:p>
    <w:tbl>
      <w:tblPr>
        <w:tblStyle w:val="30"/>
        <w:tblW w:w="4998" w:type="pct"/>
        <w:tblInd w:w="0" w:type="dxa"/>
        <w:tblLayout w:type="autofit"/>
        <w:tblCellMar>
          <w:top w:w="0" w:type="dxa"/>
          <w:left w:w="108" w:type="dxa"/>
          <w:bottom w:w="0" w:type="dxa"/>
          <w:right w:w="108" w:type="dxa"/>
        </w:tblCellMar>
      </w:tblPr>
      <w:tblGrid>
        <w:gridCol w:w="867"/>
        <w:gridCol w:w="1985"/>
        <w:gridCol w:w="4913"/>
        <w:gridCol w:w="842"/>
        <w:gridCol w:w="1244"/>
      </w:tblGrid>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序号</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项目</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具体内容</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单位</w:t>
            </w:r>
          </w:p>
        </w:tc>
        <w:tc>
          <w:tcPr>
            <w:tcW w:w="63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数量</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挖土方</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1、人工挖基坑土方 一、二类土 深度在2m内</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m3</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37</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基础</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普通预拌混凝土 C30</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m3</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w:t>
            </w:r>
          </w:p>
        </w:tc>
      </w:tr>
      <w:tr>
        <w:tblPrEx>
          <w:tblCellMar>
            <w:top w:w="0" w:type="dxa"/>
            <w:left w:w="108" w:type="dxa"/>
            <w:bottom w:w="0" w:type="dxa"/>
            <w:right w:w="108" w:type="dxa"/>
          </w:tblCellMar>
        </w:tblPrEx>
        <w:trPr>
          <w:trHeight w:val="48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钢筋混凝土墙</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1、普通预拌混凝土 C30 抗渗P6</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2、普通预拌混凝土 C30 粒径为40mm石子</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m3</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15</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回填方</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xml:space="preserve">回填土 </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m3</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32</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余土弃置</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m3</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5.2</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垫层</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预拌细石混凝土 C15</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m3</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r>
      <w:tr>
        <w:tblPrEx>
          <w:tblCellMar>
            <w:top w:w="0" w:type="dxa"/>
            <w:left w:w="108" w:type="dxa"/>
            <w:bottom w:w="0" w:type="dxa"/>
            <w:right w:w="108" w:type="dxa"/>
          </w:tblCellMar>
        </w:tblPrEx>
        <w:trPr>
          <w:trHeight w:val="72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防水</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1、单组份聚氨酯涂膜防水 平面 2mm厚</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2、屋面自粘高分子防水卷材 冷贴 满铺</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m2</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165</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现浇构件钢筋</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1、现浇构件带肋钢筋 Ф25以内</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t</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4.8</w:t>
            </w:r>
          </w:p>
        </w:tc>
      </w:tr>
      <w:tr>
        <w:tblPrEx>
          <w:tblCellMar>
            <w:top w:w="0" w:type="dxa"/>
            <w:left w:w="108" w:type="dxa"/>
            <w:bottom w:w="0" w:type="dxa"/>
            <w:right w:w="108" w:type="dxa"/>
          </w:tblCellMar>
        </w:tblPrEx>
        <w:trPr>
          <w:trHeight w:val="120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9</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金属面油漆</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1、金属面 防锈漆 2遍</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2、金属面铝银油 二遍</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3、金属面耐热漆 二遍</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4、金属面 薄型B防火涂料 耐火极限h(涂层厚度mm) 2.0h(5.5mm)</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m2</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3047</w:t>
            </w:r>
          </w:p>
        </w:tc>
      </w:tr>
      <w:tr>
        <w:tblPrEx>
          <w:tblCellMar>
            <w:top w:w="0" w:type="dxa"/>
            <w:left w:w="108" w:type="dxa"/>
            <w:bottom w:w="0" w:type="dxa"/>
            <w:right w:w="108" w:type="dxa"/>
          </w:tblCellMar>
        </w:tblPrEx>
        <w:trPr>
          <w:trHeight w:val="14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钢构通道架</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1、附墙钢支架 制作</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2、金属结构件场内运输</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3、住宅钢结构 钢支撑 每根构件质量≤3t</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4、通道钢支撑</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5、附墙钢支架 安装</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t</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57</w:t>
            </w:r>
          </w:p>
        </w:tc>
      </w:tr>
      <w:tr>
        <w:tblPrEx>
          <w:tblCellMar>
            <w:top w:w="0" w:type="dxa"/>
            <w:left w:w="108" w:type="dxa"/>
            <w:bottom w:w="0" w:type="dxa"/>
            <w:right w:w="108" w:type="dxa"/>
          </w:tblCellMar>
        </w:tblPrEx>
        <w:trPr>
          <w:trHeight w:val="72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水平通道保温板层</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1、隔音墙加装吸音棉</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2、饰面层 镀锌薄钢板墙面</w:t>
            </w:r>
          </w:p>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3、饰面板 彩钢夹芯墙面板 100mm</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m2</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2868.75</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定制百叶窗</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个</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120</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通道配套</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照明、检修平台等</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425</w:t>
            </w:r>
          </w:p>
        </w:tc>
      </w:tr>
      <w:tr>
        <w:tblPrEx>
          <w:tblCellMar>
            <w:top w:w="0" w:type="dxa"/>
            <w:left w:w="108" w:type="dxa"/>
            <w:bottom w:w="0" w:type="dxa"/>
            <w:right w:w="108" w:type="dxa"/>
          </w:tblCellMar>
        </w:tblPrEx>
        <w:trPr>
          <w:trHeight w:val="24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机房装修</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硬装、空调、水电</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m2</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20</w:t>
            </w:r>
          </w:p>
        </w:tc>
      </w:tr>
      <w:tr>
        <w:tblPrEx>
          <w:tblCellMar>
            <w:top w:w="0" w:type="dxa"/>
            <w:left w:w="108" w:type="dxa"/>
            <w:bottom w:w="0" w:type="dxa"/>
            <w:right w:w="108" w:type="dxa"/>
          </w:tblCellMar>
        </w:tblPrEx>
        <w:trPr>
          <w:trHeight w:val="480" w:hRule="atLeast"/>
        </w:trPr>
        <w:tc>
          <w:tcPr>
            <w:tcW w:w="440"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15</w:t>
            </w:r>
          </w:p>
        </w:tc>
        <w:tc>
          <w:tcPr>
            <w:tcW w:w="1007"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其他</w:t>
            </w:r>
          </w:p>
        </w:tc>
        <w:tc>
          <w:tcPr>
            <w:tcW w:w="2492"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编织布围护、通道内脚手架、通道外施工围护架、安全挡板等</w:t>
            </w:r>
          </w:p>
        </w:tc>
        <w:tc>
          <w:tcPr>
            <w:tcW w:w="427" w:type="pct"/>
            <w:tcBorders>
              <w:top w:val="single" w:color="auto" w:sz="6" w:space="0"/>
              <w:left w:val="single" w:color="auto" w:sz="6" w:space="0"/>
              <w:bottom w:val="single" w:color="auto" w:sz="6" w:space="0"/>
              <w:right w:val="single" w:color="auto" w:sz="6" w:space="0"/>
              <w:tl2br w:val="nil"/>
              <w:tr2bl w:val="nil"/>
            </w:tcBorders>
            <w:shd w:val="solid" w:color="FFFFFF" w:fill="auto"/>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套</w:t>
            </w:r>
          </w:p>
        </w:tc>
        <w:tc>
          <w:tcPr>
            <w:tcW w:w="631" w:type="pct"/>
            <w:tcBorders>
              <w:top w:val="single" w:color="auto" w:sz="6" w:space="0"/>
              <w:left w:val="single" w:color="auto" w:sz="6" w:space="0"/>
              <w:bottom w:val="single" w:color="auto" w:sz="6" w:space="0"/>
              <w:right w:val="single" w:color="auto" w:sz="6" w:space="0"/>
              <w:tl2br w:val="nil"/>
              <w:tr2bl w:val="nil"/>
            </w:tcBorders>
            <w:vAlign w:val="center"/>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r>
    </w:tbl>
    <w:p>
      <w:pPr>
        <w:pStyle w:val="2"/>
        <w:snapToGrid w:val="0"/>
        <w:spacing w:before="0" w:beforeAutospacing="0" w:after="0" w:afterAutospacing="0" w:line="360" w:lineRule="auto"/>
        <w:jc w:val="both"/>
        <w:textAlignment w:val="baseline"/>
        <w:rPr>
          <w:rFonts w:ascii="Arial" w:hAnsi="Arial"/>
          <w:b/>
          <w:i w:val="0"/>
          <w:caps w:val="0"/>
          <w:color w:val="auto"/>
          <w:spacing w:val="0"/>
          <w:w w:val="100"/>
          <w:sz w:val="24"/>
        </w:rPr>
      </w:pPr>
    </w:p>
    <w:p>
      <w:pPr>
        <w:snapToGrid w:val="0"/>
        <w:spacing w:before="135" w:beforeAutospacing="0" w:after="135" w:afterAutospacing="0" w:line="400" w:lineRule="exact"/>
        <w:ind w:firstLine="482" w:firstLineChars="200"/>
        <w:jc w:val="left"/>
        <w:textAlignment w:val="baseline"/>
        <w:rPr>
          <w:rFonts w:ascii="宋体" w:hAnsi="宋体" w:cs="宋体"/>
          <w:b/>
          <w:i w:val="0"/>
          <w:caps w:val="0"/>
          <w:color w:val="auto"/>
          <w:spacing w:val="0"/>
          <w:w w:val="100"/>
          <w:sz w:val="24"/>
          <w:szCs w:val="24"/>
        </w:rPr>
      </w:pPr>
      <w:r>
        <w:rPr>
          <w:rFonts w:hint="eastAsia" w:ascii="宋体" w:hAnsi="宋体" w:cs="宋体"/>
          <w:b/>
          <w:i w:val="0"/>
          <w:caps w:val="0"/>
          <w:color w:val="auto"/>
          <w:spacing w:val="0"/>
          <w:w w:val="100"/>
          <w:sz w:val="24"/>
          <w:szCs w:val="24"/>
        </w:rPr>
        <w:t>提示清单（包括但不限于）</w:t>
      </w:r>
    </w:p>
    <w:tbl>
      <w:tblPr>
        <w:tblStyle w:val="30"/>
        <w:tblW w:w="4997" w:type="pct"/>
        <w:tblInd w:w="0" w:type="dxa"/>
        <w:tblLayout w:type="autofit"/>
        <w:tblCellMar>
          <w:top w:w="0" w:type="dxa"/>
          <w:left w:w="108" w:type="dxa"/>
          <w:bottom w:w="0" w:type="dxa"/>
          <w:right w:w="108" w:type="dxa"/>
        </w:tblCellMar>
      </w:tblPr>
      <w:tblGrid>
        <w:gridCol w:w="817"/>
        <w:gridCol w:w="2799"/>
        <w:gridCol w:w="6233"/>
      </w:tblGrid>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序号</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项  目</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具体内容</w:t>
            </w:r>
          </w:p>
        </w:tc>
      </w:tr>
      <w:tr>
        <w:tblPrEx>
          <w:tblCellMar>
            <w:top w:w="0" w:type="dxa"/>
            <w:left w:w="108" w:type="dxa"/>
            <w:bottom w:w="0" w:type="dxa"/>
            <w:right w:w="108" w:type="dxa"/>
          </w:tblCellMar>
        </w:tblPrEx>
        <w:trPr>
          <w:trHeight w:val="539"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现场必须发生的费用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详见投标人须知前附表第3.2.4条款和投标报价表</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Style w:val="80"/>
                <w:rFonts w:hint="eastAsia" w:ascii="宋体" w:hAnsi="宋体" w:cs="宋体"/>
                <w:b w:val="0"/>
                <w:i w:val="0"/>
                <w:caps w:val="0"/>
                <w:color w:val="auto"/>
                <w:spacing w:val="0"/>
                <w:w w:val="100"/>
                <w:kern w:val="2"/>
                <w:sz w:val="21"/>
                <w:szCs w:val="21"/>
              </w:rPr>
              <w:t>设备机房内的装饰装修费用（含水电暖），对现有建筑物的物流管道等的结构补强加固等费用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详见招标范围、投标人须知前附表第3.2.4条款</w:t>
            </w:r>
          </w:p>
        </w:tc>
      </w:tr>
      <w:tr>
        <w:tblPrEx>
          <w:tblCellMar>
            <w:top w:w="0" w:type="dxa"/>
            <w:left w:w="108" w:type="dxa"/>
            <w:bottom w:w="0" w:type="dxa"/>
            <w:right w:w="108" w:type="dxa"/>
          </w:tblCellMar>
        </w:tblPrEx>
        <w:trPr>
          <w:trHeight w:val="240"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Style w:val="80"/>
                <w:rFonts w:ascii="宋体" w:hAnsi="宋体" w:cs="宋体"/>
                <w:b w:val="0"/>
                <w:i w:val="0"/>
                <w:caps w:val="0"/>
                <w:color w:val="auto"/>
                <w:spacing w:val="0"/>
                <w:w w:val="100"/>
                <w:kern w:val="2"/>
                <w:sz w:val="20"/>
                <w:szCs w:val="21"/>
              </w:rPr>
            </w:pPr>
            <w:r>
              <w:rPr>
                <w:rFonts w:hint="eastAsia" w:ascii="宋体" w:hAnsi="宋体" w:cs="宋体"/>
                <w:b w:val="0"/>
                <w:i w:val="0"/>
                <w:caps w:val="0"/>
                <w:color w:val="auto"/>
                <w:spacing w:val="0"/>
                <w:w w:val="100"/>
                <w:sz w:val="21"/>
                <w:szCs w:val="21"/>
              </w:rPr>
              <w:t>工程施工过程中的开孔和工程完工后的填补、修复与清理工作等等费用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详见投标人须知前附表第3.2.4条款</w:t>
            </w:r>
          </w:p>
        </w:tc>
      </w:tr>
      <w:tr>
        <w:tblPrEx>
          <w:tblCellMar>
            <w:top w:w="0" w:type="dxa"/>
            <w:left w:w="108" w:type="dxa"/>
            <w:bottom w:w="0" w:type="dxa"/>
            <w:right w:w="108" w:type="dxa"/>
          </w:tblCellMar>
        </w:tblPrEx>
        <w:trPr>
          <w:trHeight w:val="583" w:hRule="atLeast"/>
        </w:trPr>
        <w:tc>
          <w:tcPr>
            <w:tcW w:w="415" w:type="pct"/>
            <w:tcBorders>
              <w:top w:val="single" w:color="auto" w:sz="6" w:space="0"/>
              <w:left w:val="single" w:color="auto" w:sz="6" w:space="0"/>
              <w:bottom w:val="single" w:color="auto" w:sz="6" w:space="0"/>
              <w:right w:val="single" w:color="auto" w:sz="6" w:space="0"/>
              <w:tl2br w:val="nil"/>
              <w:tr2bl w:val="nil"/>
            </w:tcBorders>
            <w:shd w:val="clear" w:color="auto" w:fill="auto"/>
          </w:tcPr>
          <w:p>
            <w:pPr>
              <w:snapToGrid w:val="0"/>
              <w:spacing w:before="0" w:beforeAutospacing="0" w:after="0" w:afterAutospacing="0" w:line="360" w:lineRule="exact"/>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c>
          <w:tcPr>
            <w:tcW w:w="1421"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双方自行协商解决费用</w:t>
            </w:r>
          </w:p>
        </w:tc>
        <w:tc>
          <w:tcPr>
            <w:tcW w:w="3164" w:type="pct"/>
            <w:tcBorders>
              <w:top w:val="single" w:color="auto" w:sz="6" w:space="0"/>
              <w:left w:val="single" w:color="auto" w:sz="6" w:space="0"/>
              <w:bottom w:val="single" w:color="auto" w:sz="6" w:space="0"/>
              <w:right w:val="single" w:color="auto" w:sz="6" w:space="0"/>
              <w:tl2br w:val="nil"/>
              <w:tr2bl w:val="nil"/>
            </w:tcBorders>
            <w:shd w:val="solid" w:color="FFFFFF" w:fill="auto"/>
          </w:tcPr>
          <w:p>
            <w:pPr>
              <w:snapToGrid w:val="0"/>
              <w:spacing w:before="0" w:beforeAutospacing="0" w:after="0" w:afterAutospacing="0" w:line="360" w:lineRule="exact"/>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详见投标人须知前附表第3.2.4条款</w:t>
            </w:r>
          </w:p>
        </w:tc>
      </w:tr>
    </w:tbl>
    <w:p>
      <w:pPr>
        <w:pStyle w:val="47"/>
        <w:snapToGrid w:val="0"/>
        <w:spacing w:before="0" w:beforeAutospacing="0" w:after="0" w:afterAutospacing="0" w:line="360" w:lineRule="auto"/>
        <w:ind w:firstLine="420" w:firstLineChars="200"/>
        <w:jc w:val="both"/>
        <w:textAlignment w:val="baseline"/>
        <w:rPr>
          <w:rFonts w:ascii="Times New Roman" w:hAnsi="Times New Roman" w:eastAsia="宋体" w:cs="Times New Roman"/>
          <w:b w:val="0"/>
          <w:i w:val="0"/>
          <w:caps w:val="0"/>
          <w:color w:val="auto"/>
          <w:spacing w:val="0"/>
          <w:w w:val="100"/>
          <w:sz w:val="24"/>
        </w:rPr>
      </w:pPr>
      <w:r>
        <w:rPr>
          <w:rFonts w:hint="eastAsia"/>
          <w:b w:val="0"/>
          <w:i w:val="0"/>
          <w:caps w:val="0"/>
          <w:color w:val="auto"/>
          <w:spacing w:val="0"/>
          <w:w w:val="100"/>
          <w:sz w:val="21"/>
          <w:szCs w:val="21"/>
        </w:rPr>
        <w:t>特别提醒：此提示清单仅为了提醒投标单位报价时须（需）考虑的内容，实际内容以投标单位在投标报价表中填报的为准。</w:t>
      </w:r>
    </w:p>
    <w:p>
      <w:pPr>
        <w:snapToGrid w:val="0"/>
        <w:spacing w:before="135" w:beforeAutospacing="0" w:after="135" w:afterAutospacing="0" w:line="400" w:lineRule="exact"/>
        <w:ind w:firstLine="482" w:firstLineChars="200"/>
        <w:jc w:val="center"/>
        <w:textAlignment w:val="baseline"/>
        <w:rPr>
          <w:rFonts w:ascii="宋体" w:hAnsi="宋体" w:cs="宋体"/>
          <w:b/>
          <w:i w:val="0"/>
          <w:caps w:val="0"/>
          <w:color w:val="auto"/>
          <w:spacing w:val="0"/>
          <w:w w:val="100"/>
          <w:sz w:val="24"/>
          <w:szCs w:val="24"/>
        </w:rPr>
      </w:pPr>
      <w:r>
        <w:rPr>
          <w:rFonts w:hint="eastAsia" w:ascii="宋体" w:hAnsi="宋体" w:cs="宋体"/>
          <w:b/>
          <w:i w:val="0"/>
          <w:caps w:val="0"/>
          <w:color w:val="auto"/>
          <w:spacing w:val="0"/>
          <w:w w:val="100"/>
          <w:sz w:val="24"/>
          <w:szCs w:val="24"/>
        </w:rPr>
        <w:t>四、备品备件（易损件）清单</w:t>
      </w:r>
    </w:p>
    <w:p>
      <w:pPr>
        <w:pStyle w:val="47"/>
        <w:snapToGrid w:val="0"/>
        <w:spacing w:before="0" w:beforeAutospacing="0" w:after="0" w:afterAutospacing="0" w:line="360" w:lineRule="auto"/>
        <w:ind w:firstLine="422" w:firstLineChars="200"/>
        <w:jc w:val="left"/>
        <w:textAlignment w:val="baseline"/>
        <w:rPr>
          <w:rFonts w:ascii="宋体" w:hAnsi="宋体" w:cs="宋体"/>
          <w:b w:val="0"/>
          <w:i w:val="0"/>
          <w:caps w:val="0"/>
          <w:color w:val="auto"/>
          <w:spacing w:val="0"/>
          <w:w w:val="100"/>
          <w:sz w:val="21"/>
          <w:szCs w:val="21"/>
          <w:lang w:val="en-US"/>
        </w:rPr>
      </w:pPr>
      <w:r>
        <w:rPr>
          <w:rFonts w:hint="eastAsia" w:ascii="宋体" w:hAnsi="宋体" w:cs="宋体"/>
          <w:b/>
          <w:bCs/>
          <w:i w:val="0"/>
          <w:caps w:val="0"/>
          <w:color w:val="auto"/>
          <w:spacing w:val="0"/>
          <w:w w:val="100"/>
          <w:sz w:val="21"/>
          <w:szCs w:val="21"/>
        </w:rPr>
        <w:t>气动物流系统备品备件（易损件）清单（包括但不限于）</w:t>
      </w:r>
    </w:p>
    <w:tbl>
      <w:tblPr>
        <w:tblStyle w:val="30"/>
        <w:tblW w:w="5000" w:type="pct"/>
        <w:tblInd w:w="0" w:type="dxa"/>
        <w:tblLayout w:type="autofit"/>
        <w:tblCellMar>
          <w:top w:w="0" w:type="dxa"/>
          <w:left w:w="108" w:type="dxa"/>
          <w:bottom w:w="0" w:type="dxa"/>
          <w:right w:w="108" w:type="dxa"/>
        </w:tblCellMar>
      </w:tblPr>
      <w:tblGrid>
        <w:gridCol w:w="1403"/>
        <w:gridCol w:w="4825"/>
        <w:gridCol w:w="1813"/>
        <w:gridCol w:w="1814"/>
      </w:tblGrid>
      <w:tr>
        <w:tblPrEx>
          <w:tblCellMar>
            <w:top w:w="0" w:type="dxa"/>
            <w:left w:w="108" w:type="dxa"/>
            <w:bottom w:w="0" w:type="dxa"/>
            <w:right w:w="108" w:type="dxa"/>
          </w:tblCellMar>
        </w:tblPrEx>
        <w:trPr>
          <w:trHeight w:val="454" w:hRule="exact"/>
        </w:trPr>
        <w:tc>
          <w:tcPr>
            <w:tcW w:w="712"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序号</w:t>
            </w:r>
          </w:p>
        </w:tc>
        <w:tc>
          <w:tcPr>
            <w:tcW w:w="2448" w:type="pct"/>
            <w:tcBorders>
              <w:top w:val="single" w:color="auto" w:sz="4" w:space="0"/>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物料名称</w:t>
            </w:r>
          </w:p>
        </w:tc>
        <w:tc>
          <w:tcPr>
            <w:tcW w:w="920" w:type="pct"/>
            <w:tcBorders>
              <w:top w:val="single" w:color="auto" w:sz="4" w:space="0"/>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单位</w:t>
            </w:r>
          </w:p>
        </w:tc>
        <w:tc>
          <w:tcPr>
            <w:tcW w:w="920" w:type="pct"/>
            <w:tcBorders>
              <w:top w:val="single" w:color="auto" w:sz="4" w:space="0"/>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数量</w:t>
            </w:r>
          </w:p>
        </w:tc>
      </w:tr>
      <w:tr>
        <w:tblPrEx>
          <w:tblCellMar>
            <w:top w:w="0" w:type="dxa"/>
            <w:left w:w="108" w:type="dxa"/>
            <w:bottom w:w="0" w:type="dxa"/>
            <w:right w:w="108" w:type="dxa"/>
          </w:tblCellMar>
        </w:tblPrEx>
        <w:trPr>
          <w:trHeight w:val="454" w:hRule="exact"/>
        </w:trPr>
        <w:tc>
          <w:tcPr>
            <w:tcW w:w="71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2448" w:type="pct"/>
            <w:tcBorders>
              <w:top w:val="nil"/>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机械管道检测装置</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71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2448" w:type="pct"/>
            <w:tcBorders>
              <w:top w:val="nil"/>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光信号管道检测装置</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71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2448" w:type="pct"/>
            <w:tcBorders>
              <w:top w:val="nil"/>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站点内部24V驱动装置</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71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c>
          <w:tcPr>
            <w:tcW w:w="2448" w:type="pct"/>
            <w:tcBorders>
              <w:top w:val="nil"/>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站点光电</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71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c>
          <w:tcPr>
            <w:tcW w:w="2448" w:type="pct"/>
            <w:tcBorders>
              <w:top w:val="nil"/>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160传输瓶尼龙圈</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920"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bl>
    <w:p>
      <w:pPr>
        <w:snapToGrid w:val="0"/>
        <w:spacing w:before="135" w:beforeAutospacing="0" w:after="135" w:afterAutospacing="0" w:line="400" w:lineRule="exact"/>
        <w:ind w:firstLine="422" w:firstLineChars="200"/>
        <w:jc w:val="left"/>
        <w:textAlignment w:val="baseline"/>
        <w:rPr>
          <w:rFonts w:ascii="宋体" w:hAnsi="宋体" w:cs="宋体"/>
          <w:b w:val="0"/>
          <w:i w:val="0"/>
          <w:caps w:val="0"/>
          <w:strike/>
          <w:color w:val="auto"/>
          <w:spacing w:val="0"/>
          <w:w w:val="100"/>
          <w:sz w:val="20"/>
          <w:szCs w:val="21"/>
        </w:rPr>
      </w:pPr>
      <w:r>
        <w:rPr>
          <w:rFonts w:hint="eastAsia" w:ascii="宋体" w:hAnsi="宋体" w:cs="宋体"/>
          <w:b/>
          <w:bCs/>
          <w:i w:val="0"/>
          <w:caps w:val="0"/>
          <w:color w:val="auto"/>
          <w:spacing w:val="0"/>
          <w:w w:val="100"/>
          <w:sz w:val="21"/>
          <w:szCs w:val="21"/>
        </w:rPr>
        <w:t>中型箱式物流系统备品备件（易损件）清单（包括但不限于）</w:t>
      </w:r>
    </w:p>
    <w:tbl>
      <w:tblPr>
        <w:tblStyle w:val="30"/>
        <w:tblW w:w="5000" w:type="pct"/>
        <w:tblInd w:w="0" w:type="dxa"/>
        <w:tblLayout w:type="autofit"/>
        <w:tblCellMar>
          <w:top w:w="0" w:type="dxa"/>
          <w:left w:w="108" w:type="dxa"/>
          <w:bottom w:w="0" w:type="dxa"/>
          <w:right w:w="108" w:type="dxa"/>
        </w:tblCellMar>
      </w:tblPr>
      <w:tblGrid>
        <w:gridCol w:w="1166"/>
        <w:gridCol w:w="4007"/>
        <w:gridCol w:w="2341"/>
        <w:gridCol w:w="2341"/>
      </w:tblGrid>
      <w:tr>
        <w:tblPrEx>
          <w:tblCellMar>
            <w:top w:w="0" w:type="dxa"/>
            <w:left w:w="108" w:type="dxa"/>
            <w:bottom w:w="0" w:type="dxa"/>
            <w:right w:w="108" w:type="dxa"/>
          </w:tblCellMar>
        </w:tblPrEx>
        <w:trPr>
          <w:trHeight w:val="454" w:hRule="exact"/>
        </w:trPr>
        <w:tc>
          <w:tcPr>
            <w:tcW w:w="592"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序号</w:t>
            </w:r>
          </w:p>
        </w:tc>
        <w:tc>
          <w:tcPr>
            <w:tcW w:w="2032" w:type="pct"/>
            <w:tcBorders>
              <w:top w:val="single" w:color="auto" w:sz="4" w:space="0"/>
              <w:left w:val="nil"/>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物料名称</w:t>
            </w: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单位</w:t>
            </w: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数量</w:t>
            </w: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门机控制模块</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安全模块</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3</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通讯模块</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592"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4</w:t>
            </w:r>
          </w:p>
        </w:tc>
        <w:tc>
          <w:tcPr>
            <w:tcW w:w="203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电源模块</w:t>
            </w: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5</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电机</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6</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PLC及IO模块</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7</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变频器</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8</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主动辊筒（整机）</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9</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从动辊筒</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10</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辊筒控制卡</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11</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多楔带</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454" w:hRule="exact"/>
        </w:trPr>
        <w:tc>
          <w:tcPr>
            <w:tcW w:w="592"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12</w:t>
            </w:r>
          </w:p>
        </w:tc>
        <w:tc>
          <w:tcPr>
            <w:tcW w:w="203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光电传感器</w:t>
            </w: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454" w:hRule="exact"/>
        </w:trPr>
        <w:tc>
          <w:tcPr>
            <w:tcW w:w="592"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13</w:t>
            </w:r>
          </w:p>
        </w:tc>
        <w:tc>
          <w:tcPr>
            <w:tcW w:w="203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水平转移机</w:t>
            </w: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454" w:hRule="exact"/>
        </w:trPr>
        <w:tc>
          <w:tcPr>
            <w:tcW w:w="592" w:type="pct"/>
            <w:tcBorders>
              <w:top w:val="single" w:color="auto" w:sz="4" w:space="0"/>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14</w:t>
            </w:r>
          </w:p>
        </w:tc>
        <w:tc>
          <w:tcPr>
            <w:tcW w:w="2032" w:type="pct"/>
            <w:tcBorders>
              <w:top w:val="single" w:color="auto" w:sz="4" w:space="0"/>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曳引机</w:t>
            </w: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87" w:type="pct"/>
            <w:tcBorders>
              <w:top w:val="single" w:color="auto" w:sz="4" w:space="0"/>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15</w:t>
            </w:r>
          </w:p>
        </w:tc>
        <w:tc>
          <w:tcPr>
            <w:tcW w:w="2032" w:type="pct"/>
            <w:tcBorders>
              <w:top w:val="nil"/>
              <w:left w:val="nil"/>
              <w:bottom w:val="single" w:color="auto" w:sz="4" w:space="0"/>
              <w:right w:val="single" w:color="auto" w:sz="4" w:space="0"/>
            </w:tcBorders>
            <w:shd w:val="clear" w:color="auto" w:fill="auto"/>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皮带</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p>
        </w:tc>
      </w:tr>
      <w:tr>
        <w:tblPrEx>
          <w:tblCellMar>
            <w:top w:w="0" w:type="dxa"/>
            <w:left w:w="108" w:type="dxa"/>
            <w:bottom w:w="0" w:type="dxa"/>
            <w:right w:w="108" w:type="dxa"/>
          </w:tblCellMar>
        </w:tblPrEx>
        <w:trPr>
          <w:trHeight w:val="454" w:hRule="exact"/>
        </w:trPr>
        <w:tc>
          <w:tcPr>
            <w:tcW w:w="592" w:type="pct"/>
            <w:tcBorders>
              <w:top w:val="nil"/>
              <w:left w:val="single" w:color="auto" w:sz="4" w:space="0"/>
              <w:bottom w:val="single" w:color="auto" w:sz="4" w:space="0"/>
              <w:right w:val="single" w:color="auto" w:sz="4" w:space="0"/>
            </w:tcBorders>
            <w:shd w:val="clear" w:color="auto" w:fill="auto"/>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16</w:t>
            </w:r>
          </w:p>
        </w:tc>
        <w:tc>
          <w:tcPr>
            <w:tcW w:w="2032" w:type="pct"/>
            <w:tcBorders>
              <w:top w:val="nil"/>
              <w:left w:val="nil"/>
              <w:bottom w:val="single" w:color="auto" w:sz="4" w:space="0"/>
              <w:right w:val="single" w:color="auto" w:sz="4" w:space="0"/>
            </w:tcBorders>
            <w:shd w:val="clear" w:color="auto" w:fill="auto"/>
            <w:noWrap/>
            <w:vAlign w:val="center"/>
          </w:tcPr>
          <w:p>
            <w:pPr>
              <w:widowControl/>
              <w:snapToGrid w:val="0"/>
              <w:spacing w:before="0" w:beforeAutospacing="0" w:after="0" w:afterAutospacing="0" w:line="240" w:lineRule="auto"/>
              <w:jc w:val="center"/>
              <w:textAlignment w:val="center"/>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网络交换机</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c>
          <w:tcPr>
            <w:tcW w:w="1187" w:type="pct"/>
            <w:tcBorders>
              <w:top w:val="nil"/>
              <w:left w:val="nil"/>
              <w:bottom w:val="single" w:color="auto" w:sz="4" w:space="0"/>
              <w:right w:val="single" w:color="auto" w:sz="4" w:space="0"/>
            </w:tcBorders>
            <w:shd w:val="clear" w:color="auto" w:fill="auto"/>
            <w:noWrap/>
            <w:vAlign w:val="center"/>
          </w:tcPr>
          <w:p>
            <w:pPr>
              <w:snapToGrid w:val="0"/>
              <w:spacing w:before="0" w:beforeAutospacing="0" w:after="0" w:afterAutospacing="0" w:line="24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　</w:t>
            </w:r>
          </w:p>
        </w:tc>
      </w:tr>
    </w:tbl>
    <w:p>
      <w:pPr>
        <w:snapToGrid w:val="0"/>
        <w:spacing w:before="0" w:beforeAutospacing="0" w:after="0" w:afterAutospacing="0" w:line="400" w:lineRule="exact"/>
        <w:ind w:firstLine="402" w:firstLineChars="200"/>
        <w:jc w:val="left"/>
        <w:textAlignment w:val="baseline"/>
        <w:rPr>
          <w:rFonts w:ascii="宋体" w:hAnsi="宋体" w:cs="宋体"/>
          <w:b/>
          <w:bCs/>
          <w:i w:val="0"/>
          <w:caps w:val="0"/>
          <w:color w:val="auto"/>
          <w:spacing w:val="0"/>
          <w:w w:val="100"/>
          <w:sz w:val="20"/>
          <w:szCs w:val="21"/>
        </w:rPr>
      </w:pPr>
    </w:p>
    <w:p>
      <w:pPr>
        <w:snapToGrid w:val="0"/>
        <w:spacing w:before="0" w:beforeAutospacing="0" w:after="0" w:afterAutospacing="0" w:line="400" w:lineRule="exact"/>
        <w:ind w:firstLine="422" w:firstLineChars="200"/>
        <w:jc w:val="left"/>
        <w:textAlignment w:val="baseline"/>
        <w:rPr>
          <w:rFonts w:ascii="宋体" w:hAnsi="宋体" w:cs="宋体"/>
          <w:b/>
          <w:bCs/>
          <w:i w:val="0"/>
          <w:caps w:val="0"/>
          <w:color w:val="auto"/>
          <w:spacing w:val="0"/>
          <w:w w:val="100"/>
          <w:sz w:val="20"/>
          <w:szCs w:val="21"/>
        </w:rPr>
      </w:pPr>
      <w:r>
        <w:rPr>
          <w:rFonts w:hint="eastAsia" w:ascii="宋体" w:hAnsi="宋体" w:cs="宋体"/>
          <w:b/>
          <w:bCs/>
          <w:i w:val="0"/>
          <w:caps w:val="0"/>
          <w:color w:val="auto"/>
          <w:spacing w:val="0"/>
          <w:w w:val="100"/>
          <w:sz w:val="21"/>
          <w:szCs w:val="21"/>
        </w:rPr>
        <w:t>五、除满足本文技术要求及本设计图纸要求外，还应满足以下规范标准（包括但不限于）：</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《工业自动化仪表工程施工及验收规范》(GB50093--2002)</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《自动化仪表安装验收标准》(GB50093-2013)</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《智能建筑设计标准》(GBT50314-2015)</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《医院洁净手术部建设标准》(GB50333-2002)</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《建筑设计防火规范》(GB50016-2014)</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《工业管道工程施工及验收规范》(GB50235-97)</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《民用建筑电气设计规范》(JGJ16-2008)</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设计单位提供的图纸及数据参数；</w:t>
      </w:r>
    </w:p>
    <w:p>
      <w:pPr>
        <w:pStyle w:val="12"/>
        <w:numPr>
          <w:ilvl w:val="0"/>
          <w:numId w:val="10"/>
        </w:numPr>
        <w:snapToGrid w:val="0"/>
        <w:spacing w:before="0" w:beforeAutospacing="0" w:after="0" w:afterAutospacing="0" w:line="400" w:lineRule="exact"/>
        <w:ind w:left="0" w:firstLine="420" w:firstLineChars="200"/>
        <w:jc w:val="both"/>
        <w:textAlignment w:val="baseline"/>
        <w:rPr>
          <w:rFonts w:ascii="宋体" w:hAnsi="宋体" w:cs="宋体"/>
          <w:b w:val="0"/>
          <w:i w:val="0"/>
          <w:caps w:val="0"/>
          <w:color w:val="auto"/>
          <w:spacing w:val="0"/>
          <w:w w:val="100"/>
          <w:sz w:val="21"/>
          <w:szCs w:val="21"/>
        </w:rPr>
      </w:pPr>
      <w:r>
        <w:rPr>
          <w:rFonts w:hint="eastAsia" w:ascii="宋体" w:hAnsi="宋体" w:cs="宋体"/>
          <w:b w:val="0"/>
          <w:i w:val="0"/>
          <w:caps w:val="0"/>
          <w:color w:val="auto"/>
          <w:spacing w:val="0"/>
          <w:w w:val="100"/>
          <w:sz w:val="21"/>
          <w:szCs w:val="21"/>
        </w:rPr>
        <w:t>上述规范中如与新规范冲突的，按新规范执行。</w:t>
      </w:r>
    </w:p>
    <w:p>
      <w:pPr>
        <w:pStyle w:val="12"/>
        <w:snapToGrid w:val="0"/>
        <w:spacing w:before="0" w:beforeAutospacing="0" w:after="0" w:afterAutospacing="0" w:line="400" w:lineRule="exact"/>
        <w:ind w:firstLine="422" w:firstLineChars="200"/>
        <w:jc w:val="both"/>
        <w:textAlignment w:val="baseline"/>
        <w:rPr>
          <w:rFonts w:ascii="宋体" w:hAnsi="宋体" w:cs="宋体"/>
          <w:b/>
          <w:bCs/>
          <w:i w:val="0"/>
          <w:caps w:val="0"/>
          <w:color w:val="auto"/>
          <w:spacing w:val="0"/>
          <w:w w:val="100"/>
          <w:sz w:val="21"/>
          <w:szCs w:val="21"/>
        </w:rPr>
      </w:pPr>
      <w:r>
        <w:rPr>
          <w:rFonts w:hint="eastAsia" w:ascii="宋体" w:hAnsi="宋体" w:cs="宋体"/>
          <w:b/>
          <w:bCs/>
          <w:i w:val="0"/>
          <w:caps w:val="0"/>
          <w:color w:val="auto"/>
          <w:spacing w:val="0"/>
          <w:w w:val="100"/>
          <w:sz w:val="21"/>
          <w:szCs w:val="21"/>
        </w:rPr>
        <w:t>详细系统要求(根据设计相关要求为准)</w:t>
      </w:r>
    </w:p>
    <w:p>
      <w:pPr>
        <w:snapToGrid w:val="0"/>
        <w:spacing w:before="0" w:beforeAutospacing="0" w:after="0" w:afterAutospacing="0" w:line="240" w:lineRule="auto"/>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240" w:lineRule="auto"/>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4"/>
          <w:szCs w:val="24"/>
        </w:rPr>
      </w:pPr>
    </w:p>
    <w:p>
      <w:pPr>
        <w:pStyle w:val="3"/>
        <w:snapToGrid w:val="0"/>
        <w:spacing w:before="0" w:beforeAutospacing="0" w:after="0" w:afterAutospacing="0" w:line="360" w:lineRule="auto"/>
        <w:jc w:val="center"/>
        <w:textAlignment w:val="baseline"/>
        <w:rPr>
          <w:b/>
          <w:i w:val="0"/>
          <w:caps w:val="0"/>
          <w:color w:val="auto"/>
          <w:spacing w:val="0"/>
          <w:w w:val="100"/>
          <w:sz w:val="28"/>
        </w:rPr>
      </w:pPr>
      <w:bookmarkStart w:id="422" w:name="_Toc24820"/>
      <w:r>
        <w:rPr>
          <w:b/>
          <w:i w:val="0"/>
          <w:caps w:val="0"/>
          <w:color w:val="auto"/>
          <w:spacing w:val="0"/>
          <w:w w:val="100"/>
          <w:sz w:val="28"/>
        </w:rPr>
        <w:br w:type="page"/>
      </w:r>
    </w:p>
    <w:p>
      <w:pPr>
        <w:snapToGrid w:val="0"/>
        <w:spacing w:before="0" w:beforeAutospacing="0" w:after="0" w:afterAutospacing="0" w:line="360" w:lineRule="auto"/>
        <w:jc w:val="center"/>
        <w:textAlignment w:val="baseline"/>
        <w:rPr>
          <w:b/>
          <w:i w:val="0"/>
          <w:caps w:val="0"/>
          <w:color w:val="auto"/>
          <w:spacing w:val="0"/>
          <w:w w:val="100"/>
          <w:sz w:val="28"/>
        </w:rPr>
      </w:pPr>
      <w:r>
        <w:rPr>
          <w:rFonts w:hint="eastAsia"/>
          <w:b/>
          <w:i w:val="0"/>
          <w:caps w:val="0"/>
          <w:color w:val="auto"/>
          <w:spacing w:val="0"/>
          <w:w w:val="100"/>
          <w:sz w:val="28"/>
        </w:rPr>
        <w:t>第七章  投标文件格式</w:t>
      </w:r>
      <w:bookmarkEnd w:id="422"/>
    </w:p>
    <w:p>
      <w:pPr>
        <w:snapToGrid w:val="0"/>
        <w:spacing w:before="0" w:beforeAutospacing="0" w:after="0" w:afterAutospacing="0" w:line="800" w:lineRule="exact"/>
        <w:ind w:right="-420" w:firstLine="1197" w:firstLineChars="400"/>
        <w:jc w:val="left"/>
        <w:textAlignment w:val="baseline"/>
        <w:rPr>
          <w:rFonts w:hAnsi="宋体"/>
          <w:b/>
          <w:bCs/>
          <w:i w:val="0"/>
          <w:caps w:val="0"/>
          <w:color w:val="auto"/>
          <w:spacing w:val="-11"/>
          <w:w w:val="100"/>
          <w:sz w:val="32"/>
          <w:szCs w:val="32"/>
          <w:u w:val="single"/>
        </w:rPr>
      </w:pPr>
      <w:r>
        <w:rPr>
          <w:rFonts w:hint="eastAsia" w:ascii="宋体" w:hAnsi="宋体"/>
          <w:b/>
          <w:bCs/>
          <w:i w:val="0"/>
          <w:caps w:val="0"/>
          <w:color w:val="auto"/>
          <w:spacing w:val="-11"/>
          <w:w w:val="100"/>
          <w:sz w:val="32"/>
          <w:szCs w:val="32"/>
        </w:rPr>
        <w:t>项目名称：</w:t>
      </w:r>
      <w:r>
        <w:rPr>
          <w:rFonts w:hint="eastAsia" w:hAnsi="宋体"/>
          <w:b/>
          <w:bCs/>
          <w:i w:val="0"/>
          <w:caps w:val="0"/>
          <w:color w:val="auto"/>
          <w:spacing w:val="-11"/>
          <w:w w:val="100"/>
          <w:sz w:val="30"/>
          <w:szCs w:val="30"/>
          <w:u w:val="single" w:color="000000"/>
        </w:rPr>
        <w:t xml:space="preserve">                                                                                              </w:t>
      </w:r>
    </w:p>
    <w:p>
      <w:pPr>
        <w:snapToGrid w:val="0"/>
        <w:spacing w:before="0" w:beforeAutospacing="0" w:after="0" w:afterAutospacing="0" w:line="800" w:lineRule="exact"/>
        <w:jc w:val="center"/>
        <w:textAlignment w:val="baseline"/>
        <w:rPr>
          <w:rFonts w:eastAsia="方正小标宋简体"/>
          <w:b w:val="0"/>
          <w:bCs/>
          <w:i w:val="0"/>
          <w:caps w:val="0"/>
          <w:color w:val="auto"/>
          <w:spacing w:val="0"/>
          <w:w w:val="100"/>
          <w:sz w:val="72"/>
          <w:szCs w:val="72"/>
        </w:rPr>
      </w:pPr>
    </w:p>
    <w:p>
      <w:pPr>
        <w:snapToGrid w:val="0"/>
        <w:spacing w:before="0" w:beforeAutospacing="0" w:after="0" w:afterAutospacing="0" w:line="800" w:lineRule="exact"/>
        <w:jc w:val="center"/>
        <w:textAlignment w:val="baseline"/>
        <w:rPr>
          <w:rFonts w:eastAsia="方正小标宋简体"/>
          <w:b w:val="0"/>
          <w:bCs/>
          <w:i w:val="0"/>
          <w:caps w:val="0"/>
          <w:color w:val="auto"/>
          <w:spacing w:val="0"/>
          <w:w w:val="100"/>
          <w:sz w:val="72"/>
          <w:szCs w:val="72"/>
        </w:rPr>
      </w:pP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投</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标</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文</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72"/>
          <w:szCs w:val="72"/>
        </w:rPr>
      </w:pPr>
      <w:r>
        <w:rPr>
          <w:rFonts w:hint="eastAsia" w:eastAsia="方正小标宋简体"/>
          <w:b w:val="0"/>
          <w:bCs/>
          <w:i w:val="0"/>
          <w:caps w:val="0"/>
          <w:color w:val="auto"/>
          <w:spacing w:val="0"/>
          <w:w w:val="100"/>
          <w:sz w:val="52"/>
          <w:szCs w:val="52"/>
        </w:rPr>
        <w:t>件</w:t>
      </w:r>
    </w:p>
    <w:p>
      <w:pPr>
        <w:snapToGrid w:val="0"/>
        <w:spacing w:before="0" w:beforeAutospacing="0" w:after="0" w:afterAutospacing="0" w:line="800" w:lineRule="exact"/>
        <w:jc w:val="both"/>
        <w:textAlignment w:val="baseline"/>
        <w:rPr>
          <w:rFonts w:ascii="宋体" w:hAnsi="宋体"/>
          <w:b/>
          <w:bCs/>
          <w:i w:val="0"/>
          <w:caps w:val="0"/>
          <w:color w:val="auto"/>
          <w:spacing w:val="0"/>
          <w:w w:val="100"/>
          <w:sz w:val="30"/>
        </w:rPr>
      </w:pPr>
    </w:p>
    <w:p>
      <w:pPr>
        <w:snapToGrid w:val="0"/>
        <w:spacing w:before="0" w:beforeAutospacing="0" w:after="0" w:afterAutospacing="0" w:line="800" w:lineRule="exact"/>
        <w:jc w:val="both"/>
        <w:textAlignment w:val="baseline"/>
        <w:rPr>
          <w:rFonts w:ascii="宋体" w:hAnsi="宋体"/>
          <w:b/>
          <w:bCs/>
          <w:i w:val="0"/>
          <w:caps w:val="0"/>
          <w:color w:val="auto"/>
          <w:spacing w:val="0"/>
          <w:w w:val="100"/>
          <w:sz w:val="30"/>
        </w:rPr>
      </w:pP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rPr>
      </w:pPr>
      <w:r>
        <w:rPr>
          <w:rFonts w:hint="eastAsia" w:ascii="宋体" w:hAnsi="宋体"/>
          <w:b/>
          <w:bCs/>
          <w:i w:val="0"/>
          <w:caps w:val="0"/>
          <w:color w:val="auto"/>
          <w:spacing w:val="0"/>
          <w:w w:val="100"/>
          <w:sz w:val="28"/>
          <w:szCs w:val="28"/>
        </w:rPr>
        <w:t>投标文件内容：</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u w:val="single" w:color="000000"/>
        </w:rPr>
        <w:t>资格审查资料</w:t>
      </w:r>
      <w:r>
        <w:rPr>
          <w:rFonts w:hint="eastAsia" w:ascii="宋体" w:hAnsi="宋体"/>
          <w:b/>
          <w:bCs/>
          <w:i w:val="0"/>
          <w:caps w:val="0"/>
          <w:color w:val="auto"/>
          <w:spacing w:val="0"/>
          <w:w w:val="100"/>
          <w:sz w:val="28"/>
          <w:szCs w:val="28"/>
          <w:u w:val="single" w:color="000000"/>
        </w:rPr>
        <w:t xml:space="preserve">           </w:t>
      </w: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u w:val="single"/>
        </w:rPr>
      </w:pPr>
      <w:r>
        <w:rPr>
          <w:rFonts w:hint="eastAsia" w:ascii="宋体" w:hAnsi="宋体"/>
          <w:b/>
          <w:bCs/>
          <w:i w:val="0"/>
          <w:caps w:val="0"/>
          <w:color w:val="auto"/>
          <w:spacing w:val="0"/>
          <w:w w:val="100"/>
          <w:sz w:val="28"/>
          <w:szCs w:val="28"/>
        </w:rPr>
        <w:t>投标人：</w:t>
      </w:r>
      <w:r>
        <w:rPr>
          <w:rFonts w:ascii="宋体" w:hAnsi="宋体"/>
          <w:b/>
          <w:bCs/>
          <w:i w:val="0"/>
          <w:caps w:val="0"/>
          <w:color w:val="auto"/>
          <w:spacing w:val="0"/>
          <w:w w:val="100"/>
          <w:sz w:val="28"/>
          <w:szCs w:val="28"/>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 xml:space="preserve">（盖单位公章）      </w:t>
      </w: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u w:val="single"/>
        </w:rPr>
      </w:pPr>
      <w:r>
        <w:rPr>
          <w:rFonts w:hint="eastAsia" w:ascii="宋体" w:hAnsi="宋体"/>
          <w:b/>
          <w:bCs/>
          <w:i w:val="0"/>
          <w:caps w:val="0"/>
          <w:color w:val="auto"/>
          <w:spacing w:val="0"/>
          <w:w w:val="100"/>
          <w:sz w:val="28"/>
          <w:szCs w:val="28"/>
        </w:rPr>
        <w:t>法定代表人：</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（签字或盖章）</w:t>
      </w:r>
    </w:p>
    <w:p>
      <w:pPr>
        <w:snapToGrid w:val="0"/>
        <w:spacing w:before="0" w:beforeAutospacing="0" w:after="0" w:afterAutospacing="0" w:line="800" w:lineRule="exact"/>
        <w:jc w:val="both"/>
        <w:textAlignment w:val="baseline"/>
        <w:rPr>
          <w:rFonts w:ascii="宋体" w:hAnsi="宋体"/>
          <w:b/>
          <w:bCs/>
          <w:i w:val="0"/>
          <w:caps w:val="0"/>
          <w:color w:val="auto"/>
          <w:spacing w:val="0"/>
          <w:w w:val="100"/>
          <w:sz w:val="28"/>
          <w:szCs w:val="28"/>
        </w:rPr>
      </w:pPr>
      <w:r>
        <w:rPr>
          <w:rFonts w:hint="eastAsia" w:ascii="宋体" w:hAnsi="宋体"/>
          <w:b/>
          <w:bCs/>
          <w:i w:val="0"/>
          <w:caps w:val="0"/>
          <w:color w:val="auto"/>
          <w:spacing w:val="0"/>
          <w:w w:val="100"/>
          <w:sz w:val="28"/>
          <w:szCs w:val="28"/>
        </w:rPr>
        <w:t xml:space="preserve">   日</w:t>
      </w:r>
      <w:r>
        <w:rPr>
          <w:rFonts w:ascii="宋体" w:hAnsi="宋体"/>
          <w:b/>
          <w:bCs/>
          <w:i w:val="0"/>
          <w:caps w:val="0"/>
          <w:color w:val="auto"/>
          <w:spacing w:val="0"/>
          <w:w w:val="100"/>
          <w:sz w:val="28"/>
          <w:szCs w:val="28"/>
        </w:rPr>
        <w:t xml:space="preserve">      </w:t>
      </w:r>
      <w:r>
        <w:rPr>
          <w:rFonts w:hint="eastAsia" w:ascii="宋体" w:hAnsi="宋体"/>
          <w:b/>
          <w:bCs/>
          <w:i w:val="0"/>
          <w:caps w:val="0"/>
          <w:color w:val="auto"/>
          <w:spacing w:val="0"/>
          <w:w w:val="100"/>
          <w:sz w:val="28"/>
          <w:szCs w:val="28"/>
        </w:rPr>
        <w:t>期：</w:t>
      </w:r>
      <w:r>
        <w:rPr>
          <w:rFonts w:ascii="宋体" w:hAnsi="宋体"/>
          <w:b/>
          <w:bCs/>
          <w:i w:val="0"/>
          <w:caps w:val="0"/>
          <w:color w:val="auto"/>
          <w:spacing w:val="0"/>
          <w:w w:val="100"/>
          <w:sz w:val="28"/>
          <w:szCs w:val="28"/>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年</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月</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日</w:t>
      </w:r>
      <w:r>
        <w:rPr>
          <w:rFonts w:hint="eastAsia" w:ascii="宋体" w:hAnsi="宋体"/>
          <w:b/>
          <w:bCs/>
          <w:i w:val="0"/>
          <w:caps w:val="0"/>
          <w:color w:val="auto"/>
          <w:spacing w:val="0"/>
          <w:w w:val="100"/>
          <w:sz w:val="28"/>
          <w:szCs w:val="28"/>
        </w:rPr>
        <w:t xml:space="preserve">  </w:t>
      </w:r>
    </w:p>
    <w:p>
      <w:pPr>
        <w:snapToGrid w:val="0"/>
        <w:spacing w:before="0" w:beforeAutospacing="0" w:after="0" w:afterAutospacing="0" w:line="360" w:lineRule="exact"/>
        <w:ind w:firstLine="482" w:firstLineChars="200"/>
        <w:jc w:val="both"/>
        <w:textAlignment w:val="baseline"/>
        <w:rPr>
          <w:rFonts w:ascii="宋体" w:hAnsi="宋体"/>
          <w:b/>
          <w:bCs/>
          <w:i w:val="0"/>
          <w:caps w:val="0"/>
          <w:color w:val="auto"/>
          <w:spacing w:val="0"/>
          <w:w w:val="100"/>
          <w:sz w:val="24"/>
        </w:rPr>
      </w:pPr>
      <w:r>
        <w:rPr>
          <w:rFonts w:ascii="宋体" w:hAnsi="宋体"/>
          <w:b/>
          <w:bCs/>
          <w:i w:val="0"/>
          <w:caps w:val="0"/>
          <w:color w:val="auto"/>
          <w:spacing w:val="0"/>
          <w:w w:val="100"/>
          <w:sz w:val="24"/>
        </w:rPr>
        <w:br w:type="page"/>
      </w:r>
    </w:p>
    <w:p>
      <w:pPr>
        <w:snapToGrid w:val="0"/>
        <w:spacing w:before="0" w:beforeAutospacing="0" w:after="0" w:afterAutospacing="0" w:line="360" w:lineRule="exact"/>
        <w:ind w:firstLine="482" w:firstLineChars="200"/>
        <w:jc w:val="both"/>
        <w:textAlignment w:val="baseline"/>
        <w:rPr>
          <w:rFonts w:ascii="宋体" w:hAnsi="宋体"/>
          <w:b/>
          <w:i w:val="0"/>
          <w:caps w:val="0"/>
          <w:color w:val="auto"/>
          <w:spacing w:val="0"/>
          <w:w w:val="100"/>
          <w:sz w:val="24"/>
        </w:rPr>
      </w:pPr>
      <w:r>
        <w:rPr>
          <w:rFonts w:ascii="宋体" w:hAnsi="宋体"/>
          <w:b/>
          <w:bCs/>
          <w:i w:val="0"/>
          <w:caps w:val="0"/>
          <w:color w:val="auto"/>
          <w:spacing w:val="0"/>
          <w:w w:val="100"/>
          <w:sz w:val="24"/>
        </w:rPr>
        <w:t>资格审查资料：</w:t>
      </w:r>
    </w:p>
    <w:p>
      <w:pPr>
        <w:snapToGrid w:val="0"/>
        <w:spacing w:before="0" w:beforeAutospacing="0" w:after="0" w:afterAutospacing="0" w:line="360" w:lineRule="exact"/>
        <w:ind w:firstLine="482" w:firstLineChars="200"/>
        <w:jc w:val="both"/>
        <w:textAlignment w:val="baseline"/>
        <w:rPr>
          <w:rFonts w:ascii="宋体" w:hAnsi="宋体"/>
          <w:b/>
          <w:bCs/>
          <w:i w:val="0"/>
          <w:caps w:val="0"/>
          <w:color w:val="auto"/>
          <w:spacing w:val="0"/>
          <w:w w:val="100"/>
          <w:sz w:val="24"/>
        </w:rPr>
      </w:pP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1.企业法人营业执照复印件；</w:t>
      </w:r>
    </w:p>
    <w:p>
      <w:pPr>
        <w:snapToGrid w:val="0"/>
        <w:spacing w:before="0" w:beforeAutospacing="0" w:after="0" w:afterAutospacing="0" w:line="400" w:lineRule="exact"/>
        <w:ind w:firstLine="420" w:firstLineChars="200"/>
        <w:jc w:val="left"/>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w:t>
      </w:r>
      <w:r>
        <w:rPr>
          <w:rFonts w:hint="eastAsia" w:ascii="宋体" w:hAnsi="宋体" w:cs="宋体"/>
          <w:b w:val="0"/>
          <w:bCs/>
          <w:i w:val="0"/>
          <w:caps w:val="0"/>
          <w:color w:val="auto"/>
          <w:spacing w:val="0"/>
          <w:w w:val="100"/>
          <w:sz w:val="21"/>
          <w:szCs w:val="21"/>
        </w:rPr>
        <w:t>自</w:t>
      </w:r>
      <w:r>
        <w:rPr>
          <w:rFonts w:hint="eastAsia" w:ascii="宋体" w:hAnsi="宋体" w:cs="宋体"/>
          <w:b w:val="0"/>
          <w:bCs/>
          <w:i w:val="0"/>
          <w:caps w:val="0"/>
          <w:color w:val="auto"/>
          <w:spacing w:val="0"/>
          <w:w w:val="100"/>
          <w:sz w:val="21"/>
          <w:szCs w:val="21"/>
        </w:rPr>
        <w:t>2016</w:t>
      </w:r>
      <w:r>
        <w:rPr>
          <w:rFonts w:hint="eastAsia" w:ascii="宋体" w:hAnsi="宋体" w:cs="宋体"/>
          <w:b w:val="0"/>
          <w:bCs/>
          <w:i w:val="0"/>
          <w:caps w:val="0"/>
          <w:color w:val="auto"/>
          <w:spacing w:val="0"/>
          <w:w w:val="100"/>
          <w:sz w:val="21"/>
          <w:szCs w:val="21"/>
        </w:rPr>
        <w:t>年1月1日以来【以合同签订时间为准】，投标人所投的品牌具有合同金额在700万元及以上国内物流系统的类似业绩</w:t>
      </w:r>
      <w:r>
        <w:rPr>
          <w:rFonts w:hint="eastAsia" w:ascii="宋体" w:hAnsi="宋体" w:cs="宋体"/>
          <w:b w:val="0"/>
          <w:i w:val="0"/>
          <w:caps w:val="0"/>
          <w:color w:val="auto"/>
          <w:spacing w:val="0"/>
          <w:w w:val="100"/>
          <w:sz w:val="21"/>
          <w:szCs w:val="21"/>
        </w:rPr>
        <w:t>。业绩证明材料为供货合同的复印件</w:t>
      </w:r>
      <w:r>
        <w:rPr>
          <w:rFonts w:hint="eastAsia" w:ascii="宋体" w:hAnsi="宋体" w:cs="宋体"/>
          <w:b w:val="0"/>
          <w:i w:val="0"/>
          <w:caps w:val="0"/>
          <w:color w:val="auto"/>
          <w:spacing w:val="0"/>
          <w:w w:val="100"/>
          <w:sz w:val="21"/>
          <w:szCs w:val="21"/>
        </w:rPr>
        <w:t>；</w:t>
      </w:r>
    </w:p>
    <w:p>
      <w:pPr>
        <w:snapToGrid w:val="0"/>
        <w:spacing w:before="0" w:beforeAutospacing="0" w:after="0" w:afterAutospacing="0" w:line="400" w:lineRule="exact"/>
        <w:ind w:firstLine="420" w:firstLineChars="200"/>
        <w:jc w:val="left"/>
        <w:textAlignment w:val="baseline"/>
        <w:rPr>
          <w:b w:val="0"/>
          <w:i w:val="0"/>
          <w:caps w:val="0"/>
          <w:color w:val="auto"/>
          <w:spacing w:val="0"/>
          <w:w w:val="100"/>
          <w:sz w:val="20"/>
        </w:rPr>
      </w:pPr>
      <w:r>
        <w:rPr>
          <w:rFonts w:hint="eastAsia" w:ascii="宋体" w:hAnsi="宋体" w:cs="宋体"/>
          <w:b w:val="0"/>
          <w:i w:val="0"/>
          <w:caps w:val="0"/>
          <w:color w:val="auto"/>
          <w:spacing w:val="0"/>
          <w:w w:val="100"/>
          <w:sz w:val="21"/>
          <w:szCs w:val="21"/>
        </w:rPr>
        <w:t>3.</w:t>
      </w:r>
      <w:r>
        <w:rPr>
          <w:rFonts w:hint="eastAsia" w:ascii="宋体" w:hAnsi="宋体"/>
          <w:b/>
          <w:i w:val="0"/>
          <w:caps w:val="0"/>
          <w:color w:val="auto"/>
          <w:spacing w:val="0"/>
          <w:w w:val="100"/>
          <w:sz w:val="21"/>
          <w:szCs w:val="21"/>
        </w:rPr>
        <w:t>承诺书</w:t>
      </w:r>
      <w:r>
        <w:rPr>
          <w:rFonts w:hint="eastAsia" w:ascii="宋体" w:hAnsi="宋体"/>
          <w:b w:val="0"/>
          <w:i w:val="0"/>
          <w:caps w:val="0"/>
          <w:color w:val="auto"/>
          <w:spacing w:val="0"/>
          <w:w w:val="100"/>
          <w:sz w:val="21"/>
          <w:szCs w:val="21"/>
        </w:rPr>
        <w:t>（1、承诺对资格审查资料所有提交的证明材料真实有效性负责，若发现其有伪造证书、业绩等行为的，同意招标人不接受其投标，其缴纳的投标保证金不予退还；2、承诺</w:t>
      </w:r>
      <w:r>
        <w:rPr>
          <w:rFonts w:hint="eastAsia" w:ascii="宋体" w:hAnsi="宋体" w:cs="宋体"/>
          <w:b w:val="0"/>
          <w:i w:val="0"/>
          <w:caps w:val="0"/>
          <w:color w:val="auto"/>
          <w:spacing w:val="0"/>
          <w:w w:val="100"/>
          <w:sz w:val="21"/>
          <w:szCs w:val="21"/>
        </w:rPr>
        <w:t>企业和项目负责人近 5年内无行贿犯罪记录</w:t>
      </w:r>
      <w:r>
        <w:rPr>
          <w:rFonts w:hint="eastAsia" w:ascii="宋体" w:hAnsi="宋体"/>
          <w:b w:val="0"/>
          <w:i w:val="0"/>
          <w:caps w:val="0"/>
          <w:color w:val="auto"/>
          <w:spacing w:val="0"/>
          <w:w w:val="100"/>
          <w:sz w:val="21"/>
          <w:szCs w:val="21"/>
        </w:rPr>
        <w:t>；3、</w:t>
      </w:r>
      <w:r>
        <w:rPr>
          <w:rFonts w:hint="eastAsia"/>
          <w:b w:val="0"/>
          <w:i w:val="0"/>
          <w:caps w:val="0"/>
          <w:color w:val="auto"/>
          <w:spacing w:val="0"/>
          <w:w w:val="100"/>
          <w:sz w:val="21"/>
          <w:szCs w:val="21"/>
        </w:rPr>
        <w:t>投标人如为代理商需承诺：中标后提供所投品牌制造商的唯一授权书。</w:t>
      </w:r>
      <w:r>
        <w:rPr>
          <w:rFonts w:hint="eastAsia" w:ascii="宋体" w:hAnsi="宋体"/>
          <w:b w:val="0"/>
          <w:i w:val="0"/>
          <w:caps w:val="0"/>
          <w:color w:val="auto"/>
          <w:spacing w:val="0"/>
          <w:w w:val="100"/>
          <w:sz w:val="21"/>
          <w:szCs w:val="21"/>
        </w:rPr>
        <w:t>）格式自拟，加盖投标人公章。</w:t>
      </w:r>
    </w:p>
    <w:p>
      <w:pPr>
        <w:snapToGrid w:val="0"/>
        <w:spacing w:before="0" w:beforeAutospacing="0" w:after="0" w:afterAutospacing="0" w:line="500" w:lineRule="exact"/>
        <w:ind w:firstLine="402" w:firstLineChars="200"/>
        <w:jc w:val="both"/>
        <w:textAlignment w:val="baseline"/>
        <w:rPr>
          <w:rFonts w:ascii="宋体" w:hAnsi="宋体"/>
          <w:b/>
          <w:i w:val="0"/>
          <w:caps w:val="0"/>
          <w:color w:val="auto"/>
          <w:spacing w:val="0"/>
          <w:w w:val="100"/>
          <w:sz w:val="20"/>
          <w:szCs w:val="20"/>
        </w:rPr>
      </w:pPr>
      <w:r>
        <w:rPr>
          <w:rFonts w:hint="eastAsia" w:ascii="宋体" w:hAnsi="宋体"/>
          <w:b/>
          <w:i w:val="0"/>
          <w:caps w:val="0"/>
          <w:color w:val="auto"/>
          <w:spacing w:val="0"/>
          <w:w w:val="100"/>
          <w:sz w:val="20"/>
          <w:szCs w:val="20"/>
        </w:rPr>
        <w:t>注：</w:t>
      </w:r>
      <w:r>
        <w:rPr>
          <w:rFonts w:ascii="宋体" w:hAnsi="宋体"/>
          <w:b/>
          <w:i w:val="0"/>
          <w:caps w:val="0"/>
          <w:color w:val="auto"/>
          <w:spacing w:val="0"/>
          <w:w w:val="100"/>
          <w:sz w:val="20"/>
          <w:szCs w:val="20"/>
        </w:rPr>
        <w:t>不能提供上述任何一项或不符合审查要求的投标人为资格审查不合格。</w:t>
      </w:r>
    </w:p>
    <w:p>
      <w:pPr>
        <w:snapToGrid w:val="0"/>
        <w:spacing w:before="0" w:beforeAutospacing="0" w:after="0" w:afterAutospacing="0" w:line="360" w:lineRule="exact"/>
        <w:ind w:firstLine="402" w:firstLineChars="200"/>
        <w:jc w:val="both"/>
        <w:textAlignment w:val="baseline"/>
        <w:rPr>
          <w:rFonts w:ascii="宋体" w:hAnsi="宋体" w:cs="宋体"/>
          <w:b/>
          <w:i w:val="0"/>
          <w:caps w:val="0"/>
          <w:color w:val="auto"/>
          <w:spacing w:val="0"/>
          <w:w w:val="100"/>
          <w:sz w:val="20"/>
          <w:szCs w:val="21"/>
        </w:rPr>
      </w:pPr>
    </w:p>
    <w:p>
      <w:pPr>
        <w:snapToGrid w:val="0"/>
        <w:spacing w:before="0" w:beforeAutospacing="0" w:after="0" w:afterAutospacing="0" w:line="800" w:lineRule="exact"/>
        <w:ind w:right="-420" w:firstLine="562" w:firstLineChars="200"/>
        <w:jc w:val="left"/>
        <w:textAlignment w:val="baseline"/>
        <w:rPr>
          <w:rFonts w:hAnsi="宋体"/>
          <w:b/>
          <w:bCs/>
          <w:i w:val="0"/>
          <w:caps w:val="0"/>
          <w:color w:val="auto"/>
          <w:spacing w:val="-11"/>
          <w:w w:val="100"/>
          <w:sz w:val="32"/>
          <w:szCs w:val="32"/>
          <w:u w:val="single"/>
        </w:rPr>
      </w:pPr>
      <w:bookmarkStart w:id="423" w:name="_Toc396986703"/>
      <w:bookmarkStart w:id="424" w:name="_Toc365750381"/>
      <w:r>
        <w:rPr>
          <w:rFonts w:hint="eastAsia" w:ascii="宋体" w:hAnsi="宋体"/>
          <w:b/>
          <w:i w:val="0"/>
          <w:caps w:val="0"/>
          <w:color w:val="auto"/>
          <w:spacing w:val="0"/>
          <w:w w:val="100"/>
          <w:sz w:val="28"/>
          <w:szCs w:val="28"/>
        </w:rPr>
        <w:br w:type="page"/>
      </w:r>
    </w:p>
    <w:bookmarkEnd w:id="423"/>
    <w:bookmarkEnd w:id="424"/>
    <w:p>
      <w:pPr>
        <w:snapToGrid w:val="0"/>
        <w:spacing w:before="0" w:beforeAutospacing="0" w:after="0" w:afterAutospacing="0" w:line="800" w:lineRule="exact"/>
        <w:ind w:right="-420" w:firstLine="599" w:firstLineChars="200"/>
        <w:jc w:val="left"/>
        <w:textAlignment w:val="baseline"/>
        <w:rPr>
          <w:rFonts w:hAnsi="宋体"/>
          <w:b/>
          <w:i w:val="0"/>
          <w:caps w:val="0"/>
          <w:color w:val="auto"/>
          <w:spacing w:val="-11"/>
          <w:w w:val="100"/>
          <w:sz w:val="32"/>
          <w:u w:val="single"/>
        </w:rPr>
      </w:pPr>
      <w:r>
        <w:rPr>
          <w:rFonts w:hint="eastAsia" w:ascii="宋体" w:hAnsi="宋体"/>
          <w:b/>
          <w:bCs/>
          <w:i w:val="0"/>
          <w:caps w:val="0"/>
          <w:color w:val="auto"/>
          <w:spacing w:val="-11"/>
          <w:w w:val="100"/>
          <w:sz w:val="32"/>
          <w:szCs w:val="32"/>
        </w:rPr>
        <w:t>项目名称：</w:t>
      </w:r>
      <w:r>
        <w:rPr>
          <w:rFonts w:hint="eastAsia" w:hAnsi="宋体"/>
          <w:b/>
          <w:bCs/>
          <w:i w:val="0"/>
          <w:caps w:val="0"/>
          <w:color w:val="auto"/>
          <w:spacing w:val="-11"/>
          <w:w w:val="100"/>
          <w:sz w:val="30"/>
          <w:szCs w:val="30"/>
          <w:u w:val="single" w:color="000000"/>
        </w:rPr>
        <w:t xml:space="preserve">                                                                                              </w:t>
      </w:r>
    </w:p>
    <w:p>
      <w:pPr>
        <w:snapToGrid w:val="0"/>
        <w:spacing w:before="0" w:beforeAutospacing="0" w:after="0" w:afterAutospacing="0" w:line="800" w:lineRule="exact"/>
        <w:jc w:val="center"/>
        <w:textAlignment w:val="baseline"/>
        <w:rPr>
          <w:rFonts w:eastAsia="方正小标宋简体"/>
          <w:b w:val="0"/>
          <w:bCs/>
          <w:i w:val="0"/>
          <w:caps w:val="0"/>
          <w:color w:val="auto"/>
          <w:spacing w:val="0"/>
          <w:w w:val="100"/>
          <w:sz w:val="72"/>
          <w:szCs w:val="72"/>
        </w:rPr>
      </w:pPr>
    </w:p>
    <w:p>
      <w:pPr>
        <w:snapToGrid w:val="0"/>
        <w:spacing w:before="0" w:beforeAutospacing="0" w:after="0" w:afterAutospacing="0" w:line="800" w:lineRule="exact"/>
        <w:jc w:val="center"/>
        <w:textAlignment w:val="baseline"/>
        <w:rPr>
          <w:rFonts w:eastAsia="方正小标宋简体"/>
          <w:b w:val="0"/>
          <w:bCs/>
          <w:i w:val="0"/>
          <w:caps w:val="0"/>
          <w:color w:val="auto"/>
          <w:spacing w:val="0"/>
          <w:w w:val="100"/>
          <w:sz w:val="72"/>
          <w:szCs w:val="72"/>
        </w:rPr>
      </w:pP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投</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标</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文</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72"/>
          <w:szCs w:val="72"/>
        </w:rPr>
      </w:pPr>
      <w:r>
        <w:rPr>
          <w:rFonts w:hint="eastAsia" w:eastAsia="方正小标宋简体"/>
          <w:b w:val="0"/>
          <w:bCs/>
          <w:i w:val="0"/>
          <w:caps w:val="0"/>
          <w:color w:val="auto"/>
          <w:spacing w:val="0"/>
          <w:w w:val="100"/>
          <w:sz w:val="52"/>
          <w:szCs w:val="52"/>
        </w:rPr>
        <w:t>件</w:t>
      </w:r>
    </w:p>
    <w:p>
      <w:pPr>
        <w:snapToGrid w:val="0"/>
        <w:spacing w:before="0" w:beforeAutospacing="0" w:after="0" w:afterAutospacing="0" w:line="800" w:lineRule="exact"/>
        <w:jc w:val="both"/>
        <w:textAlignment w:val="baseline"/>
        <w:rPr>
          <w:rFonts w:ascii="宋体" w:hAnsi="宋体"/>
          <w:b/>
          <w:bCs/>
          <w:i w:val="0"/>
          <w:caps w:val="0"/>
          <w:color w:val="auto"/>
          <w:spacing w:val="0"/>
          <w:w w:val="100"/>
          <w:sz w:val="30"/>
        </w:rPr>
      </w:pPr>
    </w:p>
    <w:p>
      <w:pPr>
        <w:snapToGrid w:val="0"/>
        <w:spacing w:before="0" w:beforeAutospacing="0" w:after="0" w:afterAutospacing="0" w:line="800" w:lineRule="exact"/>
        <w:jc w:val="both"/>
        <w:textAlignment w:val="baseline"/>
        <w:rPr>
          <w:rFonts w:ascii="宋体" w:hAnsi="宋体"/>
          <w:b/>
          <w:bCs/>
          <w:i w:val="0"/>
          <w:caps w:val="0"/>
          <w:color w:val="auto"/>
          <w:spacing w:val="0"/>
          <w:w w:val="100"/>
          <w:sz w:val="30"/>
        </w:rPr>
      </w:pP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rPr>
      </w:pPr>
      <w:r>
        <w:rPr>
          <w:rFonts w:hint="eastAsia" w:ascii="宋体" w:hAnsi="宋体"/>
          <w:b/>
          <w:bCs/>
          <w:i w:val="0"/>
          <w:caps w:val="0"/>
          <w:color w:val="auto"/>
          <w:spacing w:val="0"/>
          <w:w w:val="100"/>
          <w:sz w:val="28"/>
          <w:szCs w:val="28"/>
        </w:rPr>
        <w:t>投标文件内容：</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技术标             </w:t>
      </w: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u w:val="single"/>
        </w:rPr>
      </w:pPr>
      <w:r>
        <w:rPr>
          <w:rFonts w:hint="eastAsia" w:ascii="宋体" w:hAnsi="宋体"/>
          <w:b/>
          <w:bCs/>
          <w:i w:val="0"/>
          <w:caps w:val="0"/>
          <w:color w:val="auto"/>
          <w:spacing w:val="0"/>
          <w:w w:val="100"/>
          <w:sz w:val="28"/>
          <w:szCs w:val="28"/>
        </w:rPr>
        <w:t>投标人：</w:t>
      </w:r>
      <w:r>
        <w:rPr>
          <w:rFonts w:ascii="宋体" w:hAnsi="宋体"/>
          <w:b/>
          <w:bCs/>
          <w:i w:val="0"/>
          <w:caps w:val="0"/>
          <w:color w:val="auto"/>
          <w:spacing w:val="0"/>
          <w:w w:val="100"/>
          <w:sz w:val="28"/>
          <w:szCs w:val="28"/>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 xml:space="preserve">（盖单位公章）      </w:t>
      </w: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u w:val="single"/>
        </w:rPr>
      </w:pPr>
      <w:r>
        <w:rPr>
          <w:rFonts w:hint="eastAsia" w:ascii="宋体" w:hAnsi="宋体"/>
          <w:b/>
          <w:bCs/>
          <w:i w:val="0"/>
          <w:caps w:val="0"/>
          <w:color w:val="auto"/>
          <w:spacing w:val="0"/>
          <w:w w:val="100"/>
          <w:sz w:val="28"/>
          <w:szCs w:val="28"/>
        </w:rPr>
        <w:t>法定代表人：</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（签字或盖章）</w:t>
      </w:r>
    </w:p>
    <w:p>
      <w:pPr>
        <w:snapToGrid w:val="0"/>
        <w:spacing w:before="0" w:beforeAutospacing="0" w:after="0" w:afterAutospacing="0" w:line="800" w:lineRule="exact"/>
        <w:jc w:val="both"/>
        <w:textAlignment w:val="baseline"/>
        <w:rPr>
          <w:rFonts w:ascii="宋体" w:hAnsi="宋体"/>
          <w:b/>
          <w:bCs/>
          <w:i w:val="0"/>
          <w:caps w:val="0"/>
          <w:color w:val="auto"/>
          <w:spacing w:val="0"/>
          <w:w w:val="100"/>
          <w:sz w:val="28"/>
          <w:szCs w:val="28"/>
        </w:rPr>
      </w:pPr>
      <w:r>
        <w:rPr>
          <w:rFonts w:hint="eastAsia" w:ascii="宋体" w:hAnsi="宋体"/>
          <w:b/>
          <w:bCs/>
          <w:i w:val="0"/>
          <w:caps w:val="0"/>
          <w:color w:val="auto"/>
          <w:spacing w:val="0"/>
          <w:w w:val="100"/>
          <w:sz w:val="28"/>
          <w:szCs w:val="28"/>
        </w:rPr>
        <w:t xml:space="preserve">   日</w:t>
      </w:r>
      <w:r>
        <w:rPr>
          <w:rFonts w:ascii="宋体" w:hAnsi="宋体"/>
          <w:b/>
          <w:bCs/>
          <w:i w:val="0"/>
          <w:caps w:val="0"/>
          <w:color w:val="auto"/>
          <w:spacing w:val="0"/>
          <w:w w:val="100"/>
          <w:sz w:val="28"/>
          <w:szCs w:val="28"/>
        </w:rPr>
        <w:t xml:space="preserve">      </w:t>
      </w:r>
      <w:r>
        <w:rPr>
          <w:rFonts w:hint="eastAsia" w:ascii="宋体" w:hAnsi="宋体"/>
          <w:b/>
          <w:bCs/>
          <w:i w:val="0"/>
          <w:caps w:val="0"/>
          <w:color w:val="auto"/>
          <w:spacing w:val="0"/>
          <w:w w:val="100"/>
          <w:sz w:val="28"/>
          <w:szCs w:val="28"/>
        </w:rPr>
        <w:t>期：</w:t>
      </w:r>
      <w:r>
        <w:rPr>
          <w:rFonts w:ascii="宋体" w:hAnsi="宋体"/>
          <w:b/>
          <w:bCs/>
          <w:i w:val="0"/>
          <w:caps w:val="0"/>
          <w:color w:val="auto"/>
          <w:spacing w:val="0"/>
          <w:w w:val="100"/>
          <w:sz w:val="28"/>
          <w:szCs w:val="28"/>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年</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月</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日</w:t>
      </w:r>
      <w:r>
        <w:rPr>
          <w:rFonts w:hint="eastAsia" w:ascii="宋体" w:hAnsi="宋体"/>
          <w:b/>
          <w:bCs/>
          <w:i w:val="0"/>
          <w:caps w:val="0"/>
          <w:color w:val="auto"/>
          <w:spacing w:val="0"/>
          <w:w w:val="100"/>
          <w:sz w:val="28"/>
          <w:szCs w:val="28"/>
        </w:rPr>
        <w:t xml:space="preserve">  </w:t>
      </w:r>
    </w:p>
    <w:p>
      <w:pPr>
        <w:snapToGrid w:val="0"/>
        <w:spacing w:before="135" w:beforeAutospacing="0" w:after="135" w:afterAutospacing="0" w:line="240" w:lineRule="auto"/>
        <w:jc w:val="center"/>
        <w:textAlignment w:val="baseline"/>
        <w:rPr>
          <w:b w:val="0"/>
          <w:i w:val="0"/>
          <w:caps w:val="0"/>
          <w:color w:val="auto"/>
          <w:spacing w:val="0"/>
          <w:w w:val="100"/>
          <w:sz w:val="20"/>
        </w:rPr>
      </w:pPr>
      <w:r>
        <w:rPr>
          <w:rFonts w:ascii="Times New Roman" w:hAnsi="Times New Roman" w:eastAsia="宋体" w:cs="Times New Roman"/>
          <w:b w:val="0"/>
          <w:i w:val="0"/>
          <w:caps w:val="0"/>
          <w:color w:val="auto"/>
          <w:spacing w:val="0"/>
          <w:w w:val="100"/>
          <w:sz w:val="21"/>
        </w:rPr>
        <w:t xml:space="preserve"> </w:t>
      </w: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bookmarkStart w:id="425" w:name="_Toc26987"/>
      <w:r>
        <w:rPr>
          <w:rFonts w:hint="eastAsia"/>
          <w:b w:val="0"/>
          <w:bCs w:val="0"/>
          <w:i w:val="0"/>
          <w:caps w:val="0"/>
          <w:color w:val="auto"/>
          <w:spacing w:val="0"/>
          <w:w w:val="100"/>
          <w:sz w:val="24"/>
          <w:szCs w:val="24"/>
        </w:rPr>
        <w:t>投标人提供的评审打分资料一览表</w:t>
      </w:r>
      <w:bookmarkEnd w:id="425"/>
    </w:p>
    <w:p>
      <w:pPr>
        <w:snapToGrid w:val="0"/>
        <w:spacing w:before="0" w:beforeAutospacing="0" w:after="0" w:afterAutospacing="0" w:line="240" w:lineRule="auto"/>
        <w:jc w:val="both"/>
        <w:textAlignment w:val="baseline"/>
        <w:rPr>
          <w:b/>
          <w:i w:val="0"/>
          <w:caps w:val="0"/>
          <w:color w:val="auto"/>
          <w:spacing w:val="0"/>
          <w:w w:val="100"/>
          <w:sz w:val="24"/>
          <w:szCs w:val="24"/>
        </w:rPr>
      </w:pPr>
    </w:p>
    <w:tbl>
      <w:tblPr>
        <w:tblStyle w:val="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1"/>
        <w:gridCol w:w="5327"/>
        <w:gridCol w:w="1476"/>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序号</w:t>
            </w:r>
          </w:p>
        </w:tc>
        <w:tc>
          <w:tcPr>
            <w:tcW w:w="2703"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资料名称</w:t>
            </w:r>
          </w:p>
        </w:tc>
        <w:tc>
          <w:tcPr>
            <w:tcW w:w="749" w:type="pct"/>
            <w:vAlign w:val="center"/>
          </w:tcPr>
          <w:p>
            <w:pPr>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共 页</w:t>
            </w:r>
          </w:p>
        </w:tc>
        <w:tc>
          <w:tcPr>
            <w:tcW w:w="917" w:type="pct"/>
            <w:vAlign w:val="center"/>
          </w:tcPr>
          <w:p>
            <w:pPr>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2703"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749"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917"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2703"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749"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917"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2703"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749"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917"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2703"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749"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917"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2703"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749"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917"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2703"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749"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917"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30"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2703"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749"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c>
          <w:tcPr>
            <w:tcW w:w="917" w:type="pct"/>
            <w:vAlign w:val="center"/>
          </w:tcPr>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tc>
      </w:tr>
    </w:tbl>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p>
    <w:p>
      <w:pPr>
        <w:snapToGrid w:val="0"/>
        <w:spacing w:before="0" w:beforeAutospacing="0" w:after="0" w:afterAutospacing="0" w:line="240" w:lineRule="auto"/>
        <w:ind w:firstLine="280"/>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 xml:space="preserve">                           投标人：</w:t>
      </w:r>
      <w:r>
        <w:rPr>
          <w:rFonts w:hint="eastAsia"/>
          <w:b w:val="0"/>
          <w:i w:val="0"/>
          <w:caps w:val="0"/>
          <w:color w:val="auto"/>
          <w:spacing w:val="0"/>
          <w:w w:val="100"/>
          <w:sz w:val="24"/>
          <w:szCs w:val="24"/>
          <w:u w:val="single" w:color="000000"/>
        </w:rPr>
        <w:t xml:space="preserve">                   </w:t>
      </w:r>
      <w:r>
        <w:rPr>
          <w:rFonts w:hint="eastAsia"/>
          <w:b w:val="0"/>
          <w:i w:val="0"/>
          <w:caps w:val="0"/>
          <w:color w:val="auto"/>
          <w:spacing w:val="0"/>
          <w:w w:val="100"/>
          <w:sz w:val="24"/>
          <w:szCs w:val="24"/>
        </w:rPr>
        <w:t>（盖单位公章）</w:t>
      </w:r>
    </w:p>
    <w:p>
      <w:pPr>
        <w:snapToGrid w:val="0"/>
        <w:spacing w:before="0" w:beforeAutospacing="0" w:after="0" w:afterAutospacing="0" w:line="240" w:lineRule="auto"/>
        <w:ind w:firstLine="281"/>
        <w:jc w:val="center"/>
        <w:textAlignment w:val="baseline"/>
        <w:rPr>
          <w:b/>
          <w:i w:val="0"/>
          <w:caps w:val="0"/>
          <w:color w:val="auto"/>
          <w:spacing w:val="0"/>
          <w:w w:val="100"/>
          <w:sz w:val="24"/>
          <w:szCs w:val="24"/>
        </w:rPr>
      </w:pPr>
    </w:p>
    <w:p>
      <w:pPr>
        <w:snapToGrid w:val="0"/>
        <w:spacing w:before="0" w:beforeAutospacing="0" w:after="0" w:afterAutospacing="0" w:line="240" w:lineRule="auto"/>
        <w:ind w:firstLine="281"/>
        <w:jc w:val="center"/>
        <w:textAlignment w:val="baseline"/>
        <w:rPr>
          <w:b/>
          <w:i w:val="0"/>
          <w:caps w:val="0"/>
          <w:color w:val="auto"/>
          <w:spacing w:val="0"/>
          <w:w w:val="100"/>
          <w:sz w:val="24"/>
          <w:szCs w:val="24"/>
        </w:rPr>
      </w:pPr>
    </w:p>
    <w:p>
      <w:pPr>
        <w:snapToGrid w:val="0"/>
        <w:spacing w:before="0" w:beforeAutospacing="0" w:after="0" w:afterAutospacing="0" w:line="240" w:lineRule="auto"/>
        <w:ind w:firstLine="281"/>
        <w:jc w:val="center"/>
        <w:textAlignment w:val="baseline"/>
        <w:rPr>
          <w:b/>
          <w:i w:val="0"/>
          <w:caps w:val="0"/>
          <w:color w:val="auto"/>
          <w:spacing w:val="0"/>
          <w:w w:val="100"/>
          <w:sz w:val="24"/>
          <w:szCs w:val="24"/>
        </w:rPr>
      </w:pPr>
      <w:r>
        <w:rPr>
          <w:rFonts w:hint="eastAsia"/>
          <w:b w:val="0"/>
          <w:i w:val="0"/>
          <w:caps w:val="0"/>
          <w:color w:val="auto"/>
          <w:spacing w:val="0"/>
          <w:w w:val="100"/>
          <w:sz w:val="24"/>
          <w:szCs w:val="24"/>
        </w:rPr>
        <w:t xml:space="preserve">                          年   月   日</w:t>
      </w:r>
    </w:p>
    <w:p>
      <w:pPr>
        <w:snapToGrid w:val="0"/>
        <w:spacing w:before="0" w:beforeAutospacing="0" w:after="0" w:afterAutospacing="0" w:line="240" w:lineRule="auto"/>
        <w:ind w:firstLine="281"/>
        <w:jc w:val="both"/>
        <w:textAlignment w:val="baseline"/>
        <w:rPr>
          <w:b/>
          <w:i w:val="0"/>
          <w:caps w:val="0"/>
          <w:color w:val="auto"/>
          <w:spacing w:val="0"/>
          <w:w w:val="100"/>
          <w:sz w:val="24"/>
          <w:szCs w:val="24"/>
        </w:rPr>
      </w:pPr>
    </w:p>
    <w:p>
      <w:pPr>
        <w:snapToGrid w:val="0"/>
        <w:spacing w:before="50" w:beforeAutospacing="0" w:after="135" w:afterAutospacing="0" w:line="240" w:lineRule="auto"/>
        <w:jc w:val="center"/>
        <w:textAlignment w:val="baseline"/>
        <w:rPr>
          <w:rFonts w:ascii="宋体" w:hAnsi="宋体" w:cs="宋体"/>
          <w:b/>
          <w:i w:val="0"/>
          <w:caps w:val="0"/>
          <w:color w:val="auto"/>
          <w:spacing w:val="40"/>
          <w:w w:val="100"/>
          <w:sz w:val="28"/>
          <w:szCs w:val="28"/>
        </w:rPr>
      </w:pPr>
      <w:r>
        <w:rPr>
          <w:rFonts w:ascii="宋体" w:hAnsi="宋体"/>
          <w:b/>
          <w:i w:val="0"/>
          <w:caps w:val="0"/>
          <w:color w:val="auto"/>
          <w:spacing w:val="0"/>
          <w:w w:val="100"/>
          <w:sz w:val="24"/>
          <w:szCs w:val="24"/>
        </w:rPr>
        <w:br w:type="page"/>
      </w:r>
    </w:p>
    <w:p>
      <w:pPr>
        <w:snapToGrid w:val="0"/>
        <w:spacing w:before="50" w:beforeAutospacing="0" w:after="135" w:afterAutospacing="0" w:line="240" w:lineRule="auto"/>
        <w:jc w:val="center"/>
        <w:textAlignment w:val="baseline"/>
        <w:rPr>
          <w:rFonts w:ascii="宋体" w:hAnsi="宋体" w:cs="宋体"/>
          <w:b/>
          <w:i w:val="0"/>
          <w:caps w:val="0"/>
          <w:color w:val="auto"/>
          <w:spacing w:val="40"/>
          <w:w w:val="100"/>
          <w:sz w:val="28"/>
        </w:rPr>
      </w:pPr>
      <w:r>
        <w:rPr>
          <w:rFonts w:hint="eastAsia" w:ascii="宋体" w:hAnsi="宋体" w:cs="宋体"/>
          <w:b/>
          <w:i w:val="0"/>
          <w:caps w:val="0"/>
          <w:color w:val="auto"/>
          <w:spacing w:val="40"/>
          <w:w w:val="100"/>
          <w:sz w:val="28"/>
          <w:szCs w:val="28"/>
        </w:rPr>
        <w:t>技 术 响 应 表</w:t>
      </w:r>
    </w:p>
    <w:p>
      <w:pPr>
        <w:pStyle w:val="9"/>
        <w:snapToGrid w:val="0"/>
        <w:spacing w:before="152" w:beforeAutospacing="0" w:after="160" w:afterAutospacing="0" w:line="240" w:lineRule="auto"/>
        <w:jc w:val="both"/>
        <w:textAlignment w:val="baseline"/>
        <w:rPr>
          <w:rFonts w:ascii="宋体" w:hAnsi="宋体" w:eastAsia="宋体" w:cs="宋体"/>
          <w:b w:val="0"/>
          <w:i w:val="0"/>
          <w:caps w:val="0"/>
          <w:color w:val="auto"/>
          <w:spacing w:val="0"/>
          <w:w w:val="100"/>
          <w:sz w:val="30"/>
          <w:szCs w:val="30"/>
        </w:rPr>
      </w:pPr>
    </w:p>
    <w:tbl>
      <w:tblPr>
        <w:tblStyle w:val="30"/>
        <w:tblW w:w="8630" w:type="dxa"/>
        <w:tblInd w:w="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57"/>
        <w:gridCol w:w="1861"/>
        <w:gridCol w:w="2511"/>
        <w:gridCol w:w="2105"/>
        <w:gridCol w:w="139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beforeAutospacing="0" w:after="50" w:afterAutospacing="0" w:line="240" w:lineRule="auto"/>
              <w:jc w:val="center"/>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序号</w:t>
            </w:r>
          </w:p>
        </w:tc>
        <w:tc>
          <w:tcPr>
            <w:tcW w:w="1861" w:type="dxa"/>
            <w:tcBorders>
              <w:top w:val="single" w:color="auto" w:sz="4" w:space="0"/>
              <w:left w:val="single" w:color="auto" w:sz="4" w:space="0"/>
              <w:bottom w:val="single" w:color="auto" w:sz="4" w:space="0"/>
              <w:right w:val="single" w:color="auto" w:sz="4" w:space="0"/>
            </w:tcBorders>
            <w:vAlign w:val="center"/>
          </w:tcPr>
          <w:p>
            <w:pPr>
              <w:snapToGrid w:val="0"/>
              <w:spacing w:before="50" w:beforeAutospacing="0" w:after="50" w:afterAutospacing="0" w:line="240" w:lineRule="auto"/>
              <w:jc w:val="center"/>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货物名称</w:t>
            </w:r>
          </w:p>
        </w:tc>
        <w:tc>
          <w:tcPr>
            <w:tcW w:w="2511" w:type="dxa"/>
            <w:tcBorders>
              <w:top w:val="single" w:color="auto" w:sz="4" w:space="0"/>
              <w:left w:val="single" w:color="auto" w:sz="4" w:space="0"/>
              <w:bottom w:val="single" w:color="auto" w:sz="4" w:space="0"/>
              <w:right w:val="single" w:color="auto" w:sz="4" w:space="0"/>
            </w:tcBorders>
            <w:vAlign w:val="center"/>
          </w:tcPr>
          <w:p>
            <w:pPr>
              <w:snapToGrid w:val="0"/>
              <w:spacing w:before="50" w:beforeAutospacing="0" w:after="50" w:afterAutospacing="0" w:line="240" w:lineRule="auto"/>
              <w:jc w:val="center"/>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招标文件</w:t>
            </w:r>
          </w:p>
          <w:p>
            <w:pPr>
              <w:snapToGrid w:val="0"/>
              <w:spacing w:before="50" w:beforeAutospacing="0" w:after="50" w:afterAutospacing="0" w:line="240" w:lineRule="auto"/>
              <w:jc w:val="center"/>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要求</w:t>
            </w:r>
          </w:p>
        </w:tc>
        <w:tc>
          <w:tcPr>
            <w:tcW w:w="2105"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center"/>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投标文件</w:t>
            </w:r>
          </w:p>
          <w:p>
            <w:pPr>
              <w:snapToGrid w:val="0"/>
              <w:spacing w:before="50" w:beforeAutospacing="0" w:after="50" w:afterAutospacing="0" w:line="240" w:lineRule="auto"/>
              <w:jc w:val="center"/>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响应</w:t>
            </w:r>
          </w:p>
        </w:tc>
        <w:tc>
          <w:tcPr>
            <w:tcW w:w="1396"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center"/>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偏离</w:t>
            </w:r>
          </w:p>
          <w:p>
            <w:pPr>
              <w:snapToGrid w:val="0"/>
              <w:spacing w:before="50" w:beforeAutospacing="0" w:after="50" w:afterAutospacing="0" w:line="240" w:lineRule="auto"/>
              <w:jc w:val="center"/>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2105"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396"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2105"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396"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2105"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396"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2105"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396"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757" w:type="dxa"/>
            <w:tcBorders>
              <w:top w:val="single" w:color="auto" w:sz="4" w:space="0"/>
              <w:left w:val="single" w:color="auto" w:sz="4" w:space="0"/>
              <w:bottom w:val="single" w:color="auto" w:sz="4" w:space="0"/>
              <w:right w:val="single" w:color="auto" w:sz="4" w:space="0"/>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w:t>
            </w:r>
          </w:p>
        </w:tc>
        <w:tc>
          <w:tcPr>
            <w:tcW w:w="186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w:t>
            </w:r>
          </w:p>
        </w:tc>
        <w:tc>
          <w:tcPr>
            <w:tcW w:w="2511" w:type="dxa"/>
            <w:tcBorders>
              <w:top w:val="single" w:color="auto" w:sz="4" w:space="0"/>
              <w:left w:val="single" w:color="auto" w:sz="4" w:space="0"/>
              <w:bottom w:val="single" w:color="auto" w:sz="4" w:space="0"/>
              <w:right w:val="single" w:color="auto" w:sz="4" w:space="0"/>
              <w:tl2br w:val="nil"/>
              <w:tr2bl w:val="nil"/>
            </w:tcBorders>
            <w:vAlign w:val="center"/>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r>
              <w:rPr>
                <w:rFonts w:hint="eastAsia" w:ascii="宋体" w:hAnsi="宋体" w:cs="宋体"/>
                <w:b w:val="0"/>
                <w:i w:val="0"/>
                <w:caps w:val="0"/>
                <w:color w:val="auto"/>
                <w:spacing w:val="20"/>
                <w:w w:val="100"/>
                <w:sz w:val="24"/>
                <w:szCs w:val="24"/>
              </w:rPr>
              <w:t>…</w:t>
            </w:r>
          </w:p>
        </w:tc>
        <w:tc>
          <w:tcPr>
            <w:tcW w:w="2105"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c>
          <w:tcPr>
            <w:tcW w:w="1396" w:type="dxa"/>
            <w:tcBorders>
              <w:top w:val="single" w:color="auto" w:sz="4" w:space="0"/>
              <w:left w:val="single" w:color="auto" w:sz="4" w:space="0"/>
              <w:bottom w:val="single" w:color="auto" w:sz="4" w:space="0"/>
              <w:right w:val="single" w:color="auto" w:sz="4" w:space="0"/>
            </w:tcBorders>
          </w:tcPr>
          <w:p>
            <w:pPr>
              <w:snapToGrid w:val="0"/>
              <w:spacing w:before="50" w:beforeAutospacing="0" w:after="50" w:afterAutospacing="0" w:line="240" w:lineRule="auto"/>
              <w:jc w:val="both"/>
              <w:textAlignment w:val="baseline"/>
              <w:rPr>
                <w:rFonts w:ascii="宋体" w:hAnsi="宋体" w:cs="宋体"/>
                <w:b w:val="0"/>
                <w:i w:val="0"/>
                <w:caps w:val="0"/>
                <w:color w:val="auto"/>
                <w:spacing w:val="20"/>
                <w:w w:val="100"/>
                <w:sz w:val="24"/>
                <w:szCs w:val="24"/>
              </w:rPr>
            </w:pPr>
          </w:p>
        </w:tc>
      </w:tr>
    </w:tbl>
    <w:p>
      <w:pPr>
        <w:snapToGrid w:val="0"/>
        <w:spacing w:before="50" w:beforeAutospacing="0" w:after="50" w:afterAutospacing="0" w:line="240" w:lineRule="auto"/>
        <w:ind w:firstLine="500" w:firstLineChars="200"/>
        <w:jc w:val="both"/>
        <w:textAlignment w:val="baseline"/>
        <w:rPr>
          <w:rFonts w:ascii="宋体" w:hAnsi="宋体" w:cs="宋体"/>
          <w:b w:val="0"/>
          <w:i w:val="0"/>
          <w:caps w:val="0"/>
          <w:color w:val="auto"/>
          <w:spacing w:val="20"/>
          <w:w w:val="100"/>
          <w:sz w:val="20"/>
          <w:szCs w:val="21"/>
        </w:rPr>
      </w:pPr>
      <w:r>
        <w:rPr>
          <w:rFonts w:hint="eastAsia" w:ascii="宋体" w:hAnsi="宋体" w:cs="宋体"/>
          <w:b w:val="0"/>
          <w:i w:val="0"/>
          <w:caps w:val="0"/>
          <w:color w:val="auto"/>
          <w:spacing w:val="20"/>
          <w:w w:val="100"/>
          <w:sz w:val="21"/>
          <w:szCs w:val="21"/>
        </w:rPr>
        <w:t>注：1、投标人应对照招标文件要求和投标文件响应情况在“偏离情况”栏注明“正偏离”、“负偏离”或“无偏离”。若正偏离的，需详细说明或提供证明材料。</w:t>
      </w:r>
    </w:p>
    <w:p>
      <w:pPr>
        <w:snapToGrid w:val="0"/>
        <w:spacing w:before="50" w:beforeAutospacing="0" w:after="50" w:afterAutospacing="0" w:line="240" w:lineRule="auto"/>
        <w:ind w:firstLine="500" w:firstLineChars="200"/>
        <w:jc w:val="both"/>
        <w:textAlignment w:val="baseline"/>
        <w:rPr>
          <w:rFonts w:ascii="宋体" w:hAnsi="宋体" w:cs="宋体"/>
          <w:b w:val="0"/>
          <w:i w:val="0"/>
          <w:caps w:val="0"/>
          <w:color w:val="auto"/>
          <w:spacing w:val="20"/>
          <w:w w:val="100"/>
          <w:sz w:val="20"/>
          <w:szCs w:val="21"/>
        </w:rPr>
      </w:pPr>
      <w:r>
        <w:rPr>
          <w:rFonts w:hint="eastAsia" w:ascii="宋体" w:hAnsi="宋体" w:cs="宋体"/>
          <w:b w:val="0"/>
          <w:i w:val="0"/>
          <w:caps w:val="0"/>
          <w:color w:val="auto"/>
          <w:spacing w:val="20"/>
          <w:w w:val="100"/>
          <w:sz w:val="21"/>
          <w:szCs w:val="21"/>
        </w:rPr>
        <w:t>2、“招标文件要求”一列按第六章技术标准和要求中的相应内容填写。</w:t>
      </w:r>
    </w:p>
    <w:p>
      <w:pPr>
        <w:pStyle w:val="11"/>
        <w:snapToGrid w:val="0"/>
        <w:spacing w:before="50" w:beforeAutospacing="0" w:after="50" w:afterAutospacing="0" w:line="240" w:lineRule="auto"/>
        <w:jc w:val="both"/>
        <w:textAlignment w:val="baseline"/>
        <w:rPr>
          <w:rFonts w:ascii="宋体" w:hAnsi="宋体" w:eastAsia="宋体" w:cs="宋体"/>
          <w:b w:val="0"/>
          <w:bCs w:val="0"/>
          <w:i w:val="0"/>
          <w:caps w:val="0"/>
          <w:color w:val="auto"/>
          <w:spacing w:val="20"/>
          <w:w w:val="100"/>
          <w:sz w:val="24"/>
          <w:szCs w:val="24"/>
        </w:rPr>
      </w:pPr>
    </w:p>
    <w:p>
      <w:pPr>
        <w:snapToGrid w:val="0"/>
        <w:spacing w:before="50" w:beforeAutospacing="0" w:after="50" w:afterAutospacing="0" w:line="240" w:lineRule="auto"/>
        <w:jc w:val="both"/>
        <w:textAlignment w:val="baseline"/>
        <w:rPr>
          <w:rFonts w:ascii="宋体" w:hAnsi="宋体" w:cs="宋体"/>
          <w:b w:val="0"/>
          <w:bCs/>
          <w:i w:val="0"/>
          <w:caps w:val="0"/>
          <w:color w:val="auto"/>
          <w:spacing w:val="20"/>
          <w:w w:val="100"/>
          <w:sz w:val="24"/>
          <w:szCs w:val="24"/>
        </w:rPr>
      </w:pPr>
    </w:p>
    <w:p>
      <w:pPr>
        <w:pStyle w:val="29"/>
        <w:snapToGrid w:val="0"/>
        <w:spacing w:before="0" w:beforeAutospacing="0" w:after="0" w:afterAutospacing="0" w:line="440" w:lineRule="exact"/>
        <w:ind w:firstLine="0" w:firstLineChars="0"/>
        <w:jc w:val="both"/>
        <w:textAlignment w:val="baseline"/>
        <w:rPr>
          <w:rFonts w:ascii="宋体" w:hAnsi="宋体"/>
          <w:b w:val="0"/>
          <w:i w:val="0"/>
          <w:caps w:val="0"/>
          <w:color w:val="auto"/>
          <w:spacing w:val="0"/>
          <w:w w:val="100"/>
          <w:sz w:val="24"/>
          <w:szCs w:val="24"/>
        </w:rPr>
      </w:pPr>
      <w:r>
        <w:rPr>
          <w:rFonts w:hint="eastAsia" w:ascii="宋体" w:hAnsi="宋体"/>
          <w:b w:val="0"/>
          <w:i w:val="0"/>
          <w:caps w:val="0"/>
          <w:color w:val="auto"/>
          <w:spacing w:val="0"/>
          <w:w w:val="100"/>
          <w:sz w:val="24"/>
          <w:szCs w:val="24"/>
        </w:rPr>
        <w:t>投标人：</w:t>
      </w:r>
      <w:r>
        <w:rPr>
          <w:rFonts w:hint="eastAsia" w:ascii="宋体" w:hAnsi="宋体"/>
          <w:b w:val="0"/>
          <w:i w:val="0"/>
          <w:caps w:val="0"/>
          <w:color w:val="auto"/>
          <w:spacing w:val="0"/>
          <w:w w:val="100"/>
          <w:sz w:val="24"/>
          <w:szCs w:val="24"/>
          <w:u w:val="single" w:color="000000"/>
        </w:rPr>
        <w:t xml:space="preserve">                      </w:t>
      </w:r>
      <w:r>
        <w:rPr>
          <w:rFonts w:hint="eastAsia" w:ascii="宋体" w:hAnsi="宋体"/>
          <w:b w:val="0"/>
          <w:i w:val="0"/>
          <w:caps w:val="0"/>
          <w:color w:val="auto"/>
          <w:spacing w:val="0"/>
          <w:w w:val="100"/>
          <w:sz w:val="24"/>
          <w:szCs w:val="24"/>
        </w:rPr>
        <w:t>（盖单位公章）</w:t>
      </w:r>
    </w:p>
    <w:p>
      <w:pPr>
        <w:snapToGrid w:val="0"/>
        <w:spacing w:before="0" w:beforeAutospacing="0" w:after="0" w:afterAutospacing="0" w:line="440" w:lineRule="exact"/>
        <w:jc w:val="both"/>
        <w:textAlignment w:val="baseline"/>
        <w:rPr>
          <w:b w:val="0"/>
          <w:i w:val="0"/>
          <w:caps w:val="0"/>
          <w:color w:val="auto"/>
          <w:spacing w:val="0"/>
          <w:w w:val="100"/>
          <w:sz w:val="24"/>
          <w:szCs w:val="24"/>
        </w:rPr>
      </w:pPr>
      <w:r>
        <w:rPr>
          <w:rFonts w:hint="eastAsia" w:ascii="宋体" w:hAnsi="宋体"/>
          <w:b w:val="0"/>
          <w:i w:val="0"/>
          <w:caps w:val="0"/>
          <w:color w:val="auto"/>
          <w:spacing w:val="0"/>
          <w:w w:val="100"/>
          <w:sz w:val="24"/>
          <w:szCs w:val="24"/>
        </w:rPr>
        <w:t>法定代表人或其委托代理人：</w:t>
      </w:r>
      <w:r>
        <w:rPr>
          <w:rFonts w:hint="eastAsia" w:ascii="宋体" w:hAnsi="宋体"/>
          <w:b w:val="0"/>
          <w:i w:val="0"/>
          <w:caps w:val="0"/>
          <w:color w:val="auto"/>
          <w:spacing w:val="0"/>
          <w:w w:val="100"/>
          <w:sz w:val="24"/>
          <w:szCs w:val="24"/>
          <w:u w:val="single" w:color="000000"/>
        </w:rPr>
        <w:t xml:space="preserve">           </w:t>
      </w:r>
      <w:r>
        <w:rPr>
          <w:rFonts w:hint="eastAsia" w:ascii="宋体" w:hAnsi="宋体"/>
          <w:b w:val="0"/>
          <w:i w:val="0"/>
          <w:caps w:val="0"/>
          <w:color w:val="auto"/>
          <w:spacing w:val="0"/>
          <w:w w:val="100"/>
          <w:sz w:val="24"/>
          <w:szCs w:val="24"/>
        </w:rPr>
        <w:t xml:space="preserve">（签字或盖章） </w:t>
      </w:r>
    </w:p>
    <w:p>
      <w:pPr>
        <w:snapToGrid w:val="0"/>
        <w:spacing w:before="0" w:beforeAutospacing="0" w:after="0" w:afterAutospacing="0" w:line="440" w:lineRule="exact"/>
        <w:jc w:val="both"/>
        <w:textAlignment w:val="baseline"/>
        <w:rPr>
          <w:rFonts w:ascii="宋体" w:hAnsi="宋体"/>
          <w:b w:val="0"/>
          <w:i w:val="0"/>
          <w:caps w:val="0"/>
          <w:color w:val="auto"/>
          <w:spacing w:val="0"/>
          <w:w w:val="100"/>
          <w:sz w:val="24"/>
          <w:szCs w:val="24"/>
        </w:rPr>
      </w:pPr>
      <w:r>
        <w:rPr>
          <w:rFonts w:hint="eastAsia" w:ascii="宋体" w:hAnsi="宋体"/>
          <w:b w:val="0"/>
          <w:i w:val="0"/>
          <w:caps w:val="0"/>
          <w:color w:val="auto"/>
          <w:spacing w:val="0"/>
          <w:w w:val="100"/>
          <w:sz w:val="24"/>
          <w:szCs w:val="24"/>
        </w:rPr>
        <w:t>日期：    年    月    日</w:t>
      </w:r>
    </w:p>
    <w:p>
      <w:pPr>
        <w:snapToGrid w:val="0"/>
        <w:spacing w:before="50" w:beforeAutospacing="0" w:after="50" w:afterAutospacing="0" w:line="240" w:lineRule="auto"/>
        <w:jc w:val="both"/>
        <w:textAlignment w:val="baseline"/>
        <w:rPr>
          <w:rFonts w:ascii="宋体" w:hAnsi="宋体" w:cs="宋体"/>
          <w:b w:val="0"/>
          <w:bCs/>
          <w:i w:val="0"/>
          <w:caps w:val="0"/>
          <w:color w:val="auto"/>
          <w:spacing w:val="20"/>
          <w:w w:val="100"/>
          <w:sz w:val="24"/>
          <w:szCs w:val="24"/>
        </w:rPr>
      </w:pPr>
    </w:p>
    <w:p>
      <w:pPr>
        <w:pStyle w:val="9"/>
        <w:snapToGrid w:val="0"/>
        <w:spacing w:before="100" w:beforeAutospacing="0" w:after="100" w:afterAutospacing="0" w:line="240" w:lineRule="auto"/>
        <w:jc w:val="center"/>
        <w:textAlignment w:val="baseline"/>
        <w:rPr>
          <w:rFonts w:ascii="宋体" w:hAnsi="宋体" w:eastAsia="宋体" w:cs="宋体"/>
          <w:b w:val="0"/>
          <w:i w:val="0"/>
          <w:caps w:val="0"/>
          <w:color w:val="auto"/>
          <w:spacing w:val="0"/>
          <w:w w:val="100"/>
          <w:sz w:val="28"/>
          <w:szCs w:val="28"/>
        </w:rPr>
      </w:pPr>
      <w:r>
        <w:rPr>
          <w:rFonts w:hint="eastAsia" w:ascii="宋体" w:hAnsi="宋体" w:eastAsia="宋体" w:cs="宋体"/>
          <w:b w:val="0"/>
          <w:i w:val="0"/>
          <w:caps w:val="0"/>
          <w:color w:val="auto"/>
          <w:spacing w:val="0"/>
          <w:w w:val="100"/>
          <w:sz w:val="28"/>
          <w:szCs w:val="28"/>
        </w:rPr>
        <w:br w:type="page"/>
      </w:r>
    </w:p>
    <w:p>
      <w:pPr>
        <w:snapToGrid w:val="0"/>
        <w:spacing w:before="100" w:beforeAutospacing="0" w:after="100" w:afterAutospacing="0" w:line="240" w:lineRule="auto"/>
        <w:jc w:val="center"/>
        <w:textAlignment w:val="baseline"/>
        <w:rPr>
          <w:rFonts w:ascii="宋体" w:hAnsi="宋体" w:eastAsia="宋体" w:cs="宋体"/>
          <w:b w:val="0"/>
          <w:i w:val="0"/>
          <w:caps w:val="0"/>
          <w:color w:val="auto"/>
          <w:spacing w:val="0"/>
          <w:w w:val="100"/>
          <w:sz w:val="28"/>
        </w:rPr>
      </w:pPr>
      <w:r>
        <w:rPr>
          <w:rFonts w:hint="eastAsia" w:ascii="宋体" w:hAnsi="宋体" w:eastAsia="宋体" w:cs="宋体"/>
          <w:b w:val="0"/>
          <w:i w:val="0"/>
          <w:caps w:val="0"/>
          <w:color w:val="auto"/>
          <w:spacing w:val="0"/>
          <w:w w:val="100"/>
          <w:sz w:val="28"/>
          <w:szCs w:val="28"/>
        </w:rPr>
        <w:t>投标人提供的材料、辅助材料、专用工具及备品备件（易损件）一览表</w:t>
      </w:r>
    </w:p>
    <w:p>
      <w:pPr>
        <w:snapToGrid w:val="0"/>
        <w:spacing w:before="0" w:beforeAutospacing="0" w:after="0" w:afterAutospacing="0" w:line="240" w:lineRule="auto"/>
        <w:jc w:val="both"/>
        <w:textAlignment w:val="baseline"/>
        <w:rPr>
          <w:b w:val="0"/>
          <w:i w:val="0"/>
          <w:caps w:val="0"/>
          <w:color w:val="auto"/>
          <w:spacing w:val="0"/>
          <w:w w:val="100"/>
          <w:sz w:val="20"/>
        </w:rPr>
      </w:pPr>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2653"/>
        <w:gridCol w:w="1018"/>
        <w:gridCol w:w="673"/>
        <w:gridCol w:w="809"/>
        <w:gridCol w:w="824"/>
        <w:gridCol w:w="1031"/>
        <w:gridCol w:w="970"/>
        <w:gridCol w:w="647"/>
        <w:gridCol w:w="6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300" w:type="pct"/>
            <w:vMerge w:val="restar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序号</w:t>
            </w:r>
          </w:p>
        </w:tc>
        <w:tc>
          <w:tcPr>
            <w:tcW w:w="1345" w:type="pct"/>
            <w:vMerge w:val="restar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货物名称</w:t>
            </w:r>
          </w:p>
        </w:tc>
        <w:tc>
          <w:tcPr>
            <w:tcW w:w="516" w:type="pct"/>
            <w:vMerge w:val="restar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规格、型号</w:t>
            </w:r>
          </w:p>
        </w:tc>
        <w:tc>
          <w:tcPr>
            <w:tcW w:w="341" w:type="pct"/>
            <w:vMerge w:val="restar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产地</w:t>
            </w:r>
          </w:p>
        </w:tc>
        <w:tc>
          <w:tcPr>
            <w:tcW w:w="410" w:type="pct"/>
            <w:vMerge w:val="restar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单位</w:t>
            </w:r>
          </w:p>
        </w:tc>
        <w:tc>
          <w:tcPr>
            <w:tcW w:w="418" w:type="pct"/>
            <w:vMerge w:val="restar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数量</w:t>
            </w:r>
          </w:p>
        </w:tc>
        <w:tc>
          <w:tcPr>
            <w:tcW w:w="1015" w:type="pct"/>
            <w:gridSpan w:val="2"/>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单价</w:t>
            </w:r>
          </w:p>
        </w:tc>
        <w:tc>
          <w:tcPr>
            <w:tcW w:w="328" w:type="pct"/>
            <w:vMerge w:val="restar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合价</w:t>
            </w:r>
          </w:p>
        </w:tc>
        <w:tc>
          <w:tcPr>
            <w:tcW w:w="324" w:type="pct"/>
            <w:vMerge w:val="restar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300" w:type="pct"/>
            <w:vMerge w:val="continue"/>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Merge w:val="continue"/>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16" w:type="pct"/>
            <w:vMerge w:val="continue"/>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Merge w:val="continue"/>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Merge w:val="continue"/>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Merge w:val="continue"/>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市场价</w:t>
            </w: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优惠价</w:t>
            </w:r>
          </w:p>
        </w:tc>
        <w:tc>
          <w:tcPr>
            <w:tcW w:w="328" w:type="pct"/>
            <w:vMerge w:val="continue"/>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Merge w:val="continue"/>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ascii="宋体" w:hAnsi="宋体"/>
                <w:b w:val="0"/>
                <w:i w:val="0"/>
                <w:caps w:val="0"/>
                <w:color w:val="auto"/>
                <w:spacing w:val="0"/>
                <w:w w:val="100"/>
                <w:sz w:val="21"/>
                <w:szCs w:val="21"/>
              </w:rPr>
              <w:t>一、</w:t>
            </w:r>
            <w:r>
              <w:rPr>
                <w:rFonts w:hint="eastAsia" w:ascii="宋体" w:hAnsi="宋体" w:cs="宋体"/>
                <w:b/>
                <w:bCs/>
                <w:i w:val="0"/>
                <w:caps w:val="0"/>
                <w:color w:val="auto"/>
                <w:spacing w:val="0"/>
                <w:w w:val="100"/>
                <w:sz w:val="21"/>
                <w:szCs w:val="21"/>
              </w:rPr>
              <w:t>气动物流系统备品备件（易损件）清单</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ascii="宋体" w:hAnsi="宋体"/>
                <w:b w:val="0"/>
                <w:i w:val="0"/>
                <w:caps w:val="0"/>
                <w:color w:val="auto"/>
                <w:spacing w:val="0"/>
                <w:w w:val="100"/>
                <w:sz w:val="21"/>
                <w:szCs w:val="21"/>
              </w:rPr>
              <w:t>以下按清单内容填写</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hint="eastAsia" w:ascii="宋体" w:hAnsi="宋体" w:cs="宋体"/>
                <w:b/>
                <w:bCs/>
                <w:i w:val="0"/>
                <w:caps w:val="0"/>
                <w:color w:val="auto"/>
                <w:spacing w:val="0"/>
                <w:w w:val="100"/>
                <w:sz w:val="21"/>
                <w:szCs w:val="21"/>
              </w:rPr>
              <w:t>二、中型箱式物流系统备品备件（易损件）清单</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ascii="宋体" w:hAnsi="宋体"/>
                <w:b w:val="0"/>
                <w:i w:val="0"/>
                <w:caps w:val="0"/>
                <w:color w:val="auto"/>
                <w:spacing w:val="0"/>
                <w:w w:val="100"/>
                <w:sz w:val="21"/>
                <w:szCs w:val="21"/>
              </w:rPr>
              <w:t>以下按清单内容填写</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三、材料及辅助材料清单</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ascii="宋体" w:hAnsi="宋体"/>
                <w:b w:val="0"/>
                <w:i w:val="0"/>
                <w:caps w:val="0"/>
                <w:color w:val="auto"/>
                <w:spacing w:val="0"/>
                <w:w w:val="100"/>
                <w:sz w:val="21"/>
                <w:szCs w:val="21"/>
              </w:rPr>
              <w:t>以下内容由投标单位自行填写</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四、专业工具清单</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ascii="宋体" w:hAnsi="宋体"/>
                <w:b w:val="0"/>
                <w:i w:val="0"/>
                <w:caps w:val="0"/>
                <w:color w:val="auto"/>
                <w:spacing w:val="0"/>
                <w:w w:val="100"/>
                <w:sz w:val="21"/>
                <w:szCs w:val="21"/>
              </w:rPr>
              <w:t>以下内容由投标单位自行填写</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五、其他清单</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left"/>
              <w:textAlignment w:val="baseline"/>
              <w:rPr>
                <w:rFonts w:ascii="宋体" w:hAnsi="宋体"/>
                <w:b w:val="0"/>
                <w:i w:val="0"/>
                <w:caps w:val="0"/>
                <w:color w:val="auto"/>
                <w:spacing w:val="0"/>
                <w:w w:val="100"/>
                <w:sz w:val="20"/>
                <w:szCs w:val="21"/>
              </w:rPr>
            </w:pPr>
            <w:r>
              <w:rPr>
                <w:rFonts w:ascii="宋体" w:hAnsi="宋体"/>
                <w:b w:val="0"/>
                <w:i w:val="0"/>
                <w:caps w:val="0"/>
                <w:color w:val="auto"/>
                <w:spacing w:val="0"/>
                <w:w w:val="100"/>
                <w:sz w:val="21"/>
                <w:szCs w:val="21"/>
              </w:rPr>
              <w:t>以下内容由投标单位自行填写</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523"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92"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30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345"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合  计</w:t>
            </w:r>
          </w:p>
        </w:tc>
        <w:tc>
          <w:tcPr>
            <w:tcW w:w="516"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41"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0"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41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1015" w:type="pct"/>
            <w:gridSpan w:val="2"/>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8"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c>
          <w:tcPr>
            <w:tcW w:w="324" w:type="pct"/>
            <w:vAlign w:val="center"/>
          </w:tcPr>
          <w:p>
            <w:pPr>
              <w:snapToGrid w:val="0"/>
              <w:spacing w:before="0" w:beforeAutospacing="0" w:after="0" w:afterAutospacing="0" w:line="240" w:lineRule="auto"/>
              <w:jc w:val="center"/>
              <w:textAlignment w:val="baseline"/>
              <w:rPr>
                <w:rFonts w:ascii="宋体" w:hAnsi="宋体"/>
                <w:b w:val="0"/>
                <w:i w:val="0"/>
                <w:caps w:val="0"/>
                <w:color w:val="auto"/>
                <w:spacing w:val="0"/>
                <w:w w:val="100"/>
                <w:sz w:val="20"/>
                <w:szCs w:val="21"/>
              </w:rPr>
            </w:pPr>
          </w:p>
        </w:tc>
      </w:tr>
    </w:tbl>
    <w:p>
      <w:pPr>
        <w:snapToGrid w:val="0"/>
        <w:spacing w:before="0" w:beforeAutospacing="0" w:after="0" w:afterAutospacing="0" w:line="360" w:lineRule="auto"/>
        <w:jc w:val="both"/>
        <w:textAlignment w:val="baseline"/>
        <w:rPr>
          <w:rFonts w:ascii="宋体" w:hAnsi="宋体" w:cs="宋体"/>
          <w:b/>
          <w:bCs/>
          <w:i w:val="0"/>
          <w:caps w:val="0"/>
          <w:color w:val="auto"/>
          <w:spacing w:val="0"/>
          <w:w w:val="100"/>
          <w:sz w:val="24"/>
          <w:szCs w:val="24"/>
        </w:rPr>
      </w:pPr>
      <w:r>
        <w:rPr>
          <w:rFonts w:hint="eastAsia" w:ascii="宋体" w:hAnsi="宋体" w:cs="宋体"/>
          <w:b w:val="0"/>
          <w:bCs/>
          <w:i w:val="0"/>
          <w:caps w:val="0"/>
          <w:color w:val="auto"/>
          <w:spacing w:val="0"/>
          <w:w w:val="100"/>
          <w:sz w:val="21"/>
          <w:szCs w:val="21"/>
        </w:rPr>
        <w:t>注：1.承诺上述单价（优惠价）质保期满后5年内有效。该单价（优惠价）</w:t>
      </w:r>
      <w:r>
        <w:rPr>
          <w:rFonts w:hint="eastAsia" w:ascii="宋体" w:hAnsi="宋体"/>
          <w:b w:val="0"/>
          <w:i w:val="0"/>
          <w:caps w:val="0"/>
          <w:color w:val="auto"/>
          <w:spacing w:val="0"/>
          <w:w w:val="100"/>
          <w:sz w:val="21"/>
          <w:szCs w:val="21"/>
        </w:rPr>
        <w:t>作为招标人质保期后使用材料、辅助材料、专业工具及备品备件（易损件）的价格，为现场交货价。</w:t>
      </w:r>
    </w:p>
    <w:p>
      <w:pPr>
        <w:numPr>
          <w:ilvl w:val="0"/>
          <w:numId w:val="11"/>
        </w:numPr>
        <w:snapToGrid w:val="0"/>
        <w:spacing w:before="0" w:beforeAutospacing="0" w:after="0" w:afterAutospacing="0" w:line="360" w:lineRule="auto"/>
        <w:ind w:firstLine="420" w:firstLineChars="200"/>
        <w:jc w:val="both"/>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其他清单是投标人认为需要填报的内容，未填写视为优惠报价。</w:t>
      </w:r>
    </w:p>
    <w:p>
      <w:pPr>
        <w:pStyle w:val="53"/>
        <w:numPr>
          <w:ilvl w:val="0"/>
          <w:numId w:val="11"/>
        </w:numPr>
        <w:snapToGrid w:val="0"/>
        <w:spacing w:before="0" w:beforeAutospacing="0" w:after="0" w:afterAutospacing="0" w:line="360" w:lineRule="auto"/>
        <w:ind w:left="420" w:firstLine="0" w:firstLineChars="0"/>
        <w:jc w:val="both"/>
        <w:textAlignment w:val="baseline"/>
        <w:rPr>
          <w:rFonts w:ascii="宋体" w:hAnsi="宋体"/>
          <w:b w:val="0"/>
          <w:i w:val="0"/>
          <w:caps w:val="0"/>
          <w:color w:val="auto"/>
          <w:spacing w:val="0"/>
          <w:w w:val="100"/>
          <w:sz w:val="21"/>
          <w:szCs w:val="21"/>
        </w:rPr>
      </w:pPr>
      <w:r>
        <w:rPr>
          <w:rFonts w:hint="eastAsia" w:ascii="宋体" w:hAnsi="宋体"/>
          <w:b w:val="0"/>
          <w:i w:val="0"/>
          <w:caps w:val="0"/>
          <w:color w:val="auto"/>
          <w:spacing w:val="0"/>
          <w:w w:val="100"/>
          <w:sz w:val="21"/>
          <w:szCs w:val="21"/>
        </w:rPr>
        <w:t>表格行数不够，投标人可自行扩展。</w:t>
      </w:r>
    </w:p>
    <w:p>
      <w:pPr>
        <w:pStyle w:val="12"/>
        <w:snapToGrid w:val="0"/>
        <w:spacing w:before="0" w:beforeAutospacing="0" w:after="0" w:afterAutospacing="0" w:line="240" w:lineRule="auto"/>
        <w:jc w:val="both"/>
        <w:textAlignment w:val="baseline"/>
        <w:rPr>
          <w:rFonts w:ascii="Times New Roman" w:hAnsi="Times New Roman" w:eastAsia="宋体" w:cs="Times New Roman"/>
          <w:b w:val="0"/>
          <w:i w:val="0"/>
          <w:caps w:val="0"/>
          <w:color w:val="auto"/>
          <w:spacing w:val="0"/>
          <w:w w:val="100"/>
          <w:sz w:val="24"/>
        </w:rPr>
      </w:pPr>
    </w:p>
    <w:p>
      <w:pPr>
        <w:pStyle w:val="12"/>
        <w:snapToGrid w:val="0"/>
        <w:spacing w:before="0" w:beforeAutospacing="0" w:after="0" w:afterAutospacing="0" w:line="240" w:lineRule="auto"/>
        <w:jc w:val="both"/>
        <w:textAlignment w:val="baseline"/>
        <w:rPr>
          <w:rFonts w:ascii="Times New Roman" w:hAnsi="Times New Roman" w:eastAsia="宋体" w:cs="Times New Roman"/>
          <w:b w:val="0"/>
          <w:i w:val="0"/>
          <w:caps w:val="0"/>
          <w:color w:val="auto"/>
          <w:spacing w:val="0"/>
          <w:w w:val="100"/>
          <w:sz w:val="24"/>
        </w:rPr>
      </w:pPr>
    </w:p>
    <w:p>
      <w:pPr>
        <w:pStyle w:val="29"/>
        <w:snapToGrid w:val="0"/>
        <w:spacing w:before="0" w:beforeAutospacing="0" w:after="0" w:afterAutospacing="0" w:line="360" w:lineRule="exact"/>
        <w:ind w:firstLine="0" w:firstLineChars="0"/>
        <w:jc w:val="both"/>
        <w:textAlignment w:val="baseline"/>
        <w:rPr>
          <w:rFonts w:ascii="宋体" w:hAnsi="宋体"/>
          <w:b w:val="0"/>
          <w:i w:val="0"/>
          <w:caps w:val="0"/>
          <w:color w:val="auto"/>
          <w:spacing w:val="0"/>
          <w:w w:val="100"/>
          <w:sz w:val="21"/>
          <w:szCs w:val="21"/>
        </w:rPr>
      </w:pPr>
    </w:p>
    <w:p>
      <w:pPr>
        <w:pStyle w:val="29"/>
        <w:snapToGrid w:val="0"/>
        <w:spacing w:before="0" w:beforeAutospacing="0" w:after="0" w:afterAutospacing="0" w:line="360" w:lineRule="exact"/>
        <w:ind w:firstLine="0" w:firstLineChars="0"/>
        <w:jc w:val="both"/>
        <w:textAlignment w:val="baseline"/>
        <w:rPr>
          <w:rFonts w:ascii="宋体" w:hAnsi="宋体"/>
          <w:b w:val="0"/>
          <w:i w:val="0"/>
          <w:caps w:val="0"/>
          <w:color w:val="auto"/>
          <w:spacing w:val="0"/>
          <w:w w:val="100"/>
          <w:sz w:val="21"/>
          <w:szCs w:val="21"/>
        </w:rPr>
      </w:pPr>
    </w:p>
    <w:p>
      <w:pPr>
        <w:pStyle w:val="29"/>
        <w:snapToGrid w:val="0"/>
        <w:spacing w:before="0" w:beforeAutospacing="0" w:after="0" w:afterAutospacing="0" w:line="360" w:lineRule="exact"/>
        <w:ind w:firstLine="0" w:firstLineChars="0"/>
        <w:jc w:val="both"/>
        <w:textAlignment w:val="baseline"/>
        <w:rPr>
          <w:rFonts w:ascii="宋体" w:hAnsi="宋体"/>
          <w:b w:val="0"/>
          <w:i w:val="0"/>
          <w:caps w:val="0"/>
          <w:color w:val="auto"/>
          <w:spacing w:val="0"/>
          <w:w w:val="100"/>
          <w:sz w:val="34"/>
          <w:szCs w:val="21"/>
        </w:rPr>
      </w:pPr>
      <w:r>
        <w:rPr>
          <w:rFonts w:hint="eastAsia" w:ascii="宋体" w:hAnsi="宋体"/>
          <w:b w:val="0"/>
          <w:i w:val="0"/>
          <w:caps w:val="0"/>
          <w:color w:val="auto"/>
          <w:spacing w:val="0"/>
          <w:w w:val="100"/>
          <w:sz w:val="21"/>
          <w:szCs w:val="21"/>
        </w:rPr>
        <w:t>投标人：</w:t>
      </w:r>
      <w:r>
        <w:rPr>
          <w:rFonts w:hint="eastAsia" w:ascii="宋体" w:hAnsi="宋体"/>
          <w:b w:val="0"/>
          <w:i w:val="0"/>
          <w:caps w:val="0"/>
          <w:color w:val="auto"/>
          <w:spacing w:val="0"/>
          <w:w w:val="100"/>
          <w:sz w:val="21"/>
          <w:szCs w:val="21"/>
          <w:u w:val="single" w:color="000000"/>
        </w:rPr>
        <w:t xml:space="preserve">                      </w:t>
      </w:r>
      <w:r>
        <w:rPr>
          <w:rFonts w:hint="eastAsia" w:ascii="宋体" w:hAnsi="宋体"/>
          <w:b w:val="0"/>
          <w:i w:val="0"/>
          <w:caps w:val="0"/>
          <w:color w:val="auto"/>
          <w:spacing w:val="0"/>
          <w:w w:val="100"/>
          <w:sz w:val="21"/>
          <w:szCs w:val="21"/>
        </w:rPr>
        <w:t>（盖单位公章）</w:t>
      </w:r>
    </w:p>
    <w:p>
      <w:pPr>
        <w:snapToGrid w:val="0"/>
        <w:spacing w:before="0" w:beforeAutospacing="0" w:after="0" w:afterAutospacing="0" w:line="360" w:lineRule="exact"/>
        <w:jc w:val="both"/>
        <w:textAlignment w:val="baseline"/>
        <w:rPr>
          <w:b w:val="0"/>
          <w:i w:val="0"/>
          <w:caps w:val="0"/>
          <w:color w:val="auto"/>
          <w:spacing w:val="0"/>
          <w:w w:val="100"/>
          <w:sz w:val="20"/>
        </w:rPr>
      </w:pPr>
      <w:r>
        <w:rPr>
          <w:rFonts w:hint="eastAsia" w:ascii="宋体" w:hAnsi="宋体"/>
          <w:b w:val="0"/>
          <w:i w:val="0"/>
          <w:caps w:val="0"/>
          <w:color w:val="auto"/>
          <w:spacing w:val="0"/>
          <w:w w:val="100"/>
          <w:sz w:val="21"/>
          <w:szCs w:val="21"/>
        </w:rPr>
        <w:t>法定代表人或其委托代理人：</w:t>
      </w:r>
      <w:r>
        <w:rPr>
          <w:rFonts w:hint="eastAsia" w:ascii="宋体" w:hAnsi="宋体"/>
          <w:b w:val="0"/>
          <w:i w:val="0"/>
          <w:caps w:val="0"/>
          <w:color w:val="auto"/>
          <w:spacing w:val="0"/>
          <w:w w:val="100"/>
          <w:sz w:val="21"/>
          <w:szCs w:val="21"/>
          <w:u w:val="single" w:color="000000"/>
        </w:rPr>
        <w:t xml:space="preserve">           </w:t>
      </w:r>
      <w:r>
        <w:rPr>
          <w:rFonts w:hint="eastAsia" w:ascii="宋体" w:hAnsi="宋体"/>
          <w:b w:val="0"/>
          <w:i w:val="0"/>
          <w:caps w:val="0"/>
          <w:color w:val="auto"/>
          <w:spacing w:val="0"/>
          <w:w w:val="100"/>
          <w:sz w:val="21"/>
          <w:szCs w:val="21"/>
        </w:rPr>
        <w:t xml:space="preserve">（签字或盖章） </w:t>
      </w:r>
    </w:p>
    <w:p>
      <w:pPr>
        <w:snapToGrid w:val="0"/>
        <w:spacing w:before="0" w:beforeAutospacing="0" w:after="0" w:afterAutospacing="0" w:line="360" w:lineRule="exact"/>
        <w:jc w:val="both"/>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日期：    年    月    日</w:t>
      </w:r>
    </w:p>
    <w:p>
      <w:pPr>
        <w:snapToGrid w:val="0"/>
        <w:spacing w:before="50" w:beforeAutospacing="0" w:after="135" w:afterAutospacing="0" w:line="240" w:lineRule="auto"/>
        <w:jc w:val="center"/>
        <w:textAlignment w:val="baseline"/>
        <w:rPr>
          <w:rFonts w:ascii="宋体" w:hAnsi="宋体" w:cs="宋体"/>
          <w:b w:val="0"/>
          <w:i w:val="0"/>
          <w:caps w:val="0"/>
          <w:color w:val="auto"/>
          <w:spacing w:val="0"/>
          <w:w w:val="100"/>
          <w:sz w:val="24"/>
          <w:szCs w:val="24"/>
        </w:rPr>
      </w:pPr>
      <w:r>
        <w:rPr>
          <w:rFonts w:hint="eastAsia" w:ascii="宋体" w:hAnsi="宋体" w:cs="宋体"/>
          <w:b w:val="0"/>
          <w:i w:val="0"/>
          <w:caps w:val="0"/>
          <w:color w:val="auto"/>
          <w:spacing w:val="0"/>
          <w:w w:val="100"/>
          <w:sz w:val="24"/>
          <w:szCs w:val="24"/>
        </w:rPr>
        <w:t xml:space="preserve"> </w:t>
      </w:r>
    </w:p>
    <w:p>
      <w:pPr>
        <w:snapToGrid w:val="0"/>
        <w:spacing w:before="0" w:beforeAutospacing="0" w:after="0" w:afterAutospacing="0" w:line="240" w:lineRule="auto"/>
        <w:jc w:val="both"/>
        <w:textAlignment w:val="baseline"/>
        <w:rPr>
          <w:rFonts w:ascii="宋体" w:hAnsi="宋体"/>
          <w:b/>
          <w:i w:val="0"/>
          <w:caps w:val="0"/>
          <w:color w:val="auto"/>
          <w:spacing w:val="0"/>
          <w:w w:val="100"/>
          <w:sz w:val="24"/>
          <w:szCs w:val="24"/>
        </w:rPr>
      </w:pPr>
      <w:r>
        <w:rPr>
          <w:rFonts w:ascii="宋体" w:hAnsi="宋体"/>
          <w:b/>
          <w:i w:val="0"/>
          <w:caps w:val="0"/>
          <w:color w:val="auto"/>
          <w:spacing w:val="0"/>
          <w:w w:val="100"/>
          <w:sz w:val="24"/>
          <w:szCs w:val="24"/>
        </w:rPr>
        <w:br w:type="page"/>
      </w:r>
    </w:p>
    <w:p>
      <w:pPr>
        <w:snapToGrid w:val="0"/>
        <w:spacing w:before="0" w:beforeAutospacing="0" w:after="0" w:afterAutospacing="0" w:line="240" w:lineRule="auto"/>
        <w:jc w:val="both"/>
        <w:textAlignment w:val="baseline"/>
        <w:rPr>
          <w:rFonts w:ascii="宋体" w:hAnsi="宋体"/>
          <w:b/>
          <w:i w:val="0"/>
          <w:caps w:val="0"/>
          <w:color w:val="auto"/>
          <w:spacing w:val="0"/>
          <w:w w:val="100"/>
          <w:sz w:val="24"/>
          <w:szCs w:val="24"/>
        </w:rPr>
      </w:pPr>
      <w:r>
        <w:rPr>
          <w:rFonts w:ascii="宋体" w:hAnsi="宋体"/>
          <w:b/>
          <w:i w:val="0"/>
          <w:caps w:val="0"/>
          <w:color w:val="auto"/>
          <w:spacing w:val="0"/>
          <w:w w:val="100"/>
          <w:sz w:val="24"/>
          <w:szCs w:val="24"/>
        </w:rPr>
        <w:t>详细内容由投标单位根据投标人须知第</w:t>
      </w:r>
      <w:r>
        <w:rPr>
          <w:rFonts w:hint="eastAsia" w:ascii="宋体" w:hAnsi="宋体"/>
          <w:b/>
          <w:i w:val="0"/>
          <w:caps w:val="0"/>
          <w:color w:val="auto"/>
          <w:spacing w:val="0"/>
          <w:w w:val="100"/>
          <w:sz w:val="24"/>
          <w:szCs w:val="24"/>
        </w:rPr>
        <w:t>3.1.2</w:t>
      </w:r>
      <w:r>
        <w:rPr>
          <w:rFonts w:ascii="宋体" w:hAnsi="宋体"/>
          <w:b/>
          <w:i w:val="0"/>
          <w:caps w:val="0"/>
          <w:color w:val="auto"/>
          <w:spacing w:val="0"/>
          <w:w w:val="100"/>
          <w:sz w:val="24"/>
          <w:szCs w:val="24"/>
        </w:rPr>
        <w:t>技术标部分内容进行编制，格式自拟。</w:t>
      </w:r>
    </w:p>
    <w:p>
      <w:pPr>
        <w:snapToGrid w:val="0"/>
        <w:spacing w:before="0" w:beforeAutospacing="0" w:after="0" w:afterAutospacing="0" w:line="240" w:lineRule="auto"/>
        <w:jc w:val="both"/>
        <w:textAlignment w:val="baseline"/>
        <w:rPr>
          <w:rFonts w:ascii="宋体" w:hAnsi="宋体"/>
          <w:b/>
          <w:i w:val="0"/>
          <w:caps w:val="0"/>
          <w:color w:val="auto"/>
          <w:spacing w:val="0"/>
          <w:w w:val="100"/>
          <w:sz w:val="24"/>
          <w:szCs w:val="24"/>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pStyle w:val="29"/>
        <w:snapToGrid w:val="0"/>
        <w:spacing w:before="0" w:beforeAutospacing="0" w:after="0" w:afterAutospacing="0" w:line="240" w:lineRule="auto"/>
        <w:ind w:firstLine="340" w:firstLineChars="100"/>
        <w:jc w:val="both"/>
        <w:textAlignment w:val="baseline"/>
        <w:rPr>
          <w:rFonts w:ascii="Times New Roman" w:hAnsi="Times New Roman" w:eastAsia="宋体" w:cs="Times New Roman"/>
          <w:b w:val="0"/>
          <w:i w:val="0"/>
          <w:caps w:val="0"/>
          <w:color w:val="auto"/>
          <w:spacing w:val="0"/>
          <w:w w:val="100"/>
          <w:sz w:val="34"/>
        </w:rPr>
      </w:pPr>
    </w:p>
    <w:p>
      <w:pPr>
        <w:snapToGrid w:val="0"/>
        <w:spacing w:before="0" w:beforeAutospacing="0" w:after="0" w:afterAutospacing="0" w:line="240" w:lineRule="auto"/>
        <w:jc w:val="both"/>
        <w:textAlignment w:val="baseline"/>
        <w:rPr>
          <w:b w:val="0"/>
          <w:i w:val="0"/>
          <w:caps w:val="0"/>
          <w:color w:val="auto"/>
          <w:spacing w:val="0"/>
          <w:w w:val="100"/>
          <w:sz w:val="20"/>
        </w:rPr>
      </w:pPr>
    </w:p>
    <w:p>
      <w:pPr>
        <w:pStyle w:val="29"/>
        <w:snapToGrid w:val="0"/>
        <w:spacing w:before="0" w:beforeAutospacing="0" w:after="0" w:afterAutospacing="0" w:line="240" w:lineRule="auto"/>
        <w:ind w:firstLine="340" w:firstLineChars="100"/>
        <w:jc w:val="both"/>
        <w:textAlignment w:val="baseline"/>
        <w:rPr>
          <w:rFonts w:ascii="Times New Roman" w:hAnsi="Times New Roman" w:eastAsia="宋体" w:cs="Times New Roman"/>
          <w:b w:val="0"/>
          <w:i w:val="0"/>
          <w:caps w:val="0"/>
          <w:color w:val="auto"/>
          <w:spacing w:val="0"/>
          <w:w w:val="100"/>
          <w:sz w:val="34"/>
        </w:rPr>
      </w:pPr>
    </w:p>
    <w:p>
      <w:pPr>
        <w:snapToGrid w:val="0"/>
        <w:spacing w:before="0" w:beforeAutospacing="0" w:after="0" w:afterAutospacing="0" w:line="240" w:lineRule="auto"/>
        <w:jc w:val="both"/>
        <w:textAlignment w:val="baseline"/>
        <w:rPr>
          <w:b w:val="0"/>
          <w:i w:val="0"/>
          <w:caps w:val="0"/>
          <w:color w:val="auto"/>
          <w:spacing w:val="0"/>
          <w:w w:val="100"/>
          <w:sz w:val="20"/>
        </w:rPr>
      </w:pPr>
    </w:p>
    <w:p>
      <w:pPr>
        <w:pStyle w:val="29"/>
        <w:snapToGrid w:val="0"/>
        <w:spacing w:before="0" w:beforeAutospacing="0" w:after="0" w:afterAutospacing="0" w:line="240" w:lineRule="auto"/>
        <w:ind w:firstLine="340" w:firstLineChars="100"/>
        <w:jc w:val="both"/>
        <w:textAlignment w:val="baseline"/>
        <w:rPr>
          <w:rFonts w:ascii="Times New Roman" w:hAnsi="Times New Roman" w:eastAsia="宋体" w:cs="Times New Roman"/>
          <w:b w:val="0"/>
          <w:i w:val="0"/>
          <w:caps w:val="0"/>
          <w:color w:val="auto"/>
          <w:spacing w:val="0"/>
          <w:w w:val="100"/>
          <w:sz w:val="34"/>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800" w:lineRule="exact"/>
        <w:ind w:right="-420" w:firstLine="562" w:firstLineChars="200"/>
        <w:jc w:val="left"/>
        <w:textAlignment w:val="baseline"/>
        <w:rPr>
          <w:rFonts w:hAnsi="宋体"/>
          <w:b/>
          <w:bCs/>
          <w:i w:val="0"/>
          <w:caps w:val="0"/>
          <w:color w:val="auto"/>
          <w:spacing w:val="-11"/>
          <w:w w:val="100"/>
          <w:sz w:val="32"/>
          <w:szCs w:val="32"/>
          <w:u w:val="single"/>
        </w:rPr>
      </w:pPr>
      <w:bookmarkStart w:id="426" w:name="_Toc396986705"/>
      <w:r>
        <w:rPr>
          <w:rFonts w:hint="eastAsia" w:ascii="宋体" w:hAnsi="宋体"/>
          <w:b/>
          <w:i w:val="0"/>
          <w:caps w:val="0"/>
          <w:color w:val="auto"/>
          <w:spacing w:val="0"/>
          <w:w w:val="100"/>
          <w:sz w:val="28"/>
          <w:szCs w:val="28"/>
        </w:rPr>
        <w:br w:type="page"/>
      </w:r>
    </w:p>
    <w:bookmarkEnd w:id="426"/>
    <w:p>
      <w:pPr>
        <w:snapToGrid w:val="0"/>
        <w:spacing w:before="0" w:beforeAutospacing="0" w:after="0" w:afterAutospacing="0" w:line="800" w:lineRule="exact"/>
        <w:ind w:right="-420" w:firstLine="599" w:firstLineChars="200"/>
        <w:jc w:val="left"/>
        <w:textAlignment w:val="baseline"/>
        <w:rPr>
          <w:rFonts w:hAnsi="宋体"/>
          <w:b/>
          <w:i w:val="0"/>
          <w:caps w:val="0"/>
          <w:color w:val="auto"/>
          <w:spacing w:val="-11"/>
          <w:w w:val="100"/>
          <w:sz w:val="32"/>
          <w:u w:val="single"/>
        </w:rPr>
      </w:pPr>
      <w:r>
        <w:rPr>
          <w:rFonts w:hint="eastAsia" w:ascii="宋体" w:hAnsi="宋体"/>
          <w:b/>
          <w:bCs/>
          <w:i w:val="0"/>
          <w:caps w:val="0"/>
          <w:color w:val="auto"/>
          <w:spacing w:val="-11"/>
          <w:w w:val="100"/>
          <w:sz w:val="32"/>
          <w:szCs w:val="32"/>
        </w:rPr>
        <w:t>项目名称：</w:t>
      </w:r>
      <w:r>
        <w:rPr>
          <w:rFonts w:hint="eastAsia" w:hAnsi="宋体"/>
          <w:b/>
          <w:bCs/>
          <w:i w:val="0"/>
          <w:caps w:val="0"/>
          <w:color w:val="auto"/>
          <w:spacing w:val="-11"/>
          <w:w w:val="100"/>
          <w:sz w:val="30"/>
          <w:szCs w:val="30"/>
          <w:u w:val="single" w:color="000000"/>
        </w:rPr>
        <w:t xml:space="preserve">                                                                                              </w:t>
      </w:r>
    </w:p>
    <w:p>
      <w:pPr>
        <w:snapToGrid w:val="0"/>
        <w:spacing w:before="0" w:beforeAutospacing="0" w:after="0" w:afterAutospacing="0" w:line="800" w:lineRule="exact"/>
        <w:jc w:val="center"/>
        <w:textAlignment w:val="baseline"/>
        <w:rPr>
          <w:rFonts w:eastAsia="方正小标宋简体"/>
          <w:b w:val="0"/>
          <w:bCs/>
          <w:i w:val="0"/>
          <w:caps w:val="0"/>
          <w:color w:val="auto"/>
          <w:spacing w:val="0"/>
          <w:w w:val="100"/>
          <w:sz w:val="72"/>
          <w:szCs w:val="72"/>
        </w:rPr>
      </w:pPr>
    </w:p>
    <w:p>
      <w:pPr>
        <w:snapToGrid w:val="0"/>
        <w:spacing w:before="0" w:beforeAutospacing="0" w:after="0" w:afterAutospacing="0" w:line="800" w:lineRule="exact"/>
        <w:jc w:val="center"/>
        <w:textAlignment w:val="baseline"/>
        <w:rPr>
          <w:rFonts w:eastAsia="方正小标宋简体"/>
          <w:b w:val="0"/>
          <w:bCs/>
          <w:i w:val="0"/>
          <w:caps w:val="0"/>
          <w:color w:val="auto"/>
          <w:spacing w:val="0"/>
          <w:w w:val="100"/>
          <w:sz w:val="72"/>
          <w:szCs w:val="72"/>
        </w:rPr>
      </w:pP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投</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标</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52"/>
          <w:szCs w:val="52"/>
        </w:rPr>
      </w:pPr>
      <w:r>
        <w:rPr>
          <w:rFonts w:hint="eastAsia" w:eastAsia="方正小标宋简体"/>
          <w:b w:val="0"/>
          <w:bCs/>
          <w:i w:val="0"/>
          <w:caps w:val="0"/>
          <w:color w:val="auto"/>
          <w:spacing w:val="0"/>
          <w:w w:val="100"/>
          <w:sz w:val="52"/>
          <w:szCs w:val="52"/>
        </w:rPr>
        <w:t>文</w:t>
      </w:r>
    </w:p>
    <w:p>
      <w:pPr>
        <w:snapToGrid w:val="0"/>
        <w:spacing w:before="0" w:beforeAutospacing="0" w:after="0" w:afterAutospacing="0" w:line="1400" w:lineRule="exact"/>
        <w:jc w:val="center"/>
        <w:textAlignment w:val="baseline"/>
        <w:rPr>
          <w:rFonts w:eastAsia="方正小标宋简体"/>
          <w:b w:val="0"/>
          <w:bCs/>
          <w:i w:val="0"/>
          <w:caps w:val="0"/>
          <w:color w:val="auto"/>
          <w:spacing w:val="0"/>
          <w:w w:val="100"/>
          <w:sz w:val="72"/>
          <w:szCs w:val="72"/>
        </w:rPr>
      </w:pPr>
      <w:r>
        <w:rPr>
          <w:rFonts w:hint="eastAsia" w:eastAsia="方正小标宋简体"/>
          <w:b w:val="0"/>
          <w:bCs/>
          <w:i w:val="0"/>
          <w:caps w:val="0"/>
          <w:color w:val="auto"/>
          <w:spacing w:val="0"/>
          <w:w w:val="100"/>
          <w:sz w:val="52"/>
          <w:szCs w:val="52"/>
        </w:rPr>
        <w:t>件</w:t>
      </w:r>
    </w:p>
    <w:p>
      <w:pPr>
        <w:snapToGrid w:val="0"/>
        <w:spacing w:before="0" w:beforeAutospacing="0" w:after="0" w:afterAutospacing="0" w:line="800" w:lineRule="exact"/>
        <w:jc w:val="both"/>
        <w:textAlignment w:val="baseline"/>
        <w:rPr>
          <w:rFonts w:ascii="宋体" w:hAnsi="宋体"/>
          <w:b/>
          <w:bCs/>
          <w:i w:val="0"/>
          <w:caps w:val="0"/>
          <w:color w:val="auto"/>
          <w:spacing w:val="0"/>
          <w:w w:val="100"/>
          <w:sz w:val="30"/>
        </w:rPr>
      </w:pPr>
    </w:p>
    <w:p>
      <w:pPr>
        <w:snapToGrid w:val="0"/>
        <w:spacing w:before="0" w:beforeAutospacing="0" w:after="0" w:afterAutospacing="0" w:line="800" w:lineRule="exact"/>
        <w:jc w:val="both"/>
        <w:textAlignment w:val="baseline"/>
        <w:rPr>
          <w:rFonts w:ascii="宋体" w:hAnsi="宋体"/>
          <w:b/>
          <w:bCs/>
          <w:i w:val="0"/>
          <w:caps w:val="0"/>
          <w:color w:val="auto"/>
          <w:spacing w:val="0"/>
          <w:w w:val="100"/>
          <w:sz w:val="30"/>
        </w:rPr>
      </w:pP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rPr>
      </w:pPr>
      <w:r>
        <w:rPr>
          <w:rFonts w:hint="eastAsia" w:ascii="宋体" w:hAnsi="宋体"/>
          <w:b/>
          <w:bCs/>
          <w:i w:val="0"/>
          <w:caps w:val="0"/>
          <w:color w:val="auto"/>
          <w:spacing w:val="0"/>
          <w:w w:val="100"/>
          <w:sz w:val="28"/>
          <w:szCs w:val="28"/>
        </w:rPr>
        <w:t>投标文件内容：</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商务标             </w:t>
      </w: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u w:val="single"/>
        </w:rPr>
      </w:pPr>
      <w:r>
        <w:rPr>
          <w:rFonts w:hint="eastAsia" w:ascii="宋体" w:hAnsi="宋体"/>
          <w:b/>
          <w:bCs/>
          <w:i w:val="0"/>
          <w:caps w:val="0"/>
          <w:color w:val="auto"/>
          <w:spacing w:val="0"/>
          <w:w w:val="100"/>
          <w:sz w:val="28"/>
          <w:szCs w:val="28"/>
        </w:rPr>
        <w:t>投标人：</w:t>
      </w:r>
      <w:r>
        <w:rPr>
          <w:rFonts w:ascii="宋体" w:hAnsi="宋体"/>
          <w:b/>
          <w:bCs/>
          <w:i w:val="0"/>
          <w:caps w:val="0"/>
          <w:color w:val="auto"/>
          <w:spacing w:val="0"/>
          <w:w w:val="100"/>
          <w:sz w:val="28"/>
          <w:szCs w:val="28"/>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 xml:space="preserve">（盖单位公章）      </w:t>
      </w:r>
    </w:p>
    <w:p>
      <w:pPr>
        <w:snapToGrid w:val="0"/>
        <w:spacing w:before="0" w:beforeAutospacing="0" w:after="0" w:afterAutospacing="0" w:line="800" w:lineRule="exact"/>
        <w:ind w:firstLine="416" w:firstLineChars="148"/>
        <w:jc w:val="both"/>
        <w:textAlignment w:val="baseline"/>
        <w:rPr>
          <w:rFonts w:ascii="宋体" w:hAnsi="宋体"/>
          <w:b/>
          <w:bCs/>
          <w:i w:val="0"/>
          <w:caps w:val="0"/>
          <w:color w:val="auto"/>
          <w:spacing w:val="0"/>
          <w:w w:val="100"/>
          <w:sz w:val="28"/>
          <w:szCs w:val="28"/>
          <w:u w:val="single"/>
        </w:rPr>
      </w:pPr>
      <w:r>
        <w:rPr>
          <w:rFonts w:hint="eastAsia" w:ascii="宋体" w:hAnsi="宋体"/>
          <w:b/>
          <w:bCs/>
          <w:i w:val="0"/>
          <w:caps w:val="0"/>
          <w:color w:val="auto"/>
          <w:spacing w:val="0"/>
          <w:w w:val="100"/>
          <w:sz w:val="28"/>
          <w:szCs w:val="28"/>
        </w:rPr>
        <w:t>法定代表人：</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（签字或盖章）</w:t>
      </w:r>
    </w:p>
    <w:p>
      <w:pPr>
        <w:snapToGrid w:val="0"/>
        <w:spacing w:before="0" w:beforeAutospacing="0" w:after="0" w:afterAutospacing="0" w:line="800" w:lineRule="exact"/>
        <w:jc w:val="both"/>
        <w:textAlignment w:val="baseline"/>
        <w:rPr>
          <w:rFonts w:ascii="宋体" w:hAnsi="宋体"/>
          <w:b/>
          <w:bCs/>
          <w:i w:val="0"/>
          <w:caps w:val="0"/>
          <w:color w:val="auto"/>
          <w:spacing w:val="0"/>
          <w:w w:val="100"/>
          <w:sz w:val="28"/>
          <w:szCs w:val="28"/>
        </w:rPr>
      </w:pPr>
      <w:r>
        <w:rPr>
          <w:rFonts w:hint="eastAsia" w:ascii="宋体" w:hAnsi="宋体"/>
          <w:b/>
          <w:bCs/>
          <w:i w:val="0"/>
          <w:caps w:val="0"/>
          <w:color w:val="auto"/>
          <w:spacing w:val="0"/>
          <w:w w:val="100"/>
          <w:sz w:val="28"/>
          <w:szCs w:val="28"/>
        </w:rPr>
        <w:t xml:space="preserve">   日</w:t>
      </w:r>
      <w:r>
        <w:rPr>
          <w:rFonts w:ascii="宋体" w:hAnsi="宋体"/>
          <w:b/>
          <w:bCs/>
          <w:i w:val="0"/>
          <w:caps w:val="0"/>
          <w:color w:val="auto"/>
          <w:spacing w:val="0"/>
          <w:w w:val="100"/>
          <w:sz w:val="28"/>
          <w:szCs w:val="28"/>
        </w:rPr>
        <w:t xml:space="preserve">      </w:t>
      </w:r>
      <w:r>
        <w:rPr>
          <w:rFonts w:hint="eastAsia" w:ascii="宋体" w:hAnsi="宋体"/>
          <w:b/>
          <w:bCs/>
          <w:i w:val="0"/>
          <w:caps w:val="0"/>
          <w:color w:val="auto"/>
          <w:spacing w:val="0"/>
          <w:w w:val="100"/>
          <w:sz w:val="28"/>
          <w:szCs w:val="28"/>
        </w:rPr>
        <w:t>期：</w:t>
      </w:r>
      <w:r>
        <w:rPr>
          <w:rFonts w:ascii="宋体" w:hAnsi="宋体"/>
          <w:b/>
          <w:bCs/>
          <w:i w:val="0"/>
          <w:caps w:val="0"/>
          <w:color w:val="auto"/>
          <w:spacing w:val="0"/>
          <w:w w:val="100"/>
          <w:sz w:val="28"/>
          <w:szCs w:val="28"/>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年</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月</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ascii="宋体" w:hAnsi="宋体"/>
          <w:b/>
          <w:bCs/>
          <w:i w:val="0"/>
          <w:caps w:val="0"/>
          <w:color w:val="auto"/>
          <w:spacing w:val="0"/>
          <w:w w:val="100"/>
          <w:sz w:val="28"/>
          <w:szCs w:val="28"/>
          <w:u w:val="single" w:color="000000"/>
        </w:rPr>
        <w:t xml:space="preserve">  </w:t>
      </w:r>
      <w:r>
        <w:rPr>
          <w:rFonts w:ascii="宋体" w:hAnsi="宋体"/>
          <w:b/>
          <w:bCs/>
          <w:i w:val="0"/>
          <w:caps w:val="0"/>
          <w:color w:val="auto"/>
          <w:spacing w:val="0"/>
          <w:w w:val="100"/>
          <w:sz w:val="28"/>
          <w:szCs w:val="28"/>
          <w:u w:val="single" w:color="000000"/>
        </w:rPr>
        <w:t xml:space="preserve">  </w:t>
      </w:r>
      <w:r>
        <w:rPr>
          <w:rFonts w:hint="eastAsia" w:hAnsi="宋体"/>
          <w:b/>
          <w:bCs/>
          <w:i w:val="0"/>
          <w:caps w:val="0"/>
          <w:color w:val="auto"/>
          <w:spacing w:val="0"/>
          <w:w w:val="100"/>
          <w:sz w:val="28"/>
          <w:szCs w:val="28"/>
        </w:rPr>
        <w:t>日</w:t>
      </w:r>
      <w:r>
        <w:rPr>
          <w:rFonts w:hint="eastAsia" w:ascii="宋体" w:hAnsi="宋体"/>
          <w:b/>
          <w:bCs/>
          <w:i w:val="0"/>
          <w:caps w:val="0"/>
          <w:color w:val="auto"/>
          <w:spacing w:val="0"/>
          <w:w w:val="100"/>
          <w:sz w:val="28"/>
          <w:szCs w:val="28"/>
        </w:rPr>
        <w:t xml:space="preserve">  </w:t>
      </w:r>
    </w:p>
    <w:p>
      <w:pPr>
        <w:snapToGrid w:val="0"/>
        <w:spacing w:before="0" w:beforeAutospacing="0" w:after="0" w:afterAutospacing="0" w:line="400" w:lineRule="exact"/>
        <w:ind w:firstLine="210"/>
        <w:jc w:val="both"/>
        <w:textAlignment w:val="baseline"/>
        <w:rPr>
          <w:b w:val="0"/>
          <w:i w:val="0"/>
          <w:caps w:val="0"/>
          <w:color w:val="auto"/>
          <w:spacing w:val="0"/>
          <w:w w:val="100"/>
          <w:kern w:val="44"/>
          <w:sz w:val="24"/>
          <w:szCs w:val="24"/>
        </w:rPr>
      </w:pPr>
      <w:r>
        <w:rPr>
          <w:b w:val="0"/>
          <w:i w:val="0"/>
          <w:caps w:val="0"/>
          <w:color w:val="auto"/>
          <w:spacing w:val="0"/>
          <w:w w:val="100"/>
          <w:kern w:val="44"/>
          <w:sz w:val="24"/>
          <w:szCs w:val="24"/>
        </w:rPr>
        <w:br w:type="page"/>
      </w:r>
    </w:p>
    <w:p>
      <w:pPr>
        <w:snapToGrid w:val="0"/>
        <w:spacing w:before="0" w:beforeAutospacing="0" w:after="0" w:afterAutospacing="0" w:line="400" w:lineRule="exact"/>
        <w:ind w:firstLine="210"/>
        <w:jc w:val="both"/>
        <w:textAlignment w:val="baseline"/>
        <w:rPr>
          <w:b w:val="0"/>
          <w:i w:val="0"/>
          <w:caps w:val="0"/>
          <w:color w:val="auto"/>
          <w:spacing w:val="0"/>
          <w:w w:val="100"/>
          <w:sz w:val="24"/>
        </w:rPr>
      </w:pPr>
      <w:bookmarkStart w:id="427" w:name="_Toc372212493"/>
      <w:bookmarkStart w:id="428" w:name="_Toc320271436"/>
      <w:bookmarkStart w:id="429" w:name="_Toc413527443"/>
    </w:p>
    <w:p>
      <w:pPr>
        <w:snapToGrid w:val="0"/>
        <w:spacing w:before="0" w:beforeAutospacing="0" w:after="0" w:afterAutospacing="0" w:line="420" w:lineRule="exact"/>
        <w:ind w:firstLine="321"/>
        <w:jc w:val="center"/>
        <w:textAlignment w:val="baseline"/>
        <w:rPr>
          <w:b/>
          <w:bCs/>
          <w:i w:val="0"/>
          <w:caps w:val="0"/>
          <w:color w:val="auto"/>
          <w:spacing w:val="0"/>
          <w:w w:val="100"/>
          <w:sz w:val="28"/>
          <w:szCs w:val="28"/>
        </w:rPr>
      </w:pPr>
      <w:r>
        <w:rPr>
          <w:rFonts w:hint="eastAsia"/>
          <w:b/>
          <w:bCs/>
          <w:i w:val="0"/>
          <w:caps w:val="0"/>
          <w:color w:val="auto"/>
          <w:spacing w:val="0"/>
          <w:w w:val="100"/>
          <w:sz w:val="28"/>
          <w:szCs w:val="28"/>
        </w:rPr>
        <w:t xml:space="preserve">投 标 </w:t>
      </w:r>
      <w:bookmarkEnd w:id="427"/>
      <w:bookmarkEnd w:id="428"/>
      <w:r>
        <w:rPr>
          <w:rFonts w:hint="eastAsia"/>
          <w:b/>
          <w:bCs/>
          <w:i w:val="0"/>
          <w:caps w:val="0"/>
          <w:color w:val="auto"/>
          <w:spacing w:val="0"/>
          <w:w w:val="100"/>
          <w:sz w:val="28"/>
          <w:szCs w:val="28"/>
        </w:rPr>
        <w:t>函</w:t>
      </w:r>
      <w:bookmarkEnd w:id="429"/>
    </w:p>
    <w:p>
      <w:pPr>
        <w:snapToGrid w:val="0"/>
        <w:spacing w:before="0" w:beforeAutospacing="0" w:after="0" w:afterAutospacing="0" w:line="360" w:lineRule="auto"/>
        <w:ind w:firstLine="211"/>
        <w:jc w:val="both"/>
        <w:textAlignment w:val="baseline"/>
        <w:rPr>
          <w:b/>
          <w:bCs/>
          <w:i w:val="0"/>
          <w:caps w:val="0"/>
          <w:color w:val="auto"/>
          <w:spacing w:val="0"/>
          <w:w w:val="100"/>
          <w:sz w:val="24"/>
          <w:szCs w:val="24"/>
        </w:rPr>
      </w:pPr>
    </w:p>
    <w:p>
      <w:pPr>
        <w:snapToGrid w:val="0"/>
        <w:spacing w:before="0" w:beforeAutospacing="0" w:after="135" w:afterAutospacing="0" w:line="360" w:lineRule="auto"/>
        <w:ind w:firstLine="210"/>
        <w:jc w:val="both"/>
        <w:textAlignment w:val="baseline"/>
        <w:rPr>
          <w:rFonts w:ascii="宋体" w:hAnsi="宋体"/>
          <w:b/>
          <w:i w:val="0"/>
          <w:caps w:val="0"/>
          <w:color w:val="auto"/>
          <w:spacing w:val="0"/>
          <w:w w:val="100"/>
          <w:sz w:val="22"/>
          <w:u w:val="single"/>
        </w:rPr>
      </w:pPr>
      <w:r>
        <w:rPr>
          <w:rFonts w:hint="eastAsia" w:ascii="宋体" w:hAnsi="宋体"/>
          <w:b/>
          <w:i w:val="0"/>
          <w:caps w:val="0"/>
          <w:color w:val="auto"/>
          <w:spacing w:val="0"/>
          <w:w w:val="100"/>
          <w:sz w:val="22"/>
          <w:u w:val="single" w:color="000000"/>
        </w:rPr>
        <w:t xml:space="preserve">                    （招标人）：</w:t>
      </w:r>
    </w:p>
    <w:p>
      <w:pPr>
        <w:snapToGrid w:val="0"/>
        <w:spacing w:before="0" w:beforeAutospacing="0" w:after="0" w:afterAutospacing="0" w:line="360" w:lineRule="auto"/>
        <w:ind w:firstLine="420" w:firstLineChars="200"/>
        <w:jc w:val="left"/>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 xml:space="preserve">    我方已全面阅读和研究了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b w:val="0"/>
          <w:bCs/>
          <w:i w:val="0"/>
          <w:caps w:val="0"/>
          <w:color w:val="auto"/>
          <w:spacing w:val="0"/>
          <w:w w:val="100"/>
          <w:sz w:val="21"/>
          <w:szCs w:val="21"/>
        </w:rPr>
        <w:t>(工程名称)</w:t>
      </w:r>
      <w:r>
        <w:rPr>
          <w:rFonts w:hint="eastAsia" w:ascii="宋体" w:hAnsi="宋体"/>
          <w:b w:val="0"/>
          <w:i w:val="0"/>
          <w:caps w:val="0"/>
          <w:color w:val="auto"/>
          <w:spacing w:val="0"/>
          <w:w w:val="100"/>
          <w:sz w:val="21"/>
          <w:szCs w:val="21"/>
        </w:rPr>
        <w:t>全部内容进行投标。最终报价为人民币</w:t>
      </w:r>
      <w:r>
        <w:rPr>
          <w:rFonts w:hint="eastAsia" w:ascii="宋体" w:hAnsi="宋体"/>
          <w:b w:val="0"/>
          <w:i w:val="0"/>
          <w:caps w:val="0"/>
          <w:color w:val="auto"/>
          <w:spacing w:val="0"/>
          <w:w w:val="100"/>
          <w:sz w:val="21"/>
          <w:szCs w:val="21"/>
          <w:u w:val="single" w:color="000000"/>
        </w:rPr>
        <w:t xml:space="preserve">（大写）      </w:t>
      </w:r>
      <w:r>
        <w:rPr>
          <w:rFonts w:hint="eastAsia" w:ascii="宋体" w:hAnsi="宋体"/>
          <w:b w:val="0"/>
          <w:i w:val="0"/>
          <w:caps w:val="0"/>
          <w:color w:val="auto"/>
          <w:spacing w:val="0"/>
          <w:w w:val="100"/>
          <w:sz w:val="21"/>
          <w:szCs w:val="21"/>
        </w:rPr>
        <w:t>，品牌</w:t>
      </w:r>
      <w:r>
        <w:rPr>
          <w:rFonts w:hint="eastAsia" w:ascii="宋体" w:hAnsi="宋体"/>
          <w:b w:val="0"/>
          <w:i w:val="0"/>
          <w:caps w:val="0"/>
          <w:color w:val="auto"/>
          <w:spacing w:val="0"/>
          <w:w w:val="100"/>
          <w:sz w:val="21"/>
          <w:szCs w:val="21"/>
          <w:u w:val="single" w:color="000000"/>
        </w:rPr>
        <w:t xml:space="preserve">     </w:t>
      </w:r>
      <w:r>
        <w:rPr>
          <w:rFonts w:hint="eastAsia" w:ascii="宋体" w:hAnsi="宋体"/>
          <w:b w:val="0"/>
          <w:i w:val="0"/>
          <w:caps w:val="0"/>
          <w:color w:val="auto"/>
          <w:spacing w:val="0"/>
          <w:w w:val="100"/>
          <w:sz w:val="21"/>
          <w:szCs w:val="21"/>
        </w:rPr>
        <w:t>，产地</w:t>
      </w:r>
      <w:r>
        <w:rPr>
          <w:rFonts w:hint="eastAsia" w:ascii="宋体" w:hAnsi="宋体"/>
          <w:b w:val="0"/>
          <w:i w:val="0"/>
          <w:caps w:val="0"/>
          <w:color w:val="auto"/>
          <w:spacing w:val="0"/>
          <w:w w:val="100"/>
          <w:sz w:val="21"/>
          <w:szCs w:val="21"/>
          <w:u w:val="single" w:color="000000"/>
        </w:rPr>
        <w:t xml:space="preserve">      </w:t>
      </w:r>
      <w:r>
        <w:rPr>
          <w:rFonts w:hint="eastAsia" w:ascii="宋体" w:hAnsi="宋体"/>
          <w:b w:val="0"/>
          <w:i w:val="0"/>
          <w:caps w:val="0"/>
          <w:color w:val="auto"/>
          <w:spacing w:val="0"/>
          <w:w w:val="100"/>
          <w:sz w:val="21"/>
          <w:szCs w:val="21"/>
        </w:rPr>
        <w:t>，交货期(工期)</w:t>
      </w:r>
      <w:r>
        <w:rPr>
          <w:rFonts w:hint="eastAsia" w:ascii="宋体" w:hAnsi="宋体"/>
          <w:b w:val="0"/>
          <w:i w:val="0"/>
          <w:caps w:val="0"/>
          <w:color w:val="auto"/>
          <w:spacing w:val="0"/>
          <w:w w:val="100"/>
          <w:sz w:val="21"/>
          <w:szCs w:val="21"/>
          <w:u w:val="single" w:color="000000"/>
        </w:rPr>
        <w:t xml:space="preserve">        </w:t>
      </w:r>
      <w:r>
        <w:rPr>
          <w:rFonts w:hint="eastAsia" w:ascii="宋体" w:hAnsi="宋体"/>
          <w:b w:val="0"/>
          <w:i w:val="0"/>
          <w:caps w:val="0"/>
          <w:color w:val="auto"/>
          <w:spacing w:val="0"/>
          <w:w w:val="100"/>
          <w:sz w:val="21"/>
          <w:szCs w:val="21"/>
        </w:rPr>
        <w:t>，质量</w:t>
      </w:r>
      <w:r>
        <w:rPr>
          <w:rFonts w:hint="eastAsia" w:ascii="宋体" w:hAnsi="宋体"/>
          <w:b w:val="0"/>
          <w:i w:val="0"/>
          <w:caps w:val="0"/>
          <w:color w:val="auto"/>
          <w:spacing w:val="0"/>
          <w:w w:val="100"/>
          <w:sz w:val="21"/>
          <w:szCs w:val="21"/>
          <w:u w:val="single" w:color="000000"/>
        </w:rPr>
        <w:t xml:space="preserve">      </w:t>
      </w:r>
      <w:r>
        <w:rPr>
          <w:rFonts w:hint="eastAsia" w:ascii="宋体" w:hAnsi="宋体"/>
          <w:b w:val="0"/>
          <w:i w:val="0"/>
          <w:caps w:val="0"/>
          <w:color w:val="auto"/>
          <w:spacing w:val="0"/>
          <w:w w:val="100"/>
          <w:sz w:val="21"/>
          <w:szCs w:val="21"/>
        </w:rPr>
        <w:t>标准。</w:t>
      </w:r>
    </w:p>
    <w:p>
      <w:pPr>
        <w:pStyle w:val="18"/>
        <w:snapToGrid w:val="0"/>
        <w:spacing w:before="0" w:beforeAutospacing="0" w:after="0" w:afterAutospacing="0" w:line="360" w:lineRule="auto"/>
        <w:ind w:firstLine="420" w:firstLineChars="200"/>
        <w:jc w:val="both"/>
        <w:textAlignment w:val="baseline"/>
        <w:rPr>
          <w:rFonts w:ascii="宋体" w:hAnsi="宋体" w:eastAsia="宋体"/>
          <w:b w:val="0"/>
          <w:i w:val="0"/>
          <w:caps w:val="0"/>
          <w:color w:val="auto"/>
          <w:spacing w:val="0"/>
          <w:w w:val="100"/>
          <w:sz w:val="21"/>
          <w:szCs w:val="21"/>
        </w:rPr>
      </w:pPr>
      <w:r>
        <w:rPr>
          <w:rFonts w:hint="eastAsia" w:ascii="宋体" w:hAnsi="宋体" w:eastAsia="宋体"/>
          <w:b w:val="0"/>
          <w:i w:val="0"/>
          <w:caps w:val="0"/>
          <w:color w:val="auto"/>
          <w:spacing w:val="0"/>
          <w:w w:val="100"/>
          <w:sz w:val="21"/>
          <w:szCs w:val="21"/>
        </w:rPr>
        <w:t>我方将严格按照有关建设工程招标投标法规及招标文件的规定参加投标，并理解贵方不一定接受最低标价的投标，对定标结果也没有解释义务。如由我方中标，在接到你方发出的中标通知书起天内递交委托合同价2%的履约保证金，并按中标通知书、招标文件和本投标函的约定与你方签订委托合同，履行规定的一切责任和义务。</w:t>
      </w:r>
    </w:p>
    <w:p>
      <w:pPr>
        <w:snapToGrid w:val="0"/>
        <w:spacing w:before="0" w:beforeAutospacing="0" w:after="0" w:afterAutospacing="0" w:line="360" w:lineRule="auto"/>
        <w:ind w:firstLine="420" w:firstLineChars="200"/>
        <w:jc w:val="both"/>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我们同意从投标之日起在天的有效期内恪守本招标文件，在此期限期满之前的任何时间，本投标函全部条款内容对我方具有约束力。</w:t>
      </w:r>
    </w:p>
    <w:p>
      <w:pPr>
        <w:snapToGrid w:val="0"/>
        <w:spacing w:before="0" w:beforeAutospacing="0" w:after="0" w:afterAutospacing="0" w:line="360" w:lineRule="auto"/>
        <w:ind w:firstLine="420" w:firstLineChars="200"/>
        <w:jc w:val="both"/>
        <w:textAlignment w:val="baseline"/>
        <w:rPr>
          <w:b/>
          <w:i w:val="0"/>
          <w:caps w:val="0"/>
          <w:color w:val="auto"/>
          <w:spacing w:val="0"/>
          <w:w w:val="100"/>
          <w:sz w:val="20"/>
          <w:szCs w:val="21"/>
        </w:rPr>
      </w:pPr>
      <w:r>
        <w:rPr>
          <w:rFonts w:hint="eastAsia" w:ascii="宋体" w:hAnsi="宋体"/>
          <w:b w:val="0"/>
          <w:i w:val="0"/>
          <w:caps w:val="0"/>
          <w:color w:val="auto"/>
          <w:spacing w:val="0"/>
          <w:w w:val="100"/>
          <w:sz w:val="21"/>
          <w:szCs w:val="21"/>
        </w:rPr>
        <w:t>在合同协议书正式签署生效之前，本投标函连同你方的中标通知书将构成我们双方之间共同遵守的文件，对双方具有约束力。</w:t>
      </w:r>
    </w:p>
    <w:p>
      <w:pPr>
        <w:snapToGrid w:val="0"/>
        <w:spacing w:before="0" w:beforeAutospacing="0" w:after="0" w:afterAutospacing="0" w:line="360" w:lineRule="auto"/>
        <w:ind w:left="480" w:firstLine="211"/>
        <w:jc w:val="both"/>
        <w:textAlignment w:val="baseline"/>
        <w:rPr>
          <w:b/>
          <w:i w:val="0"/>
          <w:caps w:val="0"/>
          <w:color w:val="auto"/>
          <w:spacing w:val="0"/>
          <w:w w:val="100"/>
          <w:sz w:val="20"/>
          <w:szCs w:val="21"/>
        </w:rPr>
      </w:pPr>
    </w:p>
    <w:p>
      <w:pPr>
        <w:snapToGrid w:val="0"/>
        <w:spacing w:before="0" w:beforeAutospacing="0" w:after="0" w:afterAutospacing="0" w:line="360" w:lineRule="auto"/>
        <w:ind w:left="480" w:firstLine="211"/>
        <w:jc w:val="both"/>
        <w:textAlignment w:val="baseline"/>
        <w:rPr>
          <w:b/>
          <w:i w:val="0"/>
          <w:caps w:val="0"/>
          <w:color w:val="auto"/>
          <w:spacing w:val="0"/>
          <w:w w:val="100"/>
          <w:sz w:val="20"/>
          <w:szCs w:val="21"/>
        </w:rPr>
      </w:pPr>
    </w:p>
    <w:p>
      <w:pPr>
        <w:snapToGrid w:val="0"/>
        <w:spacing w:before="0" w:beforeAutospacing="0" w:after="0" w:afterAutospacing="0" w:line="360" w:lineRule="auto"/>
        <w:ind w:firstLine="210"/>
        <w:jc w:val="both"/>
        <w:textAlignment w:val="baseline"/>
        <w:rPr>
          <w:b w:val="0"/>
          <w:i w:val="0"/>
          <w:caps w:val="0"/>
          <w:color w:val="auto"/>
          <w:spacing w:val="0"/>
          <w:w w:val="100"/>
          <w:sz w:val="24"/>
          <w:szCs w:val="24"/>
          <w:u w:val="single"/>
        </w:rPr>
      </w:pPr>
      <w:r>
        <w:rPr>
          <w:rFonts w:hint="eastAsia"/>
          <w:b w:val="0"/>
          <w:i w:val="0"/>
          <w:caps w:val="0"/>
          <w:color w:val="auto"/>
          <w:spacing w:val="0"/>
          <w:w w:val="100"/>
          <w:sz w:val="21"/>
          <w:szCs w:val="21"/>
        </w:rPr>
        <w:t xml:space="preserve">   </w:t>
      </w:r>
      <w:r>
        <w:rPr>
          <w:rFonts w:hint="eastAsia"/>
          <w:b w:val="0"/>
          <w:i w:val="0"/>
          <w:caps w:val="0"/>
          <w:color w:val="auto"/>
          <w:spacing w:val="0"/>
          <w:w w:val="100"/>
          <w:sz w:val="24"/>
          <w:szCs w:val="24"/>
        </w:rPr>
        <w:t>投标单位（盖单位公章）：               法定代表或授权代表（签字或盖章）：</w:t>
      </w:r>
    </w:p>
    <w:p>
      <w:pPr>
        <w:snapToGrid w:val="0"/>
        <w:spacing w:before="0" w:beforeAutospacing="0" w:after="0" w:afterAutospacing="0" w:line="360" w:lineRule="auto"/>
        <w:ind w:firstLine="21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 xml:space="preserve">    联系人：                               联系地址：</w:t>
      </w:r>
    </w:p>
    <w:p>
      <w:pPr>
        <w:snapToGrid w:val="0"/>
        <w:spacing w:before="0" w:beforeAutospacing="0" w:after="0" w:afterAutospacing="0" w:line="360" w:lineRule="auto"/>
        <w:ind w:firstLine="210"/>
        <w:jc w:val="both"/>
        <w:textAlignment w:val="baseline"/>
        <w:rPr>
          <w:b w:val="0"/>
          <w:i w:val="0"/>
          <w:caps w:val="0"/>
          <w:color w:val="auto"/>
          <w:spacing w:val="0"/>
          <w:w w:val="100"/>
          <w:sz w:val="20"/>
          <w:szCs w:val="21"/>
        </w:rPr>
      </w:pPr>
      <w:r>
        <w:rPr>
          <w:rFonts w:hint="eastAsia"/>
          <w:b w:val="0"/>
          <w:i w:val="0"/>
          <w:caps w:val="0"/>
          <w:color w:val="auto"/>
          <w:spacing w:val="0"/>
          <w:w w:val="100"/>
          <w:sz w:val="24"/>
          <w:szCs w:val="24"/>
        </w:rPr>
        <w:t xml:space="preserve">    电话：                                 邮编：</w:t>
      </w:r>
    </w:p>
    <w:p>
      <w:pPr>
        <w:snapToGrid w:val="0"/>
        <w:spacing w:before="0" w:beforeAutospacing="0" w:after="0" w:afterAutospacing="0" w:line="360" w:lineRule="auto"/>
        <w:ind w:firstLine="210"/>
        <w:jc w:val="center"/>
        <w:textAlignment w:val="baseline"/>
        <w:rPr>
          <w:b w:val="0"/>
          <w:i w:val="0"/>
          <w:caps w:val="0"/>
          <w:color w:val="auto"/>
          <w:spacing w:val="0"/>
          <w:w w:val="100"/>
          <w:sz w:val="20"/>
          <w:szCs w:val="21"/>
        </w:rPr>
      </w:pPr>
      <w:r>
        <w:rPr>
          <w:rFonts w:hint="eastAsia"/>
          <w:b w:val="0"/>
          <w:i w:val="0"/>
          <w:caps w:val="0"/>
          <w:color w:val="auto"/>
          <w:spacing w:val="0"/>
          <w:w w:val="100"/>
          <w:sz w:val="21"/>
          <w:szCs w:val="21"/>
        </w:rPr>
        <w:t xml:space="preserve">     </w:t>
      </w:r>
    </w:p>
    <w:p>
      <w:pPr>
        <w:snapToGrid w:val="0"/>
        <w:spacing w:before="0" w:beforeAutospacing="0" w:after="0" w:afterAutospacing="0" w:line="360" w:lineRule="auto"/>
        <w:ind w:firstLine="210"/>
        <w:jc w:val="center"/>
        <w:textAlignment w:val="baseline"/>
        <w:rPr>
          <w:b w:val="0"/>
          <w:i w:val="0"/>
          <w:caps w:val="0"/>
          <w:color w:val="auto"/>
          <w:spacing w:val="0"/>
          <w:w w:val="100"/>
          <w:sz w:val="20"/>
          <w:szCs w:val="21"/>
          <w:u w:val="single"/>
        </w:rPr>
      </w:pPr>
      <w:r>
        <w:rPr>
          <w:rFonts w:hint="eastAsia"/>
          <w:b w:val="0"/>
          <w:i w:val="0"/>
          <w:caps w:val="0"/>
          <w:color w:val="auto"/>
          <w:spacing w:val="0"/>
          <w:w w:val="100"/>
          <w:sz w:val="21"/>
          <w:szCs w:val="21"/>
        </w:rPr>
        <w:t xml:space="preserve">                    年   月   日</w:t>
      </w:r>
    </w:p>
    <w:p>
      <w:pPr>
        <w:snapToGrid w:val="0"/>
        <w:spacing w:before="0" w:beforeAutospacing="0" w:after="0" w:afterAutospacing="0" w:line="240" w:lineRule="auto"/>
        <w:jc w:val="both"/>
        <w:textAlignment w:val="baseline"/>
        <w:rPr>
          <w:rFonts w:ascii="宋体" w:hAnsi="宋体" w:cs="宋体"/>
          <w:b w:val="0"/>
          <w:i w:val="0"/>
          <w:caps w:val="0"/>
          <w:color w:val="auto"/>
          <w:spacing w:val="0"/>
          <w:w w:val="100"/>
          <w:sz w:val="20"/>
          <w:szCs w:val="21"/>
          <w:u w:val="single"/>
        </w:rPr>
      </w:pPr>
      <w:r>
        <w:rPr>
          <w:rFonts w:hint="eastAsia"/>
          <w:b w:val="0"/>
          <w:i w:val="0"/>
          <w:caps w:val="0"/>
          <w:color w:val="auto"/>
          <w:spacing w:val="0"/>
          <w:w w:val="100"/>
          <w:sz w:val="24"/>
          <w:szCs w:val="24"/>
        </w:rPr>
        <w:br w:type="page"/>
      </w:r>
    </w:p>
    <w:p>
      <w:pPr>
        <w:snapToGrid w:val="0"/>
        <w:spacing w:before="0" w:beforeAutospacing="0" w:after="0" w:afterAutospacing="0" w:line="240" w:lineRule="auto"/>
        <w:jc w:val="both"/>
        <w:textAlignment w:val="baseline"/>
        <w:rPr>
          <w:rFonts w:ascii="宋体" w:hAnsi="宋体" w:cs="宋体"/>
          <w:b w:val="0"/>
          <w:i w:val="0"/>
          <w:caps w:val="0"/>
          <w:color w:val="auto"/>
          <w:spacing w:val="0"/>
          <w:w w:val="100"/>
          <w:sz w:val="20"/>
          <w:u w:val="single"/>
        </w:rPr>
      </w:pPr>
      <w:bookmarkStart w:id="430" w:name="_Toc372212495"/>
      <w:bookmarkStart w:id="431" w:name="_Toc320271438"/>
      <w:bookmarkStart w:id="432" w:name="_Toc413527444"/>
      <w:bookmarkStart w:id="433" w:name="_Toc372212494"/>
      <w:bookmarkStart w:id="434" w:name="_Toc320271437"/>
    </w:p>
    <w:p>
      <w:pPr>
        <w:pStyle w:val="3"/>
        <w:snapToGrid w:val="0"/>
        <w:spacing w:before="120" w:beforeAutospacing="0" w:after="120" w:afterAutospacing="0" w:line="400" w:lineRule="exact"/>
        <w:ind w:firstLine="280"/>
        <w:jc w:val="center"/>
        <w:textAlignment w:val="baseline"/>
        <w:rPr>
          <w:b/>
          <w:bCs w:val="0"/>
          <w:i w:val="0"/>
          <w:caps w:val="0"/>
          <w:color w:val="auto"/>
          <w:spacing w:val="0"/>
          <w:w w:val="100"/>
          <w:sz w:val="24"/>
          <w:szCs w:val="24"/>
        </w:rPr>
      </w:pPr>
      <w:bookmarkStart w:id="435" w:name="_Toc11551"/>
      <w:r>
        <w:rPr>
          <w:rFonts w:hint="eastAsia"/>
          <w:b/>
          <w:bCs w:val="0"/>
          <w:i w:val="0"/>
          <w:caps w:val="0"/>
          <w:color w:val="auto"/>
          <w:spacing w:val="0"/>
          <w:w w:val="100"/>
          <w:sz w:val="24"/>
          <w:szCs w:val="24"/>
        </w:rPr>
        <w:t>法定代表人身份证明</w:t>
      </w:r>
      <w:bookmarkEnd w:id="430"/>
      <w:bookmarkEnd w:id="431"/>
      <w:bookmarkEnd w:id="432"/>
      <w:bookmarkEnd w:id="435"/>
    </w:p>
    <w:p>
      <w:pPr>
        <w:snapToGrid w:val="0"/>
        <w:spacing w:before="0" w:beforeAutospacing="0" w:after="0" w:afterAutospacing="0" w:line="360" w:lineRule="auto"/>
        <w:ind w:firstLine="280"/>
        <w:jc w:val="center"/>
        <w:textAlignment w:val="baseline"/>
        <w:rPr>
          <w:b w:val="0"/>
          <w:i w:val="0"/>
          <w:caps w:val="0"/>
          <w:color w:val="auto"/>
          <w:spacing w:val="0"/>
          <w:w w:val="100"/>
          <w:kern w:val="44"/>
          <w:sz w:val="24"/>
          <w:szCs w:val="24"/>
        </w:rPr>
      </w:pPr>
    </w:p>
    <w:p>
      <w:pPr>
        <w:snapToGrid w:val="0"/>
        <w:spacing w:before="0" w:beforeAutospacing="0" w:after="0" w:afterAutospacing="0" w:line="240" w:lineRule="auto"/>
        <w:ind w:firstLine="210"/>
        <w:jc w:val="both"/>
        <w:textAlignment w:val="baseline"/>
        <w:rPr>
          <w:b w:val="0"/>
          <w:i w:val="0"/>
          <w:caps w:val="0"/>
          <w:color w:val="auto"/>
          <w:spacing w:val="0"/>
          <w:w w:val="100"/>
          <w:sz w:val="24"/>
          <w:szCs w:val="24"/>
        </w:rPr>
      </w:pP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u w:val="single"/>
        </w:rPr>
      </w:pPr>
      <w:r>
        <w:rPr>
          <w:rFonts w:hint="eastAsia"/>
          <w:b w:val="0"/>
          <w:i w:val="0"/>
          <w:caps w:val="0"/>
          <w:color w:val="auto"/>
          <w:spacing w:val="0"/>
          <w:w w:val="100"/>
          <w:sz w:val="24"/>
          <w:szCs w:val="24"/>
        </w:rPr>
        <w:t>投标人名称：</w:t>
      </w:r>
      <w:r>
        <w:rPr>
          <w:rFonts w:hint="eastAsia"/>
          <w:b w:val="0"/>
          <w:i w:val="0"/>
          <w:caps w:val="0"/>
          <w:color w:val="auto"/>
          <w:spacing w:val="0"/>
          <w:w w:val="100"/>
          <w:sz w:val="24"/>
          <w:szCs w:val="24"/>
          <w:u w:val="single" w:color="000000"/>
        </w:rPr>
        <w:t xml:space="preserve">                                               </w:t>
      </w: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u w:val="single"/>
        </w:rPr>
      </w:pPr>
      <w:r>
        <w:rPr>
          <w:rFonts w:hint="eastAsia"/>
          <w:b w:val="0"/>
          <w:i w:val="0"/>
          <w:caps w:val="0"/>
          <w:color w:val="auto"/>
          <w:spacing w:val="0"/>
          <w:w w:val="100"/>
          <w:sz w:val="24"/>
          <w:szCs w:val="24"/>
        </w:rPr>
        <w:t>单位性质：</w:t>
      </w:r>
      <w:r>
        <w:rPr>
          <w:rFonts w:hint="eastAsia"/>
          <w:b w:val="0"/>
          <w:i w:val="0"/>
          <w:caps w:val="0"/>
          <w:color w:val="auto"/>
          <w:spacing w:val="0"/>
          <w:w w:val="100"/>
          <w:sz w:val="24"/>
          <w:szCs w:val="24"/>
          <w:u w:val="single" w:color="000000"/>
        </w:rPr>
        <w:t xml:space="preserve">                                                 </w:t>
      </w: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u w:val="single"/>
        </w:rPr>
      </w:pPr>
      <w:r>
        <w:rPr>
          <w:rFonts w:hint="eastAsia"/>
          <w:b w:val="0"/>
          <w:i w:val="0"/>
          <w:caps w:val="0"/>
          <w:color w:val="auto"/>
          <w:spacing w:val="0"/>
          <w:w w:val="100"/>
          <w:sz w:val="24"/>
          <w:szCs w:val="24"/>
        </w:rPr>
        <w:t>地址：</w:t>
      </w:r>
      <w:r>
        <w:rPr>
          <w:rFonts w:hint="eastAsia"/>
          <w:b w:val="0"/>
          <w:i w:val="0"/>
          <w:caps w:val="0"/>
          <w:color w:val="auto"/>
          <w:spacing w:val="0"/>
          <w:w w:val="100"/>
          <w:sz w:val="24"/>
          <w:szCs w:val="24"/>
          <w:u w:val="single" w:color="000000"/>
        </w:rPr>
        <w:t xml:space="preserve">                                                     </w:t>
      </w: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成立时间：   年   月   日</w:t>
      </w: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u w:val="single"/>
        </w:rPr>
      </w:pPr>
      <w:r>
        <w:rPr>
          <w:rFonts w:hint="eastAsia"/>
          <w:b w:val="0"/>
          <w:i w:val="0"/>
          <w:caps w:val="0"/>
          <w:color w:val="auto"/>
          <w:spacing w:val="0"/>
          <w:w w:val="100"/>
          <w:sz w:val="24"/>
          <w:szCs w:val="24"/>
        </w:rPr>
        <w:t>经营期限：</w:t>
      </w:r>
      <w:r>
        <w:rPr>
          <w:rFonts w:hint="eastAsia"/>
          <w:b w:val="0"/>
          <w:i w:val="0"/>
          <w:caps w:val="0"/>
          <w:color w:val="auto"/>
          <w:spacing w:val="0"/>
          <w:w w:val="100"/>
          <w:sz w:val="24"/>
          <w:szCs w:val="24"/>
          <w:u w:val="single" w:color="000000"/>
        </w:rPr>
        <w:t xml:space="preserve">                                                 </w:t>
      </w: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姓名：          性别：       年龄：         职务：</w:t>
      </w: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 xml:space="preserve">系 </w:t>
      </w:r>
      <w:r>
        <w:rPr>
          <w:rFonts w:hint="eastAsia"/>
          <w:b w:val="0"/>
          <w:i w:val="0"/>
          <w:caps w:val="0"/>
          <w:color w:val="auto"/>
          <w:spacing w:val="0"/>
          <w:w w:val="100"/>
          <w:sz w:val="24"/>
          <w:szCs w:val="24"/>
          <w:u w:val="single" w:color="000000"/>
        </w:rPr>
        <w:t xml:space="preserve">                        </w:t>
      </w:r>
      <w:r>
        <w:rPr>
          <w:rFonts w:hint="eastAsia"/>
          <w:b w:val="0"/>
          <w:i w:val="0"/>
          <w:caps w:val="0"/>
          <w:color w:val="auto"/>
          <w:spacing w:val="0"/>
          <w:w w:val="100"/>
          <w:sz w:val="24"/>
          <w:szCs w:val="24"/>
        </w:rPr>
        <w:t>（投标人名称）的法定代表人。</w:t>
      </w: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特此证明。</w:t>
      </w: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480" w:lineRule="auto"/>
        <w:ind w:firstLine="480" w:firstLineChars="20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 xml:space="preserve">                          投标人：</w:t>
      </w:r>
      <w:r>
        <w:rPr>
          <w:rFonts w:hint="eastAsia"/>
          <w:b w:val="0"/>
          <w:i w:val="0"/>
          <w:caps w:val="0"/>
          <w:color w:val="auto"/>
          <w:spacing w:val="0"/>
          <w:w w:val="100"/>
          <w:sz w:val="24"/>
          <w:szCs w:val="24"/>
          <w:u w:val="single" w:color="000000"/>
        </w:rPr>
        <w:t xml:space="preserve">                </w:t>
      </w:r>
      <w:r>
        <w:rPr>
          <w:rFonts w:hint="eastAsia"/>
          <w:b w:val="0"/>
          <w:i w:val="0"/>
          <w:caps w:val="0"/>
          <w:color w:val="auto"/>
          <w:spacing w:val="0"/>
          <w:w w:val="100"/>
          <w:sz w:val="24"/>
          <w:szCs w:val="24"/>
        </w:rPr>
        <w:t>（盖单位公章）</w:t>
      </w:r>
    </w:p>
    <w:p>
      <w:pPr>
        <w:snapToGrid w:val="0"/>
        <w:spacing w:before="0" w:beforeAutospacing="0" w:after="0" w:afterAutospacing="0" w:line="480" w:lineRule="auto"/>
        <w:ind w:firstLine="4080" w:firstLineChars="1700"/>
        <w:jc w:val="both"/>
        <w:textAlignment w:val="baseline"/>
        <w:rPr>
          <w:b w:val="0"/>
          <w:i w:val="0"/>
          <w:caps w:val="0"/>
          <w:color w:val="auto"/>
          <w:spacing w:val="0"/>
          <w:w w:val="100"/>
          <w:sz w:val="24"/>
          <w:szCs w:val="24"/>
        </w:rPr>
      </w:pPr>
      <w:r>
        <w:rPr>
          <w:rFonts w:hint="eastAsia"/>
          <w:b w:val="0"/>
          <w:i w:val="0"/>
          <w:caps w:val="0"/>
          <w:color w:val="auto"/>
          <w:spacing w:val="0"/>
          <w:w w:val="100"/>
          <w:sz w:val="24"/>
          <w:szCs w:val="24"/>
        </w:rPr>
        <w:t xml:space="preserve">年   月  日         </w:t>
      </w:r>
    </w:p>
    <w:p>
      <w:pPr>
        <w:snapToGrid w:val="0"/>
        <w:spacing w:before="0" w:beforeAutospacing="0" w:after="0" w:afterAutospacing="0" w:line="240" w:lineRule="auto"/>
        <w:ind w:firstLine="210"/>
        <w:jc w:val="both"/>
        <w:textAlignment w:val="baseline"/>
        <w:rPr>
          <w:b w:val="0"/>
          <w:i w:val="0"/>
          <w:caps w:val="0"/>
          <w:color w:val="auto"/>
          <w:spacing w:val="0"/>
          <w:w w:val="100"/>
          <w:sz w:val="24"/>
          <w:szCs w:val="24"/>
        </w:rPr>
      </w:pPr>
    </w:p>
    <w:tbl>
      <w:tblPr>
        <w:tblStyle w:val="30"/>
        <w:tblW w:w="8079" w:type="dxa"/>
        <w:tblInd w:w="534" w:type="dxa"/>
        <w:tblLayout w:type="fixed"/>
        <w:tblCellMar>
          <w:top w:w="0" w:type="dxa"/>
          <w:left w:w="108" w:type="dxa"/>
          <w:bottom w:w="0" w:type="dxa"/>
          <w:right w:w="108" w:type="dxa"/>
        </w:tblCellMar>
      </w:tblPr>
      <w:tblGrid>
        <w:gridCol w:w="8079"/>
      </w:tblGrid>
      <w:tr>
        <w:tblPrEx>
          <w:tblCellMar>
            <w:top w:w="0" w:type="dxa"/>
            <w:left w:w="108" w:type="dxa"/>
            <w:bottom w:w="0" w:type="dxa"/>
            <w:right w:w="108" w:type="dxa"/>
          </w:tblCellMar>
        </w:tblPrEx>
        <w:trPr>
          <w:trHeight w:val="3437" w:hRule="atLeast"/>
        </w:trPr>
        <w:tc>
          <w:tcPr>
            <w:tcW w:w="8079" w:type="dxa"/>
            <w:tcBorders>
              <w:top w:val="single" w:color="auto" w:sz="4" w:space="0"/>
              <w:left w:val="single" w:color="auto" w:sz="4" w:space="0"/>
              <w:bottom w:val="single" w:color="auto" w:sz="4" w:space="0"/>
              <w:right w:val="single" w:color="auto" w:sz="4" w:space="0"/>
            </w:tcBorders>
          </w:tcPr>
          <w:p>
            <w:pPr>
              <w:snapToGrid w:val="0"/>
              <w:spacing w:before="0" w:beforeAutospacing="0" w:after="0" w:afterAutospacing="0" w:line="240" w:lineRule="auto"/>
              <w:ind w:left="5250"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240" w:lineRule="auto"/>
              <w:ind w:firstLine="210"/>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法定代表人身份证复印件</w:t>
            </w:r>
          </w:p>
          <w:p>
            <w:pPr>
              <w:snapToGrid w:val="0"/>
              <w:spacing w:before="0" w:beforeAutospacing="0" w:after="0" w:afterAutospacing="0" w:line="240" w:lineRule="auto"/>
              <w:ind w:left="5250"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240" w:lineRule="auto"/>
              <w:ind w:left="5250"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240" w:lineRule="auto"/>
              <w:ind w:left="5250"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240" w:lineRule="auto"/>
              <w:ind w:left="5250"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240" w:lineRule="auto"/>
              <w:ind w:left="5250" w:firstLine="480" w:firstLineChars="200"/>
              <w:jc w:val="both"/>
              <w:textAlignment w:val="baseline"/>
              <w:rPr>
                <w:b w:val="0"/>
                <w:i w:val="0"/>
                <w:caps w:val="0"/>
                <w:color w:val="auto"/>
                <w:spacing w:val="0"/>
                <w:w w:val="100"/>
                <w:sz w:val="24"/>
                <w:szCs w:val="24"/>
              </w:rPr>
            </w:pPr>
          </w:p>
          <w:p>
            <w:pPr>
              <w:snapToGrid w:val="0"/>
              <w:spacing w:before="0" w:beforeAutospacing="0" w:after="0" w:afterAutospacing="0" w:line="240" w:lineRule="auto"/>
              <w:ind w:left="5250" w:firstLine="480" w:firstLineChars="200"/>
              <w:jc w:val="both"/>
              <w:textAlignment w:val="baseline"/>
              <w:rPr>
                <w:b w:val="0"/>
                <w:i w:val="0"/>
                <w:caps w:val="0"/>
                <w:color w:val="auto"/>
                <w:spacing w:val="0"/>
                <w:w w:val="100"/>
                <w:sz w:val="24"/>
                <w:szCs w:val="24"/>
              </w:rPr>
            </w:pPr>
          </w:p>
        </w:tc>
      </w:tr>
    </w:tbl>
    <w:p>
      <w:pPr>
        <w:pStyle w:val="3"/>
        <w:snapToGrid w:val="0"/>
        <w:spacing w:before="120" w:beforeAutospacing="0" w:after="120" w:afterAutospacing="0" w:line="400" w:lineRule="exact"/>
        <w:ind w:firstLine="321"/>
        <w:jc w:val="left"/>
        <w:textAlignment w:val="baseline"/>
        <w:rPr>
          <w:b w:val="0"/>
          <w:bCs w:val="0"/>
          <w:i w:val="0"/>
          <w:caps w:val="0"/>
          <w:color w:val="auto"/>
          <w:spacing w:val="0"/>
          <w:w w:val="100"/>
          <w:sz w:val="24"/>
          <w:szCs w:val="24"/>
        </w:rPr>
      </w:pPr>
      <w:r>
        <w:rPr>
          <w:rFonts w:hint="eastAsia"/>
          <w:b/>
          <w:i w:val="0"/>
          <w:caps w:val="0"/>
          <w:color w:val="auto"/>
          <w:spacing w:val="0"/>
          <w:w w:val="100"/>
          <w:sz w:val="24"/>
          <w:szCs w:val="24"/>
        </w:rPr>
        <w:br w:type="page"/>
      </w:r>
    </w:p>
    <w:p>
      <w:pPr>
        <w:snapToGrid w:val="0"/>
        <w:spacing w:before="120" w:beforeAutospacing="0" w:after="120" w:afterAutospacing="0" w:line="400" w:lineRule="exact"/>
        <w:ind w:firstLine="321"/>
        <w:jc w:val="left"/>
        <w:textAlignment w:val="baseline"/>
        <w:rPr>
          <w:b w:val="0"/>
          <w:i w:val="0"/>
          <w:caps w:val="0"/>
          <w:color w:val="auto"/>
          <w:spacing w:val="0"/>
          <w:w w:val="100"/>
          <w:sz w:val="24"/>
        </w:rPr>
      </w:pPr>
      <w:bookmarkStart w:id="436" w:name="_Toc152042581"/>
      <w:bookmarkStart w:id="437" w:name="_Toc413527445"/>
      <w:bookmarkStart w:id="438" w:name="_Toc152045792"/>
      <w:bookmarkStart w:id="439" w:name="_Toc229646792"/>
      <w:bookmarkStart w:id="440" w:name="_Toc413527446"/>
      <w:bookmarkStart w:id="441" w:name="_Toc144974861"/>
      <w:bookmarkStart w:id="442" w:name="_Toc234515648"/>
    </w:p>
    <w:p>
      <w:pPr>
        <w:pStyle w:val="3"/>
        <w:snapToGrid w:val="0"/>
        <w:spacing w:before="120" w:beforeAutospacing="0" w:after="120" w:afterAutospacing="0" w:line="400" w:lineRule="exact"/>
        <w:ind w:firstLine="280"/>
        <w:jc w:val="center"/>
        <w:textAlignment w:val="baseline"/>
        <w:rPr>
          <w:b/>
          <w:bCs w:val="0"/>
          <w:i w:val="0"/>
          <w:caps w:val="0"/>
          <w:color w:val="auto"/>
          <w:spacing w:val="0"/>
          <w:w w:val="100"/>
          <w:sz w:val="24"/>
          <w:szCs w:val="24"/>
        </w:rPr>
      </w:pPr>
      <w:bookmarkStart w:id="443" w:name="_Toc16693"/>
      <w:r>
        <w:rPr>
          <w:rFonts w:hint="eastAsia"/>
          <w:b/>
          <w:bCs w:val="0"/>
          <w:i w:val="0"/>
          <w:caps w:val="0"/>
          <w:color w:val="auto"/>
          <w:spacing w:val="0"/>
          <w:w w:val="100"/>
          <w:sz w:val="24"/>
          <w:szCs w:val="24"/>
        </w:rPr>
        <w:t>授权委托书</w:t>
      </w:r>
      <w:bookmarkEnd w:id="433"/>
      <w:bookmarkEnd w:id="434"/>
      <w:bookmarkEnd w:id="436"/>
      <w:bookmarkEnd w:id="437"/>
      <w:bookmarkEnd w:id="438"/>
      <w:bookmarkEnd w:id="439"/>
      <w:bookmarkEnd w:id="440"/>
      <w:bookmarkEnd w:id="441"/>
      <w:bookmarkEnd w:id="442"/>
      <w:bookmarkEnd w:id="443"/>
    </w:p>
    <w:p>
      <w:pPr>
        <w:snapToGrid w:val="0"/>
        <w:spacing w:before="0" w:beforeAutospacing="0" w:after="0" w:afterAutospacing="0" w:line="420" w:lineRule="exact"/>
        <w:ind w:firstLine="280"/>
        <w:jc w:val="both"/>
        <w:textAlignment w:val="baseline"/>
        <w:rPr>
          <w:b w:val="0"/>
          <w:i w:val="0"/>
          <w:caps w:val="0"/>
          <w:color w:val="auto"/>
          <w:spacing w:val="0"/>
          <w:w w:val="100"/>
          <w:kern w:val="44"/>
          <w:sz w:val="20"/>
          <w:szCs w:val="21"/>
        </w:rPr>
      </w:pP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本人</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（姓名）系</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（投标人名称）的法定代表人，现委托</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（姓名）为我方代理人。代理人根据授权，以我方名义签署、澄清、说明、补正、递交、撤回、修改（项目名称）的投标文件、签订合同和处理有关事宜，其法律后果由我方承担。</w:t>
      </w: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委托期限：。</w:t>
      </w: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代理人无转委托权。</w:t>
      </w:r>
    </w:p>
    <w:p>
      <w:pPr>
        <w:snapToGrid w:val="0"/>
        <w:spacing w:before="0" w:beforeAutospacing="0" w:after="0" w:afterAutospacing="0" w:line="360" w:lineRule="auto"/>
        <w:ind w:firstLine="420" w:firstLineChars="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附：法定代表人身份证明</w:t>
      </w: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rPr>
      </w:pP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投标人：</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（盖单位公章）</w:t>
      </w: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法定代表人：</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（签字或盖章）</w:t>
      </w: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u w:val="single"/>
        </w:rPr>
      </w:pPr>
      <w:r>
        <w:rPr>
          <w:rFonts w:hint="eastAsia"/>
          <w:b w:val="0"/>
          <w:i w:val="0"/>
          <w:caps w:val="0"/>
          <w:color w:val="auto"/>
          <w:spacing w:val="0"/>
          <w:w w:val="100"/>
          <w:sz w:val="21"/>
          <w:szCs w:val="21"/>
        </w:rPr>
        <w:t>身份证号码：</w:t>
      </w:r>
      <w:r>
        <w:rPr>
          <w:rFonts w:hint="eastAsia"/>
          <w:b w:val="0"/>
          <w:i w:val="0"/>
          <w:caps w:val="0"/>
          <w:color w:val="auto"/>
          <w:spacing w:val="0"/>
          <w:w w:val="100"/>
          <w:sz w:val="21"/>
          <w:szCs w:val="21"/>
          <w:u w:val="single" w:color="000000"/>
        </w:rPr>
        <w:t xml:space="preserve">                     </w:t>
      </w: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委托代理人：</w:t>
      </w:r>
      <w:r>
        <w:rPr>
          <w:rFonts w:hint="eastAsia"/>
          <w:b w:val="0"/>
          <w:i w:val="0"/>
          <w:caps w:val="0"/>
          <w:color w:val="auto"/>
          <w:spacing w:val="0"/>
          <w:w w:val="100"/>
          <w:sz w:val="21"/>
          <w:szCs w:val="21"/>
          <w:u w:val="single" w:color="000000"/>
        </w:rPr>
        <w:t xml:space="preserve">                     </w:t>
      </w:r>
      <w:r>
        <w:rPr>
          <w:rFonts w:hint="eastAsia"/>
          <w:b w:val="0"/>
          <w:i w:val="0"/>
          <w:caps w:val="0"/>
          <w:color w:val="auto"/>
          <w:spacing w:val="0"/>
          <w:w w:val="100"/>
          <w:sz w:val="21"/>
          <w:szCs w:val="21"/>
        </w:rPr>
        <w:t xml:space="preserve">（签字或盖章） </w:t>
      </w:r>
    </w:p>
    <w:p>
      <w:pPr>
        <w:snapToGrid w:val="0"/>
        <w:spacing w:before="0" w:beforeAutospacing="0" w:after="0" w:afterAutospacing="0" w:line="360" w:lineRule="auto"/>
        <w:ind w:firstLine="200"/>
        <w:jc w:val="both"/>
        <w:textAlignment w:val="baseline"/>
        <w:rPr>
          <w:b w:val="0"/>
          <w:i w:val="0"/>
          <w:caps w:val="0"/>
          <w:color w:val="auto"/>
          <w:spacing w:val="0"/>
          <w:w w:val="100"/>
          <w:sz w:val="20"/>
          <w:szCs w:val="21"/>
          <w:u w:val="single"/>
        </w:rPr>
      </w:pPr>
      <w:r>
        <w:rPr>
          <w:rFonts w:hint="eastAsia"/>
          <w:b w:val="0"/>
          <w:i w:val="0"/>
          <w:caps w:val="0"/>
          <w:color w:val="auto"/>
          <w:spacing w:val="0"/>
          <w:w w:val="100"/>
          <w:sz w:val="21"/>
          <w:szCs w:val="21"/>
        </w:rPr>
        <w:t>身份证号码：</w:t>
      </w:r>
      <w:r>
        <w:rPr>
          <w:rFonts w:hint="eastAsia"/>
          <w:b w:val="0"/>
          <w:i w:val="0"/>
          <w:caps w:val="0"/>
          <w:color w:val="auto"/>
          <w:spacing w:val="0"/>
          <w:w w:val="100"/>
          <w:sz w:val="21"/>
          <w:szCs w:val="21"/>
          <w:u w:val="single" w:color="000000"/>
        </w:rPr>
        <w:t xml:space="preserve">                     </w:t>
      </w:r>
    </w:p>
    <w:p>
      <w:pPr>
        <w:snapToGrid w:val="0"/>
        <w:spacing w:before="0" w:beforeAutospacing="0" w:after="0" w:afterAutospacing="0" w:line="480" w:lineRule="auto"/>
        <w:ind w:firstLine="200"/>
        <w:jc w:val="both"/>
        <w:textAlignment w:val="baseline"/>
        <w:rPr>
          <w:b w:val="0"/>
          <w:i w:val="0"/>
          <w:caps w:val="0"/>
          <w:color w:val="auto"/>
          <w:spacing w:val="0"/>
          <w:w w:val="100"/>
          <w:sz w:val="20"/>
          <w:szCs w:val="21"/>
        </w:rPr>
      </w:pPr>
    </w:p>
    <w:p>
      <w:pPr>
        <w:snapToGrid w:val="0"/>
        <w:spacing w:before="0" w:beforeAutospacing="0" w:after="0" w:afterAutospacing="0" w:line="480" w:lineRule="auto"/>
        <w:ind w:firstLine="2310" w:firstLineChars="1100"/>
        <w:jc w:val="both"/>
        <w:textAlignment w:val="baseline"/>
        <w:rPr>
          <w:b w:val="0"/>
          <w:i w:val="0"/>
          <w:caps w:val="0"/>
          <w:color w:val="auto"/>
          <w:spacing w:val="0"/>
          <w:w w:val="100"/>
          <w:sz w:val="20"/>
          <w:szCs w:val="21"/>
        </w:rPr>
      </w:pPr>
      <w:r>
        <w:rPr>
          <w:rFonts w:hint="eastAsia"/>
          <w:b w:val="0"/>
          <w:i w:val="0"/>
          <w:caps w:val="0"/>
          <w:color w:val="auto"/>
          <w:spacing w:val="0"/>
          <w:w w:val="100"/>
          <w:sz w:val="21"/>
          <w:szCs w:val="21"/>
        </w:rPr>
        <w:t>年  月   日</w:t>
      </w:r>
    </w:p>
    <w:p>
      <w:pPr>
        <w:snapToGrid w:val="0"/>
        <w:spacing w:before="0" w:beforeAutospacing="0" w:after="0" w:afterAutospacing="0" w:line="480" w:lineRule="auto"/>
        <w:ind w:firstLine="5300" w:firstLineChars="2650"/>
        <w:jc w:val="both"/>
        <w:textAlignment w:val="baseline"/>
        <w:rPr>
          <w:b w:val="0"/>
          <w:i w:val="0"/>
          <w:caps w:val="0"/>
          <w:color w:val="auto"/>
          <w:spacing w:val="0"/>
          <w:w w:val="100"/>
          <w:sz w:val="20"/>
          <w:szCs w:val="21"/>
        </w:rPr>
      </w:pPr>
    </w:p>
    <w:p>
      <w:pPr>
        <w:snapToGrid w:val="0"/>
        <w:spacing w:before="0" w:beforeAutospacing="0" w:after="0" w:afterAutospacing="0" w:line="240" w:lineRule="auto"/>
        <w:ind w:firstLine="210"/>
        <w:jc w:val="both"/>
        <w:textAlignment w:val="baseline"/>
        <w:rPr>
          <w:b w:val="0"/>
          <w:i w:val="0"/>
          <w:caps w:val="0"/>
          <w:color w:val="auto"/>
          <w:spacing w:val="0"/>
          <w:w w:val="100"/>
          <w:sz w:val="20"/>
          <w:szCs w:val="21"/>
        </w:rPr>
      </w:pPr>
    </w:p>
    <w:p>
      <w:pPr>
        <w:snapToGrid w:val="0"/>
        <w:spacing w:before="0" w:beforeAutospacing="0" w:after="0" w:afterAutospacing="0" w:line="240" w:lineRule="auto"/>
        <w:ind w:firstLine="210"/>
        <w:jc w:val="both"/>
        <w:textAlignment w:val="baseline"/>
        <w:rPr>
          <w:b w:val="0"/>
          <w:i w:val="0"/>
          <w:caps w:val="0"/>
          <w:color w:val="auto"/>
          <w:spacing w:val="0"/>
          <w:w w:val="100"/>
          <w:sz w:val="20"/>
          <w:szCs w:val="21"/>
        </w:rPr>
      </w:pPr>
    </w:p>
    <w:tbl>
      <w:tblPr>
        <w:tblStyle w:val="30"/>
        <w:tblW w:w="8363" w:type="dxa"/>
        <w:tblInd w:w="392" w:type="dxa"/>
        <w:tblLayout w:type="fixed"/>
        <w:tblCellMar>
          <w:top w:w="0" w:type="dxa"/>
          <w:left w:w="108" w:type="dxa"/>
          <w:bottom w:w="0" w:type="dxa"/>
          <w:right w:w="108" w:type="dxa"/>
        </w:tblCellMar>
      </w:tblPr>
      <w:tblGrid>
        <w:gridCol w:w="8363"/>
      </w:tblGrid>
      <w:tr>
        <w:tblPrEx>
          <w:tblCellMar>
            <w:top w:w="0" w:type="dxa"/>
            <w:left w:w="108" w:type="dxa"/>
            <w:bottom w:w="0" w:type="dxa"/>
            <w:right w:w="108" w:type="dxa"/>
          </w:tblCellMar>
        </w:tblPrEx>
        <w:trPr>
          <w:trHeight w:val="3110" w:hRule="atLeast"/>
        </w:trPr>
        <w:tc>
          <w:tcPr>
            <w:tcW w:w="8363" w:type="dxa"/>
            <w:tcBorders>
              <w:top w:val="single" w:color="auto" w:sz="4" w:space="0"/>
              <w:left w:val="single" w:color="auto" w:sz="4" w:space="0"/>
              <w:bottom w:val="single" w:color="auto" w:sz="4" w:space="0"/>
              <w:right w:val="single" w:color="auto" w:sz="4" w:space="0"/>
            </w:tcBorders>
          </w:tcPr>
          <w:p>
            <w:pPr>
              <w:snapToGrid w:val="0"/>
              <w:spacing w:before="0" w:beforeAutospacing="0" w:after="0" w:afterAutospacing="0" w:line="240" w:lineRule="auto"/>
              <w:ind w:left="5250"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240" w:lineRule="auto"/>
              <w:ind w:firstLine="210"/>
              <w:jc w:val="center"/>
              <w:textAlignment w:val="baseline"/>
              <w:rPr>
                <w:b w:val="0"/>
                <w:i w:val="0"/>
                <w:caps w:val="0"/>
                <w:color w:val="auto"/>
                <w:spacing w:val="0"/>
                <w:w w:val="100"/>
                <w:sz w:val="20"/>
                <w:szCs w:val="21"/>
              </w:rPr>
            </w:pPr>
            <w:r>
              <w:rPr>
                <w:rFonts w:hint="eastAsia"/>
                <w:b w:val="0"/>
                <w:i w:val="0"/>
                <w:caps w:val="0"/>
                <w:color w:val="auto"/>
                <w:spacing w:val="0"/>
                <w:w w:val="100"/>
                <w:sz w:val="21"/>
                <w:szCs w:val="21"/>
              </w:rPr>
              <w:t>委托代理人身份证复印件</w:t>
            </w:r>
          </w:p>
          <w:p>
            <w:pPr>
              <w:snapToGrid w:val="0"/>
              <w:spacing w:before="0" w:beforeAutospacing="0" w:after="0" w:afterAutospacing="0" w:line="240" w:lineRule="auto"/>
              <w:ind w:left="5250"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240" w:lineRule="auto"/>
              <w:ind w:left="5250"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240" w:lineRule="auto"/>
              <w:ind w:left="5250"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240" w:lineRule="auto"/>
              <w:ind w:left="5250"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240" w:lineRule="auto"/>
              <w:ind w:left="5250" w:firstLine="400" w:firstLineChars="200"/>
              <w:jc w:val="both"/>
              <w:textAlignment w:val="baseline"/>
              <w:rPr>
                <w:b w:val="0"/>
                <w:i w:val="0"/>
                <w:caps w:val="0"/>
                <w:color w:val="auto"/>
                <w:spacing w:val="0"/>
                <w:w w:val="100"/>
                <w:sz w:val="20"/>
                <w:szCs w:val="21"/>
              </w:rPr>
            </w:pPr>
          </w:p>
          <w:p>
            <w:pPr>
              <w:snapToGrid w:val="0"/>
              <w:spacing w:before="0" w:beforeAutospacing="0" w:after="0" w:afterAutospacing="0" w:line="240" w:lineRule="auto"/>
              <w:ind w:left="5250" w:firstLine="400" w:firstLineChars="200"/>
              <w:jc w:val="both"/>
              <w:textAlignment w:val="baseline"/>
              <w:rPr>
                <w:b w:val="0"/>
                <w:i w:val="0"/>
                <w:caps w:val="0"/>
                <w:color w:val="auto"/>
                <w:spacing w:val="0"/>
                <w:w w:val="100"/>
                <w:sz w:val="20"/>
                <w:szCs w:val="21"/>
              </w:rPr>
            </w:pPr>
          </w:p>
        </w:tc>
      </w:tr>
    </w:tbl>
    <w:p>
      <w:pPr>
        <w:snapToGrid w:val="0"/>
        <w:spacing w:before="0" w:beforeAutospacing="0" w:after="0" w:afterAutospacing="0" w:line="240" w:lineRule="auto"/>
        <w:jc w:val="left"/>
        <w:textAlignment w:val="baseline"/>
        <w:rPr>
          <w:b/>
          <w:i w:val="0"/>
          <w:caps w:val="0"/>
          <w:color w:val="auto"/>
          <w:spacing w:val="0"/>
          <w:w w:val="100"/>
          <w:sz w:val="24"/>
          <w:szCs w:val="24"/>
        </w:rPr>
      </w:pPr>
    </w:p>
    <w:p>
      <w:pPr>
        <w:snapToGrid w:val="0"/>
        <w:spacing w:before="0" w:beforeAutospacing="0" w:after="0" w:afterAutospacing="0" w:line="360" w:lineRule="auto"/>
        <w:ind w:firstLine="211"/>
        <w:jc w:val="left"/>
        <w:textAlignment w:val="baseline"/>
        <w:rPr>
          <w:b/>
          <w:i w:val="0"/>
          <w:caps w:val="0"/>
          <w:color w:val="auto"/>
          <w:spacing w:val="0"/>
          <w:w w:val="100"/>
          <w:sz w:val="24"/>
          <w:szCs w:val="24"/>
        </w:rPr>
      </w:pPr>
    </w:p>
    <w:p>
      <w:pPr>
        <w:snapToGrid w:val="0"/>
        <w:spacing w:before="0" w:beforeAutospacing="0" w:after="0" w:afterAutospacing="0" w:line="360" w:lineRule="auto"/>
        <w:jc w:val="left"/>
        <w:textAlignment w:val="baseline"/>
        <w:rPr>
          <w:b w:val="0"/>
          <w:bCs/>
          <w:i w:val="0"/>
          <w:caps w:val="0"/>
          <w:strike/>
          <w:color w:val="auto"/>
          <w:spacing w:val="0"/>
          <w:w w:val="100"/>
          <w:sz w:val="24"/>
          <w:szCs w:val="24"/>
        </w:rPr>
      </w:pPr>
    </w:p>
    <w:p>
      <w:pPr>
        <w:pStyle w:val="48"/>
        <w:snapToGrid w:val="0"/>
        <w:spacing w:before="100" w:beforeAutospacing="0" w:after="0" w:afterAutospacing="0" w:line="400" w:lineRule="exact"/>
        <w:jc w:val="center"/>
        <w:textAlignment w:val="baseline"/>
        <w:rPr>
          <w:rFonts w:ascii="宋体" w:hAnsi="宋体" w:eastAsia="宋体"/>
          <w:b/>
          <w:bCs/>
          <w:i w:val="0"/>
          <w:caps w:val="0"/>
          <w:strike/>
          <w:color w:val="auto"/>
          <w:spacing w:val="0"/>
          <w:w w:val="100"/>
          <w:sz w:val="28"/>
          <w:szCs w:val="28"/>
        </w:rPr>
      </w:pPr>
      <w:r>
        <w:rPr>
          <w:rFonts w:hint="eastAsia" w:ascii="宋体" w:hAnsi="宋体" w:eastAsia="宋体"/>
          <w:b/>
          <w:bCs/>
          <w:i w:val="0"/>
          <w:caps w:val="0"/>
          <w:strike/>
          <w:color w:val="auto"/>
          <w:spacing w:val="0"/>
          <w:w w:val="100"/>
          <w:sz w:val="28"/>
          <w:szCs w:val="28"/>
        </w:rPr>
        <w:t>联合体协议书（若有）</w:t>
      </w:r>
    </w:p>
    <w:p>
      <w:pPr>
        <w:snapToGrid w:val="0"/>
        <w:spacing w:before="0" w:beforeAutospacing="0" w:after="0" w:afterAutospacing="0" w:line="240" w:lineRule="auto"/>
        <w:ind w:firstLine="400" w:firstLineChars="200"/>
        <w:jc w:val="both"/>
        <w:textAlignment w:val="baseline"/>
        <w:rPr>
          <w:rFonts w:ascii="宋体" w:hAnsi="宋体"/>
          <w:b w:val="0"/>
          <w:i w:val="0"/>
          <w:caps w:val="0"/>
          <w:strike/>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 xml:space="preserve"> （所有成员单位名称）自愿组成</w:t>
      </w:r>
      <w:r>
        <w:rPr>
          <w:rFonts w:hint="eastAsia" w:ascii="宋体" w:hAnsi="宋体"/>
          <w:b w:val="0"/>
          <w:i w:val="0"/>
          <w:caps w:val="0"/>
          <w:strike/>
          <w:color w:val="auto"/>
          <w:spacing w:val="0"/>
          <w:w w:val="100"/>
          <w:sz w:val="21"/>
          <w:szCs w:val="21"/>
          <w:u w:val="single" w:color="000000"/>
        </w:rPr>
        <w:t xml:space="preserve">    ＿</w:t>
      </w:r>
      <w:r>
        <w:rPr>
          <w:rFonts w:hint="eastAsia" w:ascii="宋体" w:hAnsi="宋体"/>
          <w:b w:val="0"/>
          <w:i w:val="0"/>
          <w:caps w:val="0"/>
          <w:strike/>
          <w:color w:val="auto"/>
          <w:spacing w:val="0"/>
          <w:w w:val="100"/>
          <w:sz w:val="21"/>
          <w:szCs w:val="21"/>
        </w:rPr>
        <w:t>（联合体名称）联合体，共同参加</w:t>
      </w:r>
      <w:r>
        <w:rPr>
          <w:rFonts w:hint="eastAsia" w:ascii="宋体" w:hAnsi="宋体"/>
          <w:b w:val="0"/>
          <w:i w:val="0"/>
          <w:caps w:val="0"/>
          <w:strike/>
          <w:color w:val="auto"/>
          <w:spacing w:val="0"/>
          <w:w w:val="100"/>
          <w:sz w:val="21"/>
          <w:szCs w:val="21"/>
          <w:u w:val="single" w:color="000000"/>
        </w:rPr>
        <w:t xml:space="preserve">    ＿</w:t>
      </w:r>
      <w:r>
        <w:rPr>
          <w:rFonts w:hint="eastAsia" w:ascii="宋体" w:hAnsi="宋体"/>
          <w:b w:val="0"/>
          <w:i w:val="0"/>
          <w:caps w:val="0"/>
          <w:strike/>
          <w:color w:val="auto"/>
          <w:spacing w:val="0"/>
          <w:w w:val="100"/>
          <w:sz w:val="21"/>
          <w:szCs w:val="21"/>
        </w:rPr>
        <w:t>（项目名称）施工投标。现就联合体投标事宜订立如下协议。</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1、</w:t>
      </w:r>
      <w:r>
        <w:rPr>
          <w:rFonts w:hint="eastAsia" w:ascii="宋体" w:hAnsi="宋体"/>
          <w:b w:val="0"/>
          <w:i w:val="0"/>
          <w:caps w:val="0"/>
          <w:strike/>
          <w:color w:val="auto"/>
          <w:spacing w:val="0"/>
          <w:w w:val="100"/>
          <w:sz w:val="21"/>
          <w:szCs w:val="21"/>
          <w:u w:val="single" w:color="000000"/>
        </w:rPr>
        <w:t xml:space="preserve">     ＿</w:t>
      </w:r>
      <w:r>
        <w:rPr>
          <w:rFonts w:hint="eastAsia" w:ascii="宋体" w:hAnsi="宋体"/>
          <w:b w:val="0"/>
          <w:i w:val="0"/>
          <w:caps w:val="0"/>
          <w:strike/>
          <w:color w:val="auto"/>
          <w:spacing w:val="0"/>
          <w:w w:val="100"/>
          <w:sz w:val="21"/>
          <w:szCs w:val="21"/>
        </w:rPr>
        <w:t>（某成员单位名称）为</w:t>
      </w:r>
      <w:r>
        <w:rPr>
          <w:rFonts w:hint="eastAsia" w:ascii="宋体" w:hAnsi="宋体"/>
          <w:b w:val="0"/>
          <w:i w:val="0"/>
          <w:caps w:val="0"/>
          <w:strike/>
          <w:color w:val="auto"/>
          <w:spacing w:val="0"/>
          <w:w w:val="100"/>
          <w:sz w:val="21"/>
          <w:szCs w:val="21"/>
          <w:u w:val="single" w:color="000000"/>
        </w:rPr>
        <w:t xml:space="preserve">＿       </w:t>
      </w:r>
      <w:r>
        <w:rPr>
          <w:rFonts w:hint="eastAsia" w:ascii="宋体" w:hAnsi="宋体"/>
          <w:b w:val="0"/>
          <w:i w:val="0"/>
          <w:caps w:val="0"/>
          <w:strike/>
          <w:color w:val="auto"/>
          <w:spacing w:val="0"/>
          <w:w w:val="100"/>
          <w:sz w:val="21"/>
          <w:szCs w:val="21"/>
        </w:rPr>
        <w:t>（联合体名称）牵头人。</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3、联合体将严格按照招标文件的各项要求，递交投标文件，履行合同，并对外承担连带责任。</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4、联合体各成员单位内部的职责分工如下：</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（1）</w:t>
      </w:r>
      <w:r>
        <w:rPr>
          <w:rFonts w:hint="eastAsia" w:ascii="宋体" w:hAnsi="宋体"/>
          <w:b w:val="0"/>
          <w:i w:val="0"/>
          <w:caps w:val="0"/>
          <w:strike/>
          <w:color w:val="auto"/>
          <w:spacing w:val="0"/>
          <w:w w:val="100"/>
          <w:sz w:val="21"/>
          <w:szCs w:val="21"/>
          <w:u w:val="single" w:color="000000"/>
        </w:rPr>
        <w:t xml:space="preserve">     ＿</w:t>
      </w:r>
      <w:r>
        <w:rPr>
          <w:rFonts w:hint="eastAsia" w:ascii="宋体" w:hAnsi="宋体"/>
          <w:b w:val="0"/>
          <w:i w:val="0"/>
          <w:caps w:val="0"/>
          <w:strike/>
          <w:color w:val="auto"/>
          <w:spacing w:val="0"/>
          <w:w w:val="100"/>
          <w:sz w:val="21"/>
          <w:szCs w:val="21"/>
        </w:rPr>
        <w:t>（某成员单位名称）负责本工程部分的施工，费用为元（与投标报价口径必须一致）；</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（2）</w:t>
      </w:r>
      <w:r>
        <w:rPr>
          <w:rFonts w:hint="eastAsia" w:ascii="宋体" w:hAnsi="宋体"/>
          <w:b w:val="0"/>
          <w:i w:val="0"/>
          <w:caps w:val="0"/>
          <w:strike/>
          <w:color w:val="auto"/>
          <w:spacing w:val="0"/>
          <w:w w:val="100"/>
          <w:sz w:val="21"/>
          <w:szCs w:val="21"/>
          <w:u w:val="single" w:color="000000"/>
        </w:rPr>
        <w:t xml:space="preserve">     ＿</w:t>
      </w:r>
      <w:r>
        <w:rPr>
          <w:rFonts w:hint="eastAsia" w:ascii="宋体" w:hAnsi="宋体"/>
          <w:b w:val="0"/>
          <w:i w:val="0"/>
          <w:caps w:val="0"/>
          <w:strike/>
          <w:color w:val="auto"/>
          <w:spacing w:val="0"/>
          <w:w w:val="100"/>
          <w:sz w:val="21"/>
          <w:szCs w:val="21"/>
        </w:rPr>
        <w:t>（某成员单位名称）负责本工程部分的施工，费用为元（与投标报价口径必须一致）；</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b w:val="0"/>
          <w:i w:val="0"/>
          <w:caps w:val="0"/>
          <w:strike/>
          <w:color w:val="auto"/>
          <w:spacing w:val="0"/>
          <w:w w:val="100"/>
          <w:sz w:val="21"/>
          <w:szCs w:val="21"/>
        </w:rPr>
        <w:t>）</w:t>
      </w:r>
      <w:r>
        <w:rPr>
          <w:rFonts w:hint="eastAsia" w:ascii="宋体" w:hAnsi="宋体"/>
          <w:b w:val="0"/>
          <w:i w:val="0"/>
          <w:caps w:val="0"/>
          <w:strike/>
          <w:color w:val="auto"/>
          <w:spacing w:val="0"/>
          <w:w w:val="100"/>
          <w:sz w:val="21"/>
          <w:szCs w:val="21"/>
        </w:rPr>
        <w:t>】；</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u w:val="single" w:color="000000"/>
        </w:rPr>
        <w:t xml:space="preserve">（4）其他：                              </w:t>
      </w:r>
      <w:r>
        <w:rPr>
          <w:rFonts w:hint="eastAsia" w:ascii="宋体" w:hAnsi="宋体"/>
          <w:b w:val="0"/>
          <w:i w:val="0"/>
          <w:caps w:val="0"/>
          <w:strike/>
          <w:color w:val="auto"/>
          <w:spacing w:val="0"/>
          <w:w w:val="100"/>
          <w:sz w:val="21"/>
          <w:szCs w:val="21"/>
        </w:rPr>
        <w:t>。</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5、本协议书自签署之日起生效，合同履行完毕后自动失效。</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6、本协议书一式</w:t>
      </w:r>
      <w:r>
        <w:rPr>
          <w:rFonts w:hint="eastAsia" w:ascii="宋体" w:hAnsi="宋体"/>
          <w:b w:val="0"/>
          <w:i w:val="0"/>
          <w:caps w:val="0"/>
          <w:strike/>
          <w:color w:val="auto"/>
          <w:spacing w:val="0"/>
          <w:w w:val="100"/>
          <w:sz w:val="21"/>
          <w:szCs w:val="21"/>
          <w:u w:val="single" w:color="000000"/>
        </w:rPr>
        <w:t xml:space="preserve">  ＿</w:t>
      </w:r>
      <w:r>
        <w:rPr>
          <w:rFonts w:hint="eastAsia" w:ascii="宋体" w:hAnsi="宋体"/>
          <w:b w:val="0"/>
          <w:i w:val="0"/>
          <w:caps w:val="0"/>
          <w:strike/>
          <w:color w:val="auto"/>
          <w:spacing w:val="0"/>
          <w:w w:val="100"/>
          <w:sz w:val="21"/>
          <w:szCs w:val="21"/>
        </w:rPr>
        <w:t>份，联合体成员和招标人各执一份。</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注：本协议书由委托代理人签字的，应附法定代表人签字的授权委托书。</w:t>
      </w:r>
    </w:p>
    <w:p>
      <w:pPr>
        <w:snapToGrid w:val="0"/>
        <w:spacing w:before="0" w:beforeAutospacing="0" w:after="0" w:afterAutospacing="0" w:line="360" w:lineRule="exact"/>
        <w:ind w:firstLine="400" w:firstLineChars="200"/>
        <w:jc w:val="both"/>
        <w:textAlignment w:val="baseline"/>
        <w:rPr>
          <w:rFonts w:ascii="宋体" w:hAnsi="宋体"/>
          <w:b w:val="0"/>
          <w:i w:val="0"/>
          <w:caps w:val="0"/>
          <w:strike/>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牵头人名称：（盖单位章）</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法定代表人或其委托代理人：（签字）</w:t>
      </w:r>
    </w:p>
    <w:p>
      <w:pPr>
        <w:snapToGrid w:val="0"/>
        <w:spacing w:before="0" w:beforeAutospacing="0" w:after="0" w:afterAutospacing="0" w:line="360" w:lineRule="exact"/>
        <w:ind w:firstLine="400" w:firstLineChars="200"/>
        <w:jc w:val="both"/>
        <w:textAlignment w:val="baseline"/>
        <w:rPr>
          <w:rFonts w:ascii="宋体" w:hAnsi="宋体"/>
          <w:b w:val="0"/>
          <w:i w:val="0"/>
          <w:caps w:val="0"/>
          <w:strike/>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成员一名称：（盖单位章）</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法定代表人或其委托代理人：（签字）</w:t>
      </w:r>
    </w:p>
    <w:p>
      <w:pPr>
        <w:snapToGrid w:val="0"/>
        <w:spacing w:before="0" w:beforeAutospacing="0" w:after="0" w:afterAutospacing="0" w:line="360" w:lineRule="exact"/>
        <w:ind w:firstLine="400" w:firstLineChars="200"/>
        <w:jc w:val="both"/>
        <w:textAlignment w:val="baseline"/>
        <w:rPr>
          <w:rFonts w:ascii="宋体" w:hAnsi="宋体"/>
          <w:b w:val="0"/>
          <w:i w:val="0"/>
          <w:caps w:val="0"/>
          <w:strike/>
          <w:color w:val="auto"/>
          <w:spacing w:val="0"/>
          <w:w w:val="100"/>
          <w:sz w:val="20"/>
          <w:szCs w:val="21"/>
        </w:rPr>
      </w:pP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成员二名称：（盖单位章）</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法定代表人或其委托代理人：（签字）</w:t>
      </w:r>
    </w:p>
    <w:p>
      <w:pPr>
        <w:snapToGrid w:val="0"/>
        <w:spacing w:before="0" w:beforeAutospacing="0" w:after="0" w:afterAutospacing="0" w:line="360" w:lineRule="exact"/>
        <w:ind w:firstLine="420" w:firstLineChars="200"/>
        <w:jc w:val="both"/>
        <w:textAlignment w:val="baseline"/>
        <w:rPr>
          <w:rFonts w:ascii="宋体" w:hAnsi="宋体"/>
          <w:b w:val="0"/>
          <w:i w:val="0"/>
          <w:caps w:val="0"/>
          <w:strike/>
          <w:color w:val="auto"/>
          <w:spacing w:val="0"/>
          <w:w w:val="100"/>
          <w:sz w:val="20"/>
          <w:szCs w:val="21"/>
        </w:rPr>
      </w:pPr>
      <w:r>
        <w:rPr>
          <w:rFonts w:hint="eastAsia" w:ascii="宋体" w:hAnsi="宋体"/>
          <w:b w:val="0"/>
          <w:i w:val="0"/>
          <w:caps w:val="0"/>
          <w:strike/>
          <w:color w:val="auto"/>
          <w:spacing w:val="0"/>
          <w:w w:val="100"/>
          <w:sz w:val="21"/>
          <w:szCs w:val="21"/>
        </w:rPr>
        <w:t>年月日</w:t>
      </w:r>
    </w:p>
    <w:p>
      <w:pPr>
        <w:snapToGrid w:val="0"/>
        <w:spacing w:before="0" w:beforeAutospacing="0" w:after="0" w:afterAutospacing="0" w:line="360" w:lineRule="exact"/>
        <w:ind w:firstLine="400" w:firstLineChars="200"/>
        <w:jc w:val="both"/>
        <w:textAlignment w:val="baseline"/>
        <w:rPr>
          <w:rFonts w:ascii="宋体" w:hAnsi="宋体"/>
          <w:b w:val="0"/>
          <w:i w:val="0"/>
          <w:caps w:val="0"/>
          <w:strike/>
          <w:color w:val="auto"/>
          <w:spacing w:val="0"/>
          <w:w w:val="100"/>
          <w:sz w:val="20"/>
          <w:szCs w:val="21"/>
        </w:rPr>
      </w:pPr>
    </w:p>
    <w:p>
      <w:pPr>
        <w:snapToGrid w:val="0"/>
        <w:spacing w:before="0" w:beforeAutospacing="0" w:after="0" w:afterAutospacing="0" w:line="360" w:lineRule="exact"/>
        <w:ind w:firstLine="400" w:firstLineChars="200"/>
        <w:jc w:val="both"/>
        <w:textAlignment w:val="baseline"/>
        <w:rPr>
          <w:rFonts w:ascii="宋体" w:hAnsi="宋体"/>
          <w:b w:val="0"/>
          <w:i w:val="0"/>
          <w:caps w:val="0"/>
          <w:color w:val="auto"/>
          <w:spacing w:val="0"/>
          <w:w w:val="100"/>
          <w:sz w:val="20"/>
          <w:szCs w:val="21"/>
        </w:rPr>
      </w:pPr>
    </w:p>
    <w:p>
      <w:pPr>
        <w:snapToGrid w:val="0"/>
        <w:spacing w:before="0" w:beforeAutospacing="0" w:after="0" w:afterAutospacing="0" w:line="360" w:lineRule="exact"/>
        <w:ind w:firstLine="400" w:firstLineChars="200"/>
        <w:jc w:val="both"/>
        <w:textAlignment w:val="baseline"/>
        <w:rPr>
          <w:rFonts w:ascii="宋体" w:hAnsi="宋体"/>
          <w:b w:val="0"/>
          <w:i w:val="0"/>
          <w:caps w:val="0"/>
          <w:color w:val="auto"/>
          <w:spacing w:val="0"/>
          <w:w w:val="100"/>
          <w:sz w:val="20"/>
          <w:szCs w:val="21"/>
        </w:rPr>
      </w:pPr>
    </w:p>
    <w:p>
      <w:pPr>
        <w:snapToGrid w:val="0"/>
        <w:spacing w:before="0" w:beforeAutospacing="0" w:after="0" w:afterAutospacing="0" w:line="360" w:lineRule="exact"/>
        <w:ind w:firstLine="400" w:firstLineChars="200"/>
        <w:jc w:val="both"/>
        <w:textAlignment w:val="baseline"/>
        <w:rPr>
          <w:rFonts w:ascii="宋体" w:hAnsi="宋体"/>
          <w:b w:val="0"/>
          <w:i w:val="0"/>
          <w:caps w:val="0"/>
          <w:color w:val="auto"/>
          <w:spacing w:val="0"/>
          <w:w w:val="100"/>
          <w:sz w:val="20"/>
          <w:szCs w:val="21"/>
        </w:rPr>
      </w:pPr>
    </w:p>
    <w:p>
      <w:pPr>
        <w:snapToGrid w:val="0"/>
        <w:spacing w:before="0" w:beforeAutospacing="0" w:after="0" w:afterAutospacing="0" w:line="360" w:lineRule="auto"/>
        <w:ind w:firstLine="211"/>
        <w:jc w:val="left"/>
        <w:textAlignment w:val="baseline"/>
        <w:rPr>
          <w:b/>
          <w:i w:val="0"/>
          <w:caps w:val="0"/>
          <w:color w:val="auto"/>
          <w:spacing w:val="0"/>
          <w:w w:val="100"/>
          <w:sz w:val="24"/>
          <w:szCs w:val="24"/>
        </w:rPr>
        <w:sectPr>
          <w:footerReference r:id="rId6" w:type="default"/>
          <w:footerReference r:id="rId7" w:type="even"/>
          <w:pgSz w:w="11907" w:h="16840"/>
          <w:pgMar w:top="1440" w:right="1134" w:bottom="1440" w:left="1134" w:header="680" w:footer="680" w:gutter="0"/>
          <w:cols w:space="720" w:num="1"/>
          <w:docGrid w:linePitch="271" w:charSpace="0"/>
        </w:sectPr>
      </w:pPr>
    </w:p>
    <w:p>
      <w:pPr>
        <w:snapToGrid w:val="0"/>
        <w:spacing w:before="0" w:beforeAutospacing="0" w:after="0" w:afterAutospacing="0" w:line="240" w:lineRule="auto"/>
        <w:ind w:firstLine="321"/>
        <w:jc w:val="center"/>
        <w:textAlignment w:val="baseline"/>
        <w:rPr>
          <w:b/>
          <w:i w:val="0"/>
          <w:caps w:val="0"/>
          <w:color w:val="auto"/>
          <w:spacing w:val="20"/>
          <w:w w:val="100"/>
          <w:sz w:val="28"/>
          <w:szCs w:val="28"/>
        </w:rPr>
      </w:pPr>
      <w:r>
        <w:rPr>
          <w:rFonts w:hint="eastAsia"/>
          <w:b/>
          <w:i w:val="0"/>
          <w:caps w:val="0"/>
          <w:color w:val="auto"/>
          <w:spacing w:val="20"/>
          <w:w w:val="100"/>
          <w:sz w:val="28"/>
          <w:szCs w:val="28"/>
          <w:u w:val="single" w:color="000000"/>
        </w:rPr>
        <w:t xml:space="preserve">                  </w:t>
      </w:r>
      <w:r>
        <w:rPr>
          <w:rFonts w:hint="eastAsia"/>
          <w:b/>
          <w:i w:val="0"/>
          <w:caps w:val="0"/>
          <w:color w:val="auto"/>
          <w:spacing w:val="20"/>
          <w:w w:val="100"/>
          <w:sz w:val="28"/>
          <w:szCs w:val="28"/>
        </w:rPr>
        <w:t>投 标 报 价 表</w:t>
      </w:r>
    </w:p>
    <w:p>
      <w:pPr>
        <w:pStyle w:val="12"/>
        <w:snapToGrid w:val="0"/>
        <w:spacing w:before="0" w:beforeAutospacing="0" w:after="0" w:afterAutospacing="0" w:line="240" w:lineRule="auto"/>
        <w:jc w:val="both"/>
        <w:textAlignment w:val="baseline"/>
        <w:rPr>
          <w:rFonts w:ascii="Times New Roman" w:hAnsi="Times New Roman" w:eastAsia="宋体" w:cs="Times New Roman"/>
          <w:b w:val="0"/>
          <w:i w:val="0"/>
          <w:caps w:val="0"/>
          <w:color w:val="auto"/>
          <w:spacing w:val="0"/>
          <w:w w:val="100"/>
          <w:sz w:val="24"/>
        </w:rPr>
      </w:pPr>
    </w:p>
    <w:p>
      <w:pPr>
        <w:tabs>
          <w:tab w:val="left" w:pos="1800"/>
        </w:tabs>
        <w:snapToGrid w:val="0"/>
        <w:spacing w:before="0" w:beforeAutospacing="0" w:after="0" w:afterAutospacing="0" w:line="240" w:lineRule="auto"/>
        <w:ind w:firstLine="2880" w:firstLineChars="1200"/>
        <w:jc w:val="left"/>
        <w:textAlignment w:val="baseline"/>
        <w:rPr>
          <w:b w:val="0"/>
          <w:i w:val="0"/>
          <w:caps w:val="0"/>
          <w:color w:val="auto"/>
          <w:spacing w:val="0"/>
          <w:w w:val="100"/>
          <w:sz w:val="24"/>
          <w:szCs w:val="24"/>
        </w:rPr>
      </w:pPr>
      <w:r>
        <w:rPr>
          <w:rFonts w:hint="eastAsia"/>
          <w:b w:val="0"/>
          <w:i w:val="0"/>
          <w:caps w:val="0"/>
          <w:color w:val="auto"/>
          <w:spacing w:val="0"/>
          <w:w w:val="100"/>
          <w:sz w:val="24"/>
          <w:szCs w:val="24"/>
        </w:rPr>
        <w:t xml:space="preserve">                                                                        </w:t>
      </w:r>
    </w:p>
    <w:tbl>
      <w:tblPr>
        <w:tblStyle w:val="30"/>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0"/>
        <w:gridCol w:w="1704"/>
        <w:gridCol w:w="1093"/>
        <w:gridCol w:w="886"/>
        <w:gridCol w:w="895"/>
        <w:gridCol w:w="1175"/>
        <w:gridCol w:w="1261"/>
        <w:gridCol w:w="1603"/>
        <w:gridCol w:w="1476"/>
        <w:gridCol w:w="989"/>
        <w:gridCol w:w="1400"/>
        <w:gridCol w:w="771"/>
        <w:gridCol w:w="1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1</w:t>
            </w:r>
          </w:p>
        </w:tc>
        <w:tc>
          <w:tcPr>
            <w:tcW w:w="577"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2</w:t>
            </w:r>
          </w:p>
        </w:tc>
        <w:tc>
          <w:tcPr>
            <w:tcW w:w="37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3</w:t>
            </w: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4</w:t>
            </w:r>
          </w:p>
        </w:tc>
        <w:tc>
          <w:tcPr>
            <w:tcW w:w="303"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5</w:t>
            </w:r>
          </w:p>
        </w:tc>
        <w:tc>
          <w:tcPr>
            <w:tcW w:w="398"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6</w:t>
            </w:r>
          </w:p>
        </w:tc>
        <w:tc>
          <w:tcPr>
            <w:tcW w:w="427"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7</w:t>
            </w:r>
          </w:p>
        </w:tc>
        <w:tc>
          <w:tcPr>
            <w:tcW w:w="543"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8</w:t>
            </w:r>
          </w:p>
        </w:tc>
        <w:tc>
          <w:tcPr>
            <w:tcW w:w="5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9</w:t>
            </w:r>
          </w:p>
        </w:tc>
        <w:tc>
          <w:tcPr>
            <w:tcW w:w="335"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10</w:t>
            </w:r>
          </w:p>
        </w:tc>
        <w:tc>
          <w:tcPr>
            <w:tcW w:w="474"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11</w:t>
            </w:r>
          </w:p>
        </w:tc>
        <w:tc>
          <w:tcPr>
            <w:tcW w:w="259"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12</w:t>
            </w:r>
          </w:p>
        </w:tc>
        <w:tc>
          <w:tcPr>
            <w:tcW w:w="358"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项号</w:t>
            </w:r>
          </w:p>
        </w:tc>
        <w:tc>
          <w:tcPr>
            <w:tcW w:w="577"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货物名称</w:t>
            </w:r>
          </w:p>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型号规格</w:t>
            </w:r>
          </w:p>
        </w:tc>
        <w:tc>
          <w:tcPr>
            <w:tcW w:w="37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产地</w:t>
            </w:r>
          </w:p>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(品牌)</w:t>
            </w: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单位</w:t>
            </w:r>
          </w:p>
        </w:tc>
        <w:tc>
          <w:tcPr>
            <w:tcW w:w="303"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数量</w:t>
            </w:r>
          </w:p>
        </w:tc>
        <w:tc>
          <w:tcPr>
            <w:tcW w:w="398" w:type="pct"/>
            <w:vAlign w:val="center"/>
          </w:tcPr>
          <w:p>
            <w:pPr>
              <w:tabs>
                <w:tab w:val="left" w:pos="1800"/>
              </w:tabs>
              <w:snapToGrid w:val="0"/>
              <w:spacing w:before="0" w:beforeAutospacing="0" w:after="0" w:afterAutospacing="0" w:line="240" w:lineRule="auto"/>
              <w:ind w:left="0" w:leftChars="-50" w:hangingChars="44"/>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出厂单价</w:t>
            </w:r>
          </w:p>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(含税)</w:t>
            </w:r>
          </w:p>
        </w:tc>
        <w:tc>
          <w:tcPr>
            <w:tcW w:w="427" w:type="pct"/>
            <w:vAlign w:val="center"/>
          </w:tcPr>
          <w:p>
            <w:pPr>
              <w:tabs>
                <w:tab w:val="left" w:pos="1800"/>
              </w:tabs>
              <w:snapToGrid w:val="0"/>
              <w:spacing w:before="0" w:beforeAutospacing="0" w:after="0" w:afterAutospacing="0" w:line="240" w:lineRule="auto"/>
              <w:ind w:left="1" w:leftChars="-51" w:hangingChars="45"/>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运杂、及保险费</w:t>
            </w:r>
          </w:p>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(含税)</w:t>
            </w:r>
          </w:p>
        </w:tc>
        <w:tc>
          <w:tcPr>
            <w:tcW w:w="543"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特殊工具费</w:t>
            </w:r>
          </w:p>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备品备件费(含税)</w:t>
            </w:r>
          </w:p>
        </w:tc>
        <w:tc>
          <w:tcPr>
            <w:tcW w:w="5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相关服务费</w:t>
            </w:r>
          </w:p>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(含税)</w:t>
            </w:r>
          </w:p>
        </w:tc>
        <w:tc>
          <w:tcPr>
            <w:tcW w:w="335"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其他</w:t>
            </w:r>
          </w:p>
          <w:p>
            <w:pPr>
              <w:widowControl/>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(含税)</w:t>
            </w:r>
          </w:p>
        </w:tc>
        <w:tc>
          <w:tcPr>
            <w:tcW w:w="474"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综合单价</w:t>
            </w:r>
          </w:p>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 xml:space="preserve">(含税) </w:t>
            </w:r>
          </w:p>
        </w:tc>
        <w:tc>
          <w:tcPr>
            <w:tcW w:w="259"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总价</w:t>
            </w:r>
          </w:p>
        </w:tc>
        <w:tc>
          <w:tcPr>
            <w:tcW w:w="358"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4"/>
                <w:szCs w:val="24"/>
              </w:rPr>
            </w:pPr>
            <w:r>
              <w:rPr>
                <w:b w:val="0"/>
                <w:i w:val="0"/>
                <w:caps w:val="0"/>
                <w:color w:val="auto"/>
                <w:spacing w:val="0"/>
                <w:w w:val="100"/>
                <w:sz w:val="24"/>
                <w:szCs w:val="24"/>
              </w:rPr>
              <w:t>一、</w:t>
            </w:r>
            <w:r>
              <w:rPr>
                <w:rFonts w:hint="eastAsia" w:hAnsi="宋体" w:cs="宋体"/>
                <w:b/>
                <w:bCs/>
                <w:i w:val="0"/>
                <w:caps w:val="0"/>
                <w:color w:val="auto"/>
                <w:spacing w:val="0"/>
                <w:w w:val="100"/>
                <w:sz w:val="21"/>
                <w:szCs w:val="21"/>
              </w:rPr>
              <w:t>气动物流系统材料清单</w:t>
            </w:r>
          </w:p>
        </w:tc>
        <w:tc>
          <w:tcPr>
            <w:tcW w:w="37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30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98"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27"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4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0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35" w:type="pct"/>
            <w:vAlign w:val="center"/>
          </w:tcPr>
          <w:p>
            <w:pPr>
              <w:widowControl/>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74"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0"/>
                <w:szCs w:val="21"/>
              </w:rPr>
            </w:pPr>
            <w:r>
              <w:rPr>
                <w:b w:val="0"/>
                <w:i w:val="0"/>
                <w:caps w:val="0"/>
                <w:color w:val="auto"/>
                <w:spacing w:val="0"/>
                <w:w w:val="100"/>
                <w:sz w:val="21"/>
                <w:szCs w:val="21"/>
              </w:rPr>
              <w:t>以下按清单内容填写</w:t>
            </w:r>
          </w:p>
        </w:tc>
        <w:tc>
          <w:tcPr>
            <w:tcW w:w="37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30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98"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27"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4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0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35"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74"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4"/>
                <w:szCs w:val="24"/>
              </w:rPr>
            </w:pPr>
            <w:r>
              <w:rPr>
                <w:rFonts w:hint="eastAsia" w:hAnsi="宋体" w:cs="宋体"/>
                <w:b/>
                <w:bCs/>
                <w:i w:val="0"/>
                <w:caps w:val="0"/>
                <w:color w:val="auto"/>
                <w:spacing w:val="0"/>
                <w:w w:val="100"/>
                <w:sz w:val="21"/>
                <w:szCs w:val="21"/>
              </w:rPr>
              <w:t>二、中型箱式物流系统清单</w:t>
            </w:r>
          </w:p>
        </w:tc>
        <w:tc>
          <w:tcPr>
            <w:tcW w:w="37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30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98"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27"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4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0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35"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74"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4"/>
                <w:szCs w:val="24"/>
              </w:rPr>
            </w:pPr>
            <w:r>
              <w:rPr>
                <w:b w:val="0"/>
                <w:i w:val="0"/>
                <w:caps w:val="0"/>
                <w:color w:val="auto"/>
                <w:spacing w:val="0"/>
                <w:w w:val="100"/>
                <w:sz w:val="21"/>
                <w:szCs w:val="21"/>
              </w:rPr>
              <w:t>以下按清单内容填写</w:t>
            </w:r>
          </w:p>
        </w:tc>
        <w:tc>
          <w:tcPr>
            <w:tcW w:w="37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30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98"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27"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4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0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35"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74"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4"/>
                <w:szCs w:val="24"/>
              </w:rPr>
            </w:pPr>
            <w:r>
              <w:rPr>
                <w:b w:val="0"/>
                <w:i w:val="0"/>
                <w:caps w:val="0"/>
                <w:color w:val="auto"/>
                <w:spacing w:val="0"/>
                <w:w w:val="100"/>
                <w:sz w:val="24"/>
                <w:szCs w:val="24"/>
              </w:rPr>
              <w:t>三、</w:t>
            </w:r>
            <w:r>
              <w:rPr>
                <w:rFonts w:hint="eastAsia" w:hAnsi="宋体" w:cs="宋体"/>
                <w:b/>
                <w:bCs/>
                <w:i w:val="0"/>
                <w:caps w:val="0"/>
                <w:color w:val="auto"/>
                <w:spacing w:val="0"/>
                <w:w w:val="100"/>
                <w:sz w:val="21"/>
                <w:szCs w:val="21"/>
              </w:rPr>
              <w:t>物流工程配套设备清单</w:t>
            </w:r>
          </w:p>
        </w:tc>
        <w:tc>
          <w:tcPr>
            <w:tcW w:w="37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30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98"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27"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4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0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35"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74"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4"/>
                <w:szCs w:val="24"/>
              </w:rPr>
            </w:pPr>
            <w:r>
              <w:rPr>
                <w:b w:val="0"/>
                <w:i w:val="0"/>
                <w:caps w:val="0"/>
                <w:color w:val="auto"/>
                <w:spacing w:val="0"/>
                <w:w w:val="100"/>
                <w:sz w:val="21"/>
                <w:szCs w:val="21"/>
              </w:rPr>
              <w:t>以下按清单内容填写</w:t>
            </w:r>
          </w:p>
        </w:tc>
        <w:tc>
          <w:tcPr>
            <w:tcW w:w="37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30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98"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27"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4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0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35"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74"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0"/>
                <w:szCs w:val="21"/>
              </w:rPr>
            </w:pPr>
            <w:r>
              <w:rPr>
                <w:rFonts w:hAnsi="宋体" w:cs="宋体"/>
                <w:b/>
                <w:bCs/>
                <w:i w:val="0"/>
                <w:caps w:val="0"/>
                <w:color w:val="auto"/>
                <w:spacing w:val="0"/>
                <w:w w:val="100"/>
                <w:sz w:val="21"/>
                <w:szCs w:val="21"/>
              </w:rPr>
              <w:t>四、其他清单</w:t>
            </w:r>
          </w:p>
        </w:tc>
        <w:tc>
          <w:tcPr>
            <w:tcW w:w="37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30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98"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27"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4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0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35"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74"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0"/>
                <w:szCs w:val="21"/>
              </w:rPr>
            </w:pPr>
            <w:r>
              <w:rPr>
                <w:b w:val="0"/>
                <w:i w:val="0"/>
                <w:caps w:val="0"/>
                <w:color w:val="auto"/>
                <w:spacing w:val="0"/>
                <w:w w:val="100"/>
                <w:sz w:val="21"/>
                <w:szCs w:val="21"/>
              </w:rPr>
              <w:t>以下内容由投标单位自行填写</w:t>
            </w:r>
          </w:p>
        </w:tc>
        <w:tc>
          <w:tcPr>
            <w:tcW w:w="37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00"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30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98"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27"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43"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500"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35"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474" w:type="pct"/>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0"/>
                <w:szCs w:val="21"/>
              </w:rPr>
            </w:pPr>
            <w:r>
              <w:rPr>
                <w:rFonts w:hint="eastAsia" w:ascii="宋体" w:hAnsi="宋体" w:cs="宋体"/>
                <w:b w:val="0"/>
                <w:bCs/>
                <w:i w:val="0"/>
                <w:caps w:val="0"/>
                <w:color w:val="auto"/>
                <w:spacing w:val="0"/>
                <w:w w:val="100"/>
                <w:sz w:val="21"/>
                <w:szCs w:val="21"/>
                <w:shd w:val="clear" w:color="FFFFFF" w:fill="D9D9D9"/>
              </w:rPr>
              <w:t>穿越所有楼地面、墙面的管线所用金属套管费用</w:t>
            </w:r>
          </w:p>
        </w:tc>
        <w:tc>
          <w:tcPr>
            <w:tcW w:w="3650" w:type="pct"/>
            <w:gridSpan w:val="9"/>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i w:val="0"/>
                <w:caps w:val="0"/>
                <w:color w:val="auto"/>
                <w:spacing w:val="0"/>
                <w:w w:val="100"/>
                <w:sz w:val="20"/>
                <w:szCs w:val="21"/>
              </w:rPr>
            </w:pPr>
            <w:r>
              <w:rPr>
                <w:rStyle w:val="43"/>
                <w:rFonts w:hint="eastAsia" w:ascii="宋体" w:hAnsi="宋体" w:cs="宋体"/>
                <w:b w:val="0"/>
                <w:i w:val="0"/>
                <w:caps w:val="0"/>
                <w:color w:val="auto"/>
                <w:spacing w:val="0"/>
                <w:w w:val="100"/>
                <w:sz w:val="21"/>
              </w:rPr>
              <w:t>2年质保期内驻场人员费用</w:t>
            </w:r>
          </w:p>
        </w:tc>
        <w:tc>
          <w:tcPr>
            <w:tcW w:w="3650" w:type="pct"/>
            <w:gridSpan w:val="9"/>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i w:val="0"/>
                <w:caps w:val="0"/>
                <w:color w:val="auto"/>
                <w:spacing w:val="0"/>
                <w:w w:val="100"/>
                <w:sz w:val="20"/>
                <w:szCs w:val="21"/>
              </w:rPr>
            </w:pPr>
            <w:r>
              <w:rPr>
                <w:rStyle w:val="43"/>
                <w:rFonts w:hint="eastAsia" w:ascii="宋体" w:hAnsi="宋体" w:cs="宋体"/>
                <w:b w:val="0"/>
                <w:i w:val="0"/>
                <w:caps w:val="0"/>
                <w:color w:val="auto"/>
                <w:spacing w:val="0"/>
                <w:w w:val="100"/>
                <w:sz w:val="21"/>
              </w:rPr>
              <w:t>质保优惠期内驻场人员费用</w:t>
            </w:r>
          </w:p>
        </w:tc>
        <w:tc>
          <w:tcPr>
            <w:tcW w:w="3650" w:type="pct"/>
            <w:gridSpan w:val="9"/>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优惠期</w:t>
            </w:r>
            <w:r>
              <w:rPr>
                <w:rFonts w:hint="eastAsia"/>
                <w:b w:val="0"/>
                <w:i w:val="0"/>
                <w:caps w:val="0"/>
                <w:color w:val="auto"/>
                <w:spacing w:val="0"/>
                <w:w w:val="100"/>
                <w:sz w:val="24"/>
                <w:szCs w:val="24"/>
                <w:u w:val="single" w:color="000000"/>
              </w:rPr>
              <w:t xml:space="preserve">    </w:t>
            </w:r>
            <w:r>
              <w:rPr>
                <w:rFonts w:hint="eastAsia"/>
                <w:b w:val="0"/>
                <w:i w:val="0"/>
                <w:caps w:val="0"/>
                <w:color w:val="auto"/>
                <w:spacing w:val="0"/>
                <w:w w:val="100"/>
                <w:sz w:val="24"/>
                <w:szCs w:val="24"/>
              </w:rPr>
              <w:t>年×</w:t>
            </w:r>
            <w:r>
              <w:rPr>
                <w:rFonts w:hint="eastAsia"/>
                <w:b w:val="0"/>
                <w:i w:val="0"/>
                <w:caps w:val="0"/>
                <w:color w:val="auto"/>
                <w:spacing w:val="0"/>
                <w:w w:val="100"/>
                <w:sz w:val="24"/>
                <w:szCs w:val="24"/>
                <w:u w:val="single" w:color="000000"/>
              </w:rPr>
              <w:t xml:space="preserve">   </w:t>
            </w:r>
            <w:r>
              <w:rPr>
                <w:rFonts w:hint="eastAsia"/>
                <w:b w:val="0"/>
                <w:i w:val="0"/>
                <w:caps w:val="0"/>
                <w:color w:val="auto"/>
                <w:spacing w:val="0"/>
                <w:w w:val="100"/>
                <w:sz w:val="24"/>
                <w:szCs w:val="24"/>
              </w:rPr>
              <w:t>人</w:t>
            </w: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center"/>
              <w:textAlignment w:val="baseline"/>
              <w:rPr>
                <w:b/>
                <w:i w:val="0"/>
                <w:caps w:val="0"/>
                <w:color w:val="auto"/>
                <w:spacing w:val="0"/>
                <w:w w:val="100"/>
                <w:sz w:val="20"/>
                <w:szCs w:val="21"/>
              </w:rPr>
            </w:pPr>
            <w:r>
              <w:rPr>
                <w:b/>
                <w:i w:val="0"/>
                <w:caps w:val="0"/>
                <w:color w:val="auto"/>
                <w:spacing w:val="0"/>
                <w:w w:val="100"/>
                <w:sz w:val="21"/>
                <w:szCs w:val="21"/>
              </w:rPr>
              <w:t>（</w:t>
            </w:r>
            <w:r>
              <w:rPr>
                <w:rFonts w:hint="eastAsia"/>
                <w:b/>
                <w:i w:val="0"/>
                <w:caps w:val="0"/>
                <w:color w:val="auto"/>
                <w:spacing w:val="0"/>
                <w:w w:val="100"/>
                <w:sz w:val="21"/>
                <w:szCs w:val="21"/>
              </w:rPr>
              <w:t>1</w:t>
            </w:r>
            <w:r>
              <w:rPr>
                <w:b/>
                <w:i w:val="0"/>
                <w:caps w:val="0"/>
                <w:color w:val="auto"/>
                <w:spacing w:val="0"/>
                <w:w w:val="100"/>
                <w:sz w:val="21"/>
                <w:szCs w:val="21"/>
              </w:rPr>
              <w:t>）小</w:t>
            </w:r>
            <w:r>
              <w:rPr>
                <w:rFonts w:hint="eastAsia"/>
                <w:b/>
                <w:i w:val="0"/>
                <w:caps w:val="0"/>
                <w:color w:val="auto"/>
                <w:spacing w:val="0"/>
                <w:w w:val="100"/>
                <w:sz w:val="21"/>
                <w:szCs w:val="21"/>
              </w:rPr>
              <w:t xml:space="preserve">  </w:t>
            </w:r>
            <w:r>
              <w:rPr>
                <w:b/>
                <w:i w:val="0"/>
                <w:caps w:val="0"/>
                <w:color w:val="auto"/>
                <w:spacing w:val="0"/>
                <w:w w:val="100"/>
                <w:sz w:val="21"/>
                <w:szCs w:val="21"/>
              </w:rPr>
              <w:t>计</w:t>
            </w:r>
          </w:p>
        </w:tc>
        <w:tc>
          <w:tcPr>
            <w:tcW w:w="3650" w:type="pct"/>
            <w:gridSpan w:val="9"/>
            <w:vAlign w:val="center"/>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b w:val="0"/>
                <w:i w:val="0"/>
                <w:caps w:val="0"/>
                <w:color w:val="auto"/>
                <w:spacing w:val="0"/>
                <w:w w:val="100"/>
                <w:sz w:val="20"/>
                <w:szCs w:val="21"/>
              </w:rPr>
            </w:pPr>
            <w:r>
              <w:rPr>
                <w:rStyle w:val="43"/>
                <w:rFonts w:hint="eastAsia" w:ascii="宋体" w:hAnsi="宋体" w:cs="宋体"/>
                <w:b w:val="0"/>
                <w:i w:val="0"/>
                <w:caps w:val="0"/>
                <w:color w:val="auto"/>
                <w:spacing w:val="0"/>
                <w:w w:val="100"/>
                <w:sz w:val="21"/>
              </w:rPr>
              <w:t>（2）现场必须发生费用</w:t>
            </w:r>
          </w:p>
        </w:tc>
        <w:tc>
          <w:tcPr>
            <w:tcW w:w="3650" w:type="pct"/>
            <w:gridSpan w:val="9"/>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b w:val="0"/>
                <w:i w:val="0"/>
                <w:caps w:val="0"/>
                <w:color w:val="auto"/>
                <w:spacing w:val="0"/>
                <w:w w:val="100"/>
                <w:sz w:val="24"/>
                <w:szCs w:val="24"/>
              </w:rPr>
              <w:t>（</w:t>
            </w:r>
            <w:r>
              <w:rPr>
                <w:rFonts w:hint="eastAsia"/>
                <w:b w:val="0"/>
                <w:i w:val="0"/>
                <w:caps w:val="0"/>
                <w:color w:val="auto"/>
                <w:spacing w:val="0"/>
                <w:w w:val="100"/>
                <w:sz w:val="24"/>
                <w:szCs w:val="24"/>
              </w:rPr>
              <w:t>1</w:t>
            </w:r>
            <w:r>
              <w:rPr>
                <w:b w:val="0"/>
                <w:i w:val="0"/>
                <w:caps w:val="0"/>
                <w:color w:val="auto"/>
                <w:spacing w:val="0"/>
                <w:w w:val="100"/>
                <w:sz w:val="24"/>
                <w:szCs w:val="24"/>
              </w:rPr>
              <w:t>）</w:t>
            </w:r>
            <w:r>
              <w:rPr>
                <w:rFonts w:hint="eastAsia"/>
                <w:b w:val="0"/>
                <w:i w:val="0"/>
                <w:caps w:val="0"/>
                <w:color w:val="auto"/>
                <w:spacing w:val="0"/>
                <w:w w:val="100"/>
                <w:sz w:val="24"/>
                <w:szCs w:val="24"/>
              </w:rPr>
              <w:t>×</w:t>
            </w:r>
            <w:r>
              <w:rPr>
                <w:rFonts w:hint="eastAsia"/>
                <w:b w:val="0"/>
                <w:i w:val="0"/>
                <w:caps w:val="0"/>
                <w:color w:val="auto"/>
                <w:spacing w:val="0"/>
                <w:w w:val="100"/>
                <w:sz w:val="24"/>
                <w:szCs w:val="24"/>
                <w:u w:val="single" w:color="000000"/>
              </w:rPr>
              <w:t xml:space="preserve">    </w:t>
            </w:r>
            <w:r>
              <w:rPr>
                <w:rFonts w:hint="eastAsia"/>
                <w:b w:val="0"/>
                <w:i w:val="0"/>
                <w:caps w:val="0"/>
                <w:color w:val="auto"/>
                <w:spacing w:val="0"/>
                <w:w w:val="100"/>
                <w:sz w:val="24"/>
                <w:szCs w:val="24"/>
              </w:rPr>
              <w:t>%</w:t>
            </w: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ind w:right="-39"/>
              <w:jc w:val="left"/>
              <w:textAlignment w:val="baseline"/>
              <w:rPr>
                <w:b w:val="0"/>
                <w:i w:val="0"/>
                <w:caps w:val="0"/>
                <w:color w:val="auto"/>
                <w:spacing w:val="0"/>
                <w:w w:val="100"/>
                <w:sz w:val="24"/>
                <w:szCs w:val="24"/>
              </w:rPr>
            </w:pPr>
            <w:r>
              <w:rPr>
                <w:rFonts w:hint="eastAsia"/>
                <w:b w:val="0"/>
                <w:i w:val="0"/>
                <w:caps w:val="0"/>
                <w:color w:val="auto"/>
                <w:spacing w:val="0"/>
                <w:w w:val="100"/>
                <w:sz w:val="21"/>
                <w:szCs w:val="21"/>
              </w:rPr>
              <w:t>填报费率不得低于4%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156" w:type="pct"/>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p>
        </w:tc>
        <w:tc>
          <w:tcPr>
            <w:tcW w:w="577" w:type="pct"/>
            <w:vAlign w:val="center"/>
          </w:tcPr>
          <w:p>
            <w:pPr>
              <w:tabs>
                <w:tab w:val="left" w:pos="1800"/>
              </w:tabs>
              <w:snapToGrid w:val="0"/>
              <w:spacing w:before="0" w:beforeAutospacing="0" w:after="0" w:afterAutospacing="0" w:line="240" w:lineRule="auto"/>
              <w:jc w:val="both"/>
              <w:textAlignment w:val="baseline"/>
              <w:rPr>
                <w:rStyle w:val="43"/>
                <w:rFonts w:ascii="宋体" w:hAnsi="宋体" w:cs="宋体"/>
                <w:b w:val="0"/>
                <w:i w:val="0"/>
                <w:caps w:val="0"/>
                <w:color w:val="auto"/>
                <w:spacing w:val="0"/>
                <w:w w:val="100"/>
                <w:sz w:val="21"/>
              </w:rPr>
            </w:pPr>
            <w:r>
              <w:rPr>
                <w:rStyle w:val="43"/>
                <w:rFonts w:hint="eastAsia" w:ascii="宋体" w:hAnsi="宋体" w:cs="宋体"/>
                <w:b w:val="0"/>
                <w:i w:val="0"/>
                <w:caps w:val="0"/>
                <w:color w:val="auto"/>
                <w:spacing w:val="0"/>
                <w:w w:val="100"/>
                <w:sz w:val="21"/>
              </w:rPr>
              <w:t>不可预见费</w:t>
            </w:r>
          </w:p>
        </w:tc>
        <w:tc>
          <w:tcPr>
            <w:tcW w:w="3650" w:type="pct"/>
            <w:gridSpan w:val="9"/>
            <w:vAlign w:val="center"/>
          </w:tcPr>
          <w:p>
            <w:pPr>
              <w:tabs>
                <w:tab w:val="left" w:pos="1800"/>
              </w:tabs>
              <w:snapToGrid w:val="0"/>
              <w:spacing w:before="0" w:beforeAutospacing="0" w:after="0" w:afterAutospacing="0" w:line="240" w:lineRule="auto"/>
              <w:jc w:val="center"/>
              <w:textAlignment w:val="baseline"/>
              <w:rPr>
                <w:b w:val="0"/>
                <w:i w:val="0"/>
                <w:caps w:val="0"/>
                <w:color w:val="auto"/>
                <w:spacing w:val="0"/>
                <w:w w:val="100"/>
                <w:sz w:val="24"/>
                <w:szCs w:val="24"/>
              </w:rPr>
            </w:pPr>
            <w:r>
              <w:rPr>
                <w:rFonts w:hint="eastAsia"/>
                <w:b w:val="0"/>
                <w:i w:val="0"/>
                <w:caps w:val="0"/>
                <w:color w:val="auto"/>
                <w:spacing w:val="0"/>
                <w:w w:val="100"/>
                <w:sz w:val="24"/>
                <w:szCs w:val="24"/>
              </w:rPr>
              <w:t>[（1）+（2）]× 3 %</w:t>
            </w:r>
          </w:p>
        </w:tc>
        <w:tc>
          <w:tcPr>
            <w:tcW w:w="259"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c>
          <w:tcPr>
            <w:tcW w:w="358" w:type="pct"/>
          </w:tcPr>
          <w:p>
            <w:pPr>
              <w:tabs>
                <w:tab w:val="left" w:pos="1800"/>
              </w:tabs>
              <w:snapToGrid w:val="0"/>
              <w:spacing w:before="0" w:beforeAutospacing="0" w:after="0" w:afterAutospacing="0" w:line="240" w:lineRule="auto"/>
              <w:jc w:val="left"/>
              <w:textAlignment w:val="baseline"/>
              <w:rPr>
                <w:b w:val="0"/>
                <w:i w:val="0"/>
                <w:caps w:val="0"/>
                <w:color w:val="auto"/>
                <w:spacing w:val="0"/>
                <w:w w:val="1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4" w:hRule="atLeast"/>
          <w:jc w:val="center"/>
        </w:trPr>
        <w:tc>
          <w:tcPr>
            <w:tcW w:w="1103" w:type="pct"/>
            <w:gridSpan w:val="3"/>
            <w:vAlign w:val="center"/>
          </w:tcPr>
          <w:p>
            <w:pPr>
              <w:tabs>
                <w:tab w:val="left" w:pos="1800"/>
              </w:tabs>
              <w:snapToGrid w:val="0"/>
              <w:spacing w:before="0" w:beforeAutospacing="0" w:after="0" w:afterAutospacing="0" w:line="240" w:lineRule="auto"/>
              <w:jc w:val="left"/>
              <w:textAlignment w:val="baseline"/>
              <w:rPr>
                <w:b/>
                <w:i w:val="0"/>
                <w:caps w:val="0"/>
                <w:color w:val="auto"/>
                <w:spacing w:val="0"/>
                <w:w w:val="100"/>
                <w:sz w:val="24"/>
                <w:szCs w:val="24"/>
              </w:rPr>
            </w:pPr>
            <w:r>
              <w:rPr>
                <w:rFonts w:hint="eastAsia"/>
                <w:b/>
                <w:i w:val="0"/>
                <w:caps w:val="0"/>
                <w:color w:val="auto"/>
                <w:spacing w:val="0"/>
                <w:w w:val="100"/>
                <w:sz w:val="24"/>
                <w:szCs w:val="24"/>
              </w:rPr>
              <w:t>投标总价合计</w:t>
            </w:r>
          </w:p>
        </w:tc>
        <w:tc>
          <w:tcPr>
            <w:tcW w:w="3541" w:type="pct"/>
            <w:gridSpan w:val="9"/>
            <w:vAlign w:val="center"/>
          </w:tcPr>
          <w:p>
            <w:pPr>
              <w:tabs>
                <w:tab w:val="left" w:pos="1800"/>
              </w:tabs>
              <w:snapToGrid w:val="0"/>
              <w:spacing w:before="0" w:beforeAutospacing="0" w:after="0" w:afterAutospacing="0" w:line="360" w:lineRule="auto"/>
              <w:jc w:val="left"/>
              <w:textAlignment w:val="baseline"/>
              <w:rPr>
                <w:b/>
                <w:i w:val="0"/>
                <w:caps w:val="0"/>
                <w:color w:val="auto"/>
                <w:spacing w:val="0"/>
                <w:w w:val="100"/>
                <w:sz w:val="24"/>
                <w:szCs w:val="24"/>
              </w:rPr>
            </w:pPr>
            <w:r>
              <w:rPr>
                <w:rFonts w:hint="eastAsia"/>
                <w:b/>
                <w:i w:val="0"/>
                <w:caps w:val="0"/>
                <w:color w:val="auto"/>
                <w:spacing w:val="0"/>
                <w:w w:val="100"/>
                <w:sz w:val="24"/>
                <w:szCs w:val="24"/>
              </w:rPr>
              <w:t>小写：</w:t>
            </w:r>
            <w:r>
              <w:rPr>
                <w:rFonts w:hint="eastAsia"/>
                <w:b w:val="0"/>
                <w:i w:val="0"/>
                <w:caps w:val="0"/>
                <w:color w:val="auto"/>
                <w:spacing w:val="0"/>
                <w:w w:val="100"/>
                <w:sz w:val="20"/>
                <w:szCs w:val="20"/>
                <w:u w:val="single" w:color="000000"/>
              </w:rPr>
              <w:t xml:space="preserve">                     </w:t>
            </w:r>
            <w:r>
              <w:rPr>
                <w:rFonts w:hint="eastAsia"/>
                <w:b/>
                <w:i w:val="0"/>
                <w:caps w:val="0"/>
                <w:color w:val="auto"/>
                <w:spacing w:val="0"/>
                <w:w w:val="100"/>
                <w:sz w:val="24"/>
                <w:szCs w:val="24"/>
              </w:rPr>
              <w:t>（其中改建区</w:t>
            </w:r>
            <w:r>
              <w:rPr>
                <w:rFonts w:hint="eastAsia"/>
                <w:b/>
                <w:i w:val="0"/>
                <w:caps w:val="0"/>
                <w:color w:val="auto"/>
                <w:spacing w:val="0"/>
                <w:w w:val="100"/>
                <w:sz w:val="24"/>
                <w:szCs w:val="24"/>
                <w:u w:val="single" w:color="000000"/>
              </w:rPr>
              <w:t xml:space="preserve">     </w:t>
            </w:r>
            <w:r>
              <w:rPr>
                <w:rFonts w:hint="eastAsia"/>
                <w:b/>
                <w:i w:val="0"/>
                <w:caps w:val="0"/>
                <w:color w:val="auto"/>
                <w:spacing w:val="0"/>
                <w:w w:val="100"/>
                <w:sz w:val="24"/>
                <w:szCs w:val="24"/>
              </w:rPr>
              <w:t>、扩建区</w:t>
            </w:r>
            <w:r>
              <w:rPr>
                <w:rFonts w:hint="eastAsia"/>
                <w:b/>
                <w:i w:val="0"/>
                <w:caps w:val="0"/>
                <w:color w:val="auto"/>
                <w:spacing w:val="0"/>
                <w:w w:val="100"/>
                <w:sz w:val="24"/>
                <w:szCs w:val="24"/>
                <w:u w:val="single" w:color="000000"/>
              </w:rPr>
              <w:t xml:space="preserve">     </w:t>
            </w:r>
            <w:r>
              <w:rPr>
                <w:rFonts w:hint="eastAsia"/>
                <w:b/>
                <w:i w:val="0"/>
                <w:caps w:val="0"/>
                <w:color w:val="auto"/>
                <w:spacing w:val="0"/>
                <w:w w:val="100"/>
                <w:sz w:val="24"/>
                <w:szCs w:val="24"/>
              </w:rPr>
              <w:t>，如中标后经招标人核实出入较大，则按核实后的改建区价格和扩建区价格进行调整。）</w:t>
            </w:r>
          </w:p>
        </w:tc>
        <w:tc>
          <w:tcPr>
            <w:tcW w:w="356" w:type="pct"/>
            <w:vAlign w:val="center"/>
          </w:tcPr>
          <w:p>
            <w:pPr>
              <w:tabs>
                <w:tab w:val="left" w:pos="1800"/>
              </w:tabs>
              <w:snapToGrid w:val="0"/>
              <w:spacing w:before="0" w:beforeAutospacing="0" w:after="0" w:afterAutospacing="0" w:line="240" w:lineRule="exact"/>
              <w:ind w:right="-39"/>
              <w:jc w:val="left"/>
              <w:textAlignment w:val="baseline"/>
              <w:rPr>
                <w:b/>
                <w:i w:val="0"/>
                <w:caps w:val="0"/>
                <w:color w:val="auto"/>
                <w:spacing w:val="0"/>
                <w:w w:val="100"/>
                <w:sz w:val="24"/>
                <w:szCs w:val="24"/>
              </w:rPr>
            </w:pPr>
            <w:r>
              <w:rPr>
                <w:rFonts w:hint="eastAsia"/>
                <w:b w:val="0"/>
                <w:i w:val="0"/>
                <w:caps w:val="0"/>
                <w:color w:val="auto"/>
                <w:spacing w:val="0"/>
                <w:w w:val="100"/>
                <w:sz w:val="21"/>
                <w:szCs w:val="21"/>
              </w:rPr>
              <w:t>报价最多精确到小数点后两位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0" w:hRule="atLeast"/>
          <w:jc w:val="center"/>
        </w:trPr>
        <w:tc>
          <w:tcPr>
            <w:tcW w:w="1103" w:type="pct"/>
            <w:gridSpan w:val="3"/>
            <w:vAlign w:val="center"/>
          </w:tcPr>
          <w:p>
            <w:pPr>
              <w:tabs>
                <w:tab w:val="left" w:pos="1800"/>
              </w:tabs>
              <w:snapToGrid w:val="0"/>
              <w:spacing w:before="0" w:beforeAutospacing="0" w:after="0" w:afterAutospacing="0" w:line="240" w:lineRule="auto"/>
              <w:jc w:val="left"/>
              <w:textAlignment w:val="baseline"/>
              <w:rPr>
                <w:b/>
                <w:i w:val="0"/>
                <w:caps w:val="0"/>
                <w:color w:val="auto"/>
                <w:spacing w:val="0"/>
                <w:w w:val="100"/>
                <w:sz w:val="24"/>
                <w:szCs w:val="24"/>
                <w:u w:val="single" w:color="FF0000"/>
              </w:rPr>
            </w:pPr>
            <w:r>
              <w:rPr>
                <w:rFonts w:hint="eastAsia"/>
                <w:b/>
                <w:i w:val="0"/>
                <w:caps w:val="0"/>
                <w:color w:val="auto"/>
                <w:spacing w:val="0"/>
                <w:w w:val="100"/>
                <w:sz w:val="24"/>
                <w:szCs w:val="24"/>
              </w:rPr>
              <w:t>质保期后的维保费用</w:t>
            </w:r>
          </w:p>
        </w:tc>
        <w:tc>
          <w:tcPr>
            <w:tcW w:w="3897" w:type="pct"/>
            <w:gridSpan w:val="10"/>
            <w:vAlign w:val="center"/>
          </w:tcPr>
          <w:p>
            <w:pPr>
              <w:tabs>
                <w:tab w:val="left" w:pos="1800"/>
              </w:tabs>
              <w:snapToGrid w:val="0"/>
              <w:spacing w:before="0" w:beforeAutospacing="0" w:after="0" w:afterAutospacing="0" w:line="240" w:lineRule="auto"/>
              <w:jc w:val="left"/>
              <w:textAlignment w:val="baseline"/>
              <w:rPr>
                <w:b/>
                <w:i w:val="0"/>
                <w:caps w:val="0"/>
                <w:color w:val="auto"/>
                <w:spacing w:val="0"/>
                <w:w w:val="100"/>
                <w:sz w:val="24"/>
                <w:szCs w:val="24"/>
              </w:rPr>
            </w:pPr>
            <w:r>
              <w:rPr>
                <w:rFonts w:hint="eastAsia"/>
                <w:b w:val="0"/>
                <w:i w:val="0"/>
                <w:caps w:val="0"/>
                <w:color w:val="auto"/>
                <w:spacing w:val="0"/>
                <w:w w:val="100"/>
                <w:sz w:val="20"/>
                <w:szCs w:val="20"/>
                <w:u w:val="single" w:color="FF0000"/>
              </w:rPr>
              <w:t xml:space="preserve">                     </w:t>
            </w:r>
            <w:r>
              <w:rPr>
                <w:rFonts w:hint="eastAsia"/>
                <w:b/>
                <w:i w:val="0"/>
                <w:caps w:val="0"/>
                <w:color w:val="auto"/>
                <w:spacing w:val="0"/>
                <w:w w:val="100"/>
                <w:sz w:val="24"/>
                <w:szCs w:val="24"/>
              </w:rPr>
              <w:t>元/年（不计入投标总价）</w:t>
            </w:r>
          </w:p>
        </w:tc>
      </w:tr>
    </w:tbl>
    <w:p>
      <w:pPr>
        <w:keepLines/>
        <w:snapToGrid w:val="0"/>
        <w:spacing w:before="0" w:beforeAutospacing="0" w:after="0" w:afterAutospacing="0" w:line="360" w:lineRule="atLeast"/>
        <w:ind w:firstLine="420" w:firstLineChars="200"/>
        <w:jc w:val="left"/>
        <w:textAlignment w:val="baseline"/>
        <w:rPr>
          <w:b w:val="0"/>
          <w:i w:val="0"/>
          <w:caps w:val="0"/>
          <w:color w:val="auto"/>
          <w:spacing w:val="0"/>
          <w:w w:val="100"/>
          <w:sz w:val="20"/>
          <w:szCs w:val="21"/>
        </w:rPr>
      </w:pPr>
      <w:r>
        <w:rPr>
          <w:rFonts w:hint="eastAsia"/>
          <w:b w:val="0"/>
          <w:i w:val="0"/>
          <w:caps w:val="0"/>
          <w:color w:val="auto"/>
          <w:spacing w:val="0"/>
          <w:w w:val="100"/>
          <w:sz w:val="21"/>
          <w:szCs w:val="21"/>
        </w:rPr>
        <w:t>注：1、投标报价要求详见投标人须知前附表第3.2.4条款。</w:t>
      </w:r>
    </w:p>
    <w:p>
      <w:pPr>
        <w:pStyle w:val="47"/>
        <w:snapToGrid w:val="0"/>
        <w:spacing w:before="0" w:beforeAutospacing="0" w:after="0" w:afterAutospacing="0" w:line="360" w:lineRule="exact"/>
        <w:ind w:firstLine="420" w:firstLineChars="200"/>
        <w:jc w:val="both"/>
        <w:textAlignment w:val="baseline"/>
        <w:rPr>
          <w:rFonts w:ascii="宋体" w:hAnsi="宋体"/>
          <w:b w:val="0"/>
          <w:i w:val="0"/>
          <w:caps w:val="0"/>
          <w:color w:val="auto"/>
          <w:spacing w:val="0"/>
          <w:w w:val="100"/>
          <w:sz w:val="21"/>
          <w:szCs w:val="21"/>
          <w:lang w:val="en-US"/>
        </w:rPr>
      </w:pPr>
      <w:r>
        <w:rPr>
          <w:rFonts w:hint="eastAsia" w:ascii="宋体" w:hAnsi="宋体"/>
          <w:b w:val="0"/>
          <w:i w:val="0"/>
          <w:caps w:val="0"/>
          <w:color w:val="auto"/>
          <w:spacing w:val="0"/>
          <w:w w:val="100"/>
          <w:sz w:val="21"/>
          <w:szCs w:val="21"/>
          <w:lang w:val="en-US"/>
        </w:rPr>
        <w:t>2、第7栏指制造厂运至交货地点全部货物运杂费和保险费，第10栏其它费用包括投标分项报价表中除本表6-9外的所有费用。</w:t>
      </w:r>
    </w:p>
    <w:p>
      <w:pPr>
        <w:pStyle w:val="47"/>
        <w:snapToGrid w:val="0"/>
        <w:spacing w:before="0" w:beforeAutospacing="0" w:after="0" w:afterAutospacing="0" w:line="360" w:lineRule="exact"/>
        <w:ind w:firstLine="420" w:firstLineChars="200"/>
        <w:jc w:val="both"/>
        <w:textAlignment w:val="baseline"/>
        <w:rPr>
          <w:rFonts w:ascii="宋体" w:hAnsi="宋体"/>
          <w:b w:val="0"/>
          <w:i w:val="0"/>
          <w:caps w:val="0"/>
          <w:color w:val="auto"/>
          <w:spacing w:val="0"/>
          <w:w w:val="100"/>
          <w:sz w:val="21"/>
          <w:szCs w:val="21"/>
          <w:lang w:val="en-US"/>
        </w:rPr>
      </w:pPr>
      <w:r>
        <w:rPr>
          <w:rFonts w:hint="eastAsia" w:ascii="宋体" w:hAnsi="宋体"/>
          <w:b w:val="0"/>
          <w:i w:val="0"/>
          <w:caps w:val="0"/>
          <w:color w:val="auto"/>
          <w:spacing w:val="0"/>
          <w:w w:val="100"/>
          <w:sz w:val="21"/>
          <w:szCs w:val="21"/>
          <w:lang w:val="en-US"/>
        </w:rPr>
        <w:t>3、第11栏综合单价=6+7+8+9。</w:t>
      </w:r>
    </w:p>
    <w:p>
      <w:pPr>
        <w:pStyle w:val="47"/>
        <w:snapToGrid w:val="0"/>
        <w:spacing w:before="0" w:beforeAutospacing="0" w:after="0" w:afterAutospacing="0" w:line="360" w:lineRule="exact"/>
        <w:ind w:firstLine="420" w:firstLineChars="200"/>
        <w:jc w:val="both"/>
        <w:textAlignment w:val="baseline"/>
        <w:rPr>
          <w:rFonts w:ascii="宋体" w:hAnsi="宋体"/>
          <w:b w:val="0"/>
          <w:i w:val="0"/>
          <w:caps w:val="0"/>
          <w:color w:val="auto"/>
          <w:spacing w:val="0"/>
          <w:w w:val="100"/>
          <w:sz w:val="21"/>
          <w:szCs w:val="21"/>
          <w:lang w:val="en-US"/>
        </w:rPr>
      </w:pPr>
      <w:r>
        <w:rPr>
          <w:rFonts w:hint="eastAsia" w:ascii="宋体" w:hAnsi="宋体"/>
          <w:b w:val="0"/>
          <w:i w:val="0"/>
          <w:caps w:val="0"/>
          <w:color w:val="auto"/>
          <w:spacing w:val="0"/>
          <w:w w:val="100"/>
          <w:sz w:val="21"/>
          <w:szCs w:val="21"/>
          <w:lang w:val="en-US"/>
        </w:rPr>
        <w:t>4、第12栏合价=5×11项。</w:t>
      </w:r>
    </w:p>
    <w:p>
      <w:pPr>
        <w:pStyle w:val="47"/>
        <w:snapToGrid w:val="0"/>
        <w:spacing w:before="0" w:beforeAutospacing="0" w:after="0" w:afterAutospacing="0" w:line="360" w:lineRule="exact"/>
        <w:ind w:firstLine="420" w:firstLineChars="200"/>
        <w:jc w:val="both"/>
        <w:textAlignment w:val="baseline"/>
        <w:rPr>
          <w:rFonts w:ascii="宋体" w:hAnsi="宋体"/>
          <w:b w:val="0"/>
          <w:i w:val="0"/>
          <w:caps w:val="0"/>
          <w:color w:val="auto"/>
          <w:spacing w:val="0"/>
          <w:w w:val="100"/>
          <w:sz w:val="21"/>
          <w:szCs w:val="21"/>
          <w:lang w:val="en-US"/>
        </w:rPr>
      </w:pPr>
      <w:r>
        <w:rPr>
          <w:rFonts w:hint="eastAsia" w:ascii="宋体" w:hAnsi="宋体"/>
          <w:b w:val="0"/>
          <w:i w:val="0"/>
          <w:caps w:val="0"/>
          <w:color w:val="auto"/>
          <w:spacing w:val="0"/>
          <w:w w:val="100"/>
          <w:sz w:val="21"/>
          <w:szCs w:val="21"/>
          <w:lang w:val="en-US"/>
        </w:rPr>
        <w:t>5、投标总价合计为总价的合计，应与投标函的投标总价一致。</w:t>
      </w:r>
    </w:p>
    <w:p>
      <w:pPr>
        <w:pStyle w:val="47"/>
        <w:snapToGrid w:val="0"/>
        <w:spacing w:before="0" w:beforeAutospacing="0" w:after="0" w:afterAutospacing="0" w:line="360" w:lineRule="exact"/>
        <w:ind w:firstLine="420" w:firstLineChars="200"/>
        <w:jc w:val="both"/>
        <w:textAlignment w:val="baseline"/>
        <w:rPr>
          <w:rFonts w:ascii="宋体" w:hAnsi="宋体"/>
          <w:b w:val="0"/>
          <w:i w:val="0"/>
          <w:caps w:val="0"/>
          <w:color w:val="auto"/>
          <w:spacing w:val="0"/>
          <w:w w:val="100"/>
          <w:sz w:val="21"/>
          <w:szCs w:val="21"/>
          <w:lang w:val="en-US"/>
        </w:rPr>
      </w:pPr>
      <w:r>
        <w:rPr>
          <w:rFonts w:hint="eastAsia" w:ascii="宋体" w:hAnsi="宋体"/>
          <w:b w:val="0"/>
          <w:i w:val="0"/>
          <w:caps w:val="0"/>
          <w:color w:val="auto"/>
          <w:spacing w:val="0"/>
          <w:w w:val="100"/>
          <w:sz w:val="21"/>
          <w:szCs w:val="21"/>
          <w:lang w:val="en-US"/>
        </w:rPr>
        <w:t>6、投标报价表中含价栏目，若无报价的须填“含”、“无”等字样，若出现空白，招标人视为已含在投标报价中。</w:t>
      </w:r>
    </w:p>
    <w:p>
      <w:pPr>
        <w:pStyle w:val="47"/>
        <w:snapToGrid w:val="0"/>
        <w:spacing w:before="0" w:beforeAutospacing="0" w:after="0" w:afterAutospacing="0" w:line="360" w:lineRule="exact"/>
        <w:ind w:firstLine="420" w:firstLineChars="200"/>
        <w:jc w:val="both"/>
        <w:textAlignment w:val="baseline"/>
        <w:rPr>
          <w:rFonts w:ascii="宋体" w:hAnsi="宋体"/>
          <w:b w:val="0"/>
          <w:i w:val="0"/>
          <w:caps w:val="0"/>
          <w:color w:val="auto"/>
          <w:spacing w:val="0"/>
          <w:w w:val="100"/>
          <w:sz w:val="21"/>
          <w:szCs w:val="21"/>
          <w:lang w:val="en-US"/>
        </w:rPr>
      </w:pPr>
      <w:r>
        <w:rPr>
          <w:rFonts w:hint="eastAsia" w:ascii="宋体" w:hAnsi="宋体"/>
          <w:b w:val="0"/>
          <w:i w:val="0"/>
          <w:caps w:val="0"/>
          <w:color w:val="auto"/>
          <w:spacing w:val="0"/>
          <w:w w:val="100"/>
          <w:sz w:val="21"/>
          <w:szCs w:val="21"/>
          <w:lang w:val="en-US"/>
        </w:rPr>
        <w:t>7、如交货货物数量调整时，综合单价不作调整。</w:t>
      </w:r>
    </w:p>
    <w:p>
      <w:pPr>
        <w:pStyle w:val="47"/>
        <w:snapToGrid w:val="0"/>
        <w:spacing w:before="0" w:beforeAutospacing="0" w:after="0" w:afterAutospacing="0" w:line="360" w:lineRule="exact"/>
        <w:ind w:firstLine="420" w:firstLineChars="200"/>
        <w:jc w:val="both"/>
        <w:textAlignment w:val="baseline"/>
        <w:rPr>
          <w:rFonts w:ascii="Times New Roman" w:hAnsi="Times New Roman" w:eastAsia="宋体" w:cs="Times New Roman"/>
          <w:b w:val="0"/>
          <w:i w:val="0"/>
          <w:caps w:val="0"/>
          <w:color w:val="auto"/>
          <w:spacing w:val="0"/>
          <w:w w:val="100"/>
          <w:sz w:val="21"/>
          <w:szCs w:val="21"/>
          <w:lang w:val="en-US"/>
        </w:rPr>
      </w:pPr>
      <w:r>
        <w:rPr>
          <w:rFonts w:hint="eastAsia" w:ascii="宋体" w:hAnsi="宋体"/>
          <w:b w:val="0"/>
          <w:i w:val="0"/>
          <w:caps w:val="0"/>
          <w:color w:val="auto"/>
          <w:spacing w:val="0"/>
          <w:w w:val="100"/>
          <w:sz w:val="21"/>
          <w:szCs w:val="21"/>
          <w:lang w:val="en-US"/>
        </w:rPr>
        <w:t>8、其他清单是投标单位认为</w:t>
      </w:r>
      <w:r>
        <w:rPr>
          <w:rFonts w:hint="eastAsia"/>
          <w:b w:val="0"/>
          <w:i w:val="0"/>
          <w:caps w:val="0"/>
          <w:color w:val="auto"/>
          <w:spacing w:val="0"/>
          <w:w w:val="100"/>
          <w:sz w:val="21"/>
          <w:szCs w:val="21"/>
          <w:lang w:val="en-US"/>
        </w:rPr>
        <w:t>图纸、清单不明确或缺项的内容，以及招标文件要求包含在投标总价中的所有内容的体现。如未填报则视为投标优惠。</w:t>
      </w:r>
    </w:p>
    <w:p>
      <w:pPr>
        <w:pStyle w:val="47"/>
        <w:snapToGrid w:val="0"/>
        <w:spacing w:before="0" w:beforeAutospacing="0" w:after="0" w:afterAutospacing="0" w:line="360" w:lineRule="exact"/>
        <w:ind w:firstLine="420" w:firstLineChars="200"/>
        <w:jc w:val="both"/>
        <w:textAlignment w:val="baseline"/>
        <w:rPr>
          <w:rFonts w:ascii="Times New Roman" w:hAnsi="Times New Roman" w:eastAsia="宋体" w:cs="Times New Roman"/>
          <w:b w:val="0"/>
          <w:i w:val="0"/>
          <w:caps w:val="0"/>
          <w:color w:val="auto"/>
          <w:spacing w:val="0"/>
          <w:w w:val="100"/>
          <w:sz w:val="21"/>
          <w:szCs w:val="21"/>
          <w:lang w:val="en-US"/>
        </w:rPr>
      </w:pPr>
      <w:r>
        <w:rPr>
          <w:rFonts w:hint="eastAsia"/>
          <w:b w:val="0"/>
          <w:i w:val="0"/>
          <w:caps w:val="0"/>
          <w:color w:val="auto"/>
          <w:spacing w:val="0"/>
          <w:w w:val="100"/>
          <w:sz w:val="21"/>
          <w:szCs w:val="21"/>
          <w:lang w:val="en-US"/>
        </w:rPr>
        <w:t>9、</w:t>
      </w:r>
      <w:r>
        <w:rPr>
          <w:rStyle w:val="43"/>
          <w:rFonts w:hint="eastAsia" w:ascii="宋体" w:hAnsi="宋体" w:cs="宋体"/>
          <w:b w:val="0"/>
          <w:i w:val="0"/>
          <w:caps w:val="0"/>
          <w:color w:val="auto"/>
          <w:spacing w:val="0"/>
          <w:w w:val="100"/>
          <w:sz w:val="21"/>
        </w:rPr>
        <w:t>不可预见费为招标范围之外或招标人、中医院有特殊功能要求增加的费用。</w:t>
      </w:r>
    </w:p>
    <w:p>
      <w:pPr>
        <w:pStyle w:val="47"/>
        <w:snapToGrid w:val="0"/>
        <w:spacing w:before="0" w:beforeAutospacing="0" w:after="0" w:afterAutospacing="0" w:line="360" w:lineRule="exact"/>
        <w:ind w:firstLine="420" w:firstLineChars="200"/>
        <w:jc w:val="both"/>
        <w:textAlignment w:val="baseline"/>
        <w:rPr>
          <w:rFonts w:ascii="宋体" w:hAnsi="宋体"/>
          <w:b w:val="0"/>
          <w:i w:val="0"/>
          <w:caps w:val="0"/>
          <w:color w:val="auto"/>
          <w:spacing w:val="0"/>
          <w:w w:val="100"/>
          <w:sz w:val="21"/>
          <w:szCs w:val="21"/>
          <w:lang w:val="en-US"/>
        </w:rPr>
      </w:pPr>
      <w:r>
        <w:rPr>
          <w:rStyle w:val="43"/>
          <w:rFonts w:hint="eastAsia" w:ascii="宋体" w:hAnsi="宋体" w:cs="宋体"/>
          <w:b w:val="0"/>
          <w:i w:val="0"/>
          <w:caps w:val="0"/>
          <w:color w:val="auto"/>
          <w:spacing w:val="0"/>
          <w:w w:val="100"/>
          <w:sz w:val="21"/>
        </w:rPr>
        <w:t>10、</w:t>
      </w:r>
      <w:r>
        <w:rPr>
          <w:rFonts w:hint="eastAsia" w:ascii="宋体" w:hAnsi="宋体"/>
          <w:b w:val="0"/>
          <w:i w:val="0"/>
          <w:caps w:val="0"/>
          <w:color w:val="auto"/>
          <w:spacing w:val="0"/>
          <w:w w:val="100"/>
          <w:sz w:val="21"/>
          <w:szCs w:val="21"/>
        </w:rPr>
        <w:t>表格行数不够，投标人可自行扩展。</w:t>
      </w:r>
    </w:p>
    <w:p>
      <w:pPr>
        <w:pStyle w:val="29"/>
        <w:snapToGrid w:val="0"/>
        <w:spacing w:before="0" w:beforeAutospacing="0" w:after="0" w:afterAutospacing="0" w:line="360" w:lineRule="exact"/>
        <w:ind w:firstLine="0" w:firstLineChars="0"/>
        <w:jc w:val="both"/>
        <w:textAlignment w:val="baseline"/>
        <w:rPr>
          <w:rFonts w:ascii="宋体" w:hAnsi="宋体"/>
          <w:b w:val="0"/>
          <w:i w:val="0"/>
          <w:caps w:val="0"/>
          <w:color w:val="auto"/>
          <w:spacing w:val="0"/>
          <w:w w:val="100"/>
          <w:sz w:val="21"/>
          <w:szCs w:val="21"/>
        </w:rPr>
      </w:pPr>
    </w:p>
    <w:p>
      <w:pPr>
        <w:pStyle w:val="29"/>
        <w:snapToGrid w:val="0"/>
        <w:spacing w:before="0" w:beforeAutospacing="0" w:after="0" w:afterAutospacing="0" w:line="360" w:lineRule="exact"/>
        <w:ind w:firstLine="0" w:firstLineChars="0"/>
        <w:jc w:val="both"/>
        <w:textAlignment w:val="baseline"/>
        <w:rPr>
          <w:rFonts w:ascii="宋体" w:hAnsi="宋体"/>
          <w:b w:val="0"/>
          <w:i w:val="0"/>
          <w:caps w:val="0"/>
          <w:color w:val="auto"/>
          <w:spacing w:val="0"/>
          <w:w w:val="100"/>
          <w:sz w:val="34"/>
          <w:szCs w:val="21"/>
        </w:rPr>
      </w:pPr>
      <w:r>
        <w:rPr>
          <w:rFonts w:hint="eastAsia" w:ascii="宋体" w:hAnsi="宋体"/>
          <w:b w:val="0"/>
          <w:i w:val="0"/>
          <w:caps w:val="0"/>
          <w:color w:val="auto"/>
          <w:spacing w:val="0"/>
          <w:w w:val="100"/>
          <w:sz w:val="21"/>
          <w:szCs w:val="21"/>
        </w:rPr>
        <w:t>投标人：</w:t>
      </w:r>
      <w:r>
        <w:rPr>
          <w:rFonts w:hint="eastAsia" w:ascii="宋体" w:hAnsi="宋体"/>
          <w:b w:val="0"/>
          <w:i w:val="0"/>
          <w:caps w:val="0"/>
          <w:color w:val="auto"/>
          <w:spacing w:val="0"/>
          <w:w w:val="100"/>
          <w:sz w:val="21"/>
          <w:szCs w:val="21"/>
          <w:u w:val="single" w:color="000000"/>
        </w:rPr>
        <w:t xml:space="preserve">           </w:t>
      </w:r>
      <w:r>
        <w:rPr>
          <w:rFonts w:hint="eastAsia" w:ascii="宋体" w:hAnsi="宋体"/>
          <w:b w:val="0"/>
          <w:i w:val="0"/>
          <w:caps w:val="0"/>
          <w:color w:val="auto"/>
          <w:spacing w:val="0"/>
          <w:w w:val="100"/>
          <w:sz w:val="21"/>
          <w:szCs w:val="21"/>
        </w:rPr>
        <w:t>（盖单位公章）</w:t>
      </w:r>
    </w:p>
    <w:p>
      <w:pPr>
        <w:snapToGrid w:val="0"/>
        <w:spacing w:before="0" w:beforeAutospacing="0" w:after="0" w:afterAutospacing="0" w:line="360" w:lineRule="exact"/>
        <w:jc w:val="both"/>
        <w:textAlignment w:val="baseline"/>
        <w:rPr>
          <w:b w:val="0"/>
          <w:i w:val="0"/>
          <w:caps w:val="0"/>
          <w:color w:val="auto"/>
          <w:spacing w:val="0"/>
          <w:w w:val="100"/>
          <w:sz w:val="20"/>
        </w:rPr>
      </w:pPr>
      <w:r>
        <w:rPr>
          <w:rFonts w:hint="eastAsia" w:ascii="宋体" w:hAnsi="宋体"/>
          <w:b w:val="0"/>
          <w:i w:val="0"/>
          <w:caps w:val="0"/>
          <w:color w:val="auto"/>
          <w:spacing w:val="0"/>
          <w:w w:val="100"/>
          <w:sz w:val="21"/>
          <w:szCs w:val="21"/>
        </w:rPr>
        <w:t>法定代表人或其委托代理人：</w:t>
      </w:r>
      <w:r>
        <w:rPr>
          <w:rFonts w:hint="eastAsia" w:ascii="宋体" w:hAnsi="宋体"/>
          <w:b w:val="0"/>
          <w:i w:val="0"/>
          <w:caps w:val="0"/>
          <w:color w:val="auto"/>
          <w:spacing w:val="0"/>
          <w:w w:val="100"/>
          <w:sz w:val="21"/>
          <w:szCs w:val="21"/>
          <w:u w:val="single" w:color="000000"/>
        </w:rPr>
        <w:t xml:space="preserve">          </w:t>
      </w:r>
      <w:r>
        <w:rPr>
          <w:rFonts w:hint="eastAsia" w:ascii="宋体" w:hAnsi="宋体"/>
          <w:b w:val="0"/>
          <w:i w:val="0"/>
          <w:caps w:val="0"/>
          <w:color w:val="auto"/>
          <w:spacing w:val="0"/>
          <w:w w:val="100"/>
          <w:sz w:val="21"/>
          <w:szCs w:val="21"/>
        </w:rPr>
        <w:t xml:space="preserve">（签字或盖章 ） </w:t>
      </w:r>
    </w:p>
    <w:p>
      <w:pPr>
        <w:snapToGrid w:val="0"/>
        <w:spacing w:before="0" w:beforeAutospacing="0" w:after="0" w:afterAutospacing="0" w:line="360" w:lineRule="exact"/>
        <w:jc w:val="both"/>
        <w:textAlignment w:val="baseline"/>
        <w:rPr>
          <w:rFonts w:ascii="宋体" w:hAnsi="宋体"/>
          <w:b w:val="0"/>
          <w:i w:val="0"/>
          <w:caps w:val="0"/>
          <w:color w:val="auto"/>
          <w:spacing w:val="0"/>
          <w:w w:val="100"/>
          <w:sz w:val="20"/>
          <w:szCs w:val="21"/>
        </w:rPr>
      </w:pPr>
      <w:r>
        <w:rPr>
          <w:rFonts w:hint="eastAsia" w:ascii="宋体" w:hAnsi="宋体"/>
          <w:b w:val="0"/>
          <w:i w:val="0"/>
          <w:caps w:val="0"/>
          <w:color w:val="auto"/>
          <w:spacing w:val="0"/>
          <w:w w:val="100"/>
          <w:sz w:val="21"/>
          <w:szCs w:val="21"/>
        </w:rPr>
        <w:t>日期：    年    月    日</w:t>
      </w:r>
    </w:p>
    <w:p>
      <w:pPr>
        <w:pStyle w:val="47"/>
        <w:snapToGrid w:val="0"/>
        <w:spacing w:before="0" w:beforeAutospacing="0" w:after="0" w:afterAutospacing="0" w:line="360" w:lineRule="auto"/>
        <w:ind w:firstLine="0" w:firstLineChars="0"/>
        <w:jc w:val="both"/>
        <w:textAlignment w:val="baseline"/>
        <w:rPr>
          <w:rFonts w:ascii="Times New Roman" w:hAnsi="Times New Roman" w:eastAsia="宋体" w:cs="Times New Roman"/>
          <w:b w:val="0"/>
          <w:i w:val="0"/>
          <w:caps w:val="0"/>
          <w:color w:val="auto"/>
          <w:spacing w:val="0"/>
          <w:w w:val="100"/>
          <w:sz w:val="24"/>
          <w:lang w:val="en-US"/>
        </w:rPr>
        <w:sectPr>
          <w:pgSz w:w="16840" w:h="11907" w:orient="landscape"/>
          <w:pgMar w:top="1440" w:right="1134" w:bottom="1440" w:left="1134" w:header="680" w:footer="680" w:gutter="0"/>
          <w:cols w:space="720" w:num="1"/>
          <w:docGrid w:linePitch="271" w:charSpace="0"/>
        </w:sectPr>
      </w:pPr>
    </w:p>
    <w:p>
      <w:pPr>
        <w:snapToGrid w:val="0"/>
        <w:spacing w:before="156" w:beforeAutospacing="0" w:after="156" w:afterAutospacing="0" w:line="240" w:lineRule="auto"/>
        <w:ind w:firstLine="551" w:firstLineChars="196"/>
        <w:jc w:val="center"/>
        <w:textAlignment w:val="baseline"/>
        <w:rPr>
          <w:rFonts w:ascii="宋体" w:hAnsi="宋体" w:cs="宋体"/>
          <w:b w:val="0"/>
          <w:i w:val="0"/>
          <w:caps w:val="0"/>
          <w:strike/>
          <w:color w:val="auto"/>
          <w:spacing w:val="0"/>
          <w:w w:val="100"/>
          <w:sz w:val="28"/>
          <w:szCs w:val="28"/>
        </w:rPr>
      </w:pPr>
      <w:r>
        <w:rPr>
          <w:rFonts w:hint="eastAsia" w:ascii="宋体" w:hAnsi="宋体" w:cs="宋体"/>
          <w:b/>
          <w:i w:val="0"/>
          <w:caps w:val="0"/>
          <w:strike/>
          <w:color w:val="auto"/>
          <w:spacing w:val="0"/>
          <w:w w:val="100"/>
          <w:sz w:val="28"/>
          <w:szCs w:val="28"/>
        </w:rPr>
        <w:t>投标保证金</w:t>
      </w:r>
    </w:p>
    <w:p>
      <w:pPr>
        <w:snapToGrid w:val="0"/>
        <w:spacing w:before="0" w:beforeAutospacing="0" w:after="0" w:afterAutospacing="0" w:line="360" w:lineRule="exact"/>
        <w:ind w:firstLine="400" w:firstLineChars="200"/>
        <w:jc w:val="both"/>
        <w:textAlignment w:val="baseline"/>
        <w:rPr>
          <w:rFonts w:ascii="宋体" w:hAnsi="宋体"/>
          <w:b w:val="0"/>
          <w:i w:val="0"/>
          <w:caps w:val="0"/>
          <w:strike/>
          <w:color w:val="auto"/>
          <w:spacing w:val="0"/>
          <w:w w:val="100"/>
          <w:sz w:val="20"/>
          <w:szCs w:val="20"/>
        </w:rPr>
      </w:pPr>
      <w:r>
        <w:rPr>
          <w:rFonts w:hint="eastAsia" w:ascii="宋体" w:hAnsi="宋体"/>
          <w:b w:val="0"/>
          <w:i w:val="0"/>
          <w:caps w:val="0"/>
          <w:strike/>
          <w:color w:val="auto"/>
          <w:spacing w:val="0"/>
          <w:w w:val="100"/>
          <w:sz w:val="20"/>
          <w:szCs w:val="20"/>
        </w:rPr>
        <w:t>可采用下列任何一种方式编入投标文件中：</w:t>
      </w:r>
    </w:p>
    <w:p>
      <w:pPr>
        <w:widowControl/>
        <w:numPr>
          <w:ilvl w:val="0"/>
          <w:numId w:val="12"/>
        </w:numPr>
        <w:snapToGrid w:val="0"/>
        <w:spacing w:before="0" w:beforeAutospacing="0" w:after="0" w:afterAutospacing="0" w:line="360" w:lineRule="exact"/>
        <w:ind w:left="0" w:firstLine="400" w:firstLineChars="200"/>
        <w:jc w:val="left"/>
        <w:textAlignment w:val="baseline"/>
        <w:rPr>
          <w:rFonts w:ascii="宋体" w:hAnsi="宋体"/>
          <w:b w:val="0"/>
          <w:i w:val="0"/>
          <w:caps w:val="0"/>
          <w:strike/>
          <w:color w:val="auto"/>
          <w:spacing w:val="0"/>
          <w:w w:val="100"/>
          <w:sz w:val="20"/>
          <w:szCs w:val="20"/>
        </w:rPr>
      </w:pPr>
      <w:r>
        <w:rPr>
          <w:rFonts w:hint="eastAsia" w:ascii="宋体" w:hAnsi="宋体"/>
          <w:b w:val="0"/>
          <w:i w:val="0"/>
          <w:caps w:val="0"/>
          <w:strike/>
          <w:color w:val="auto"/>
          <w:spacing w:val="0"/>
          <w:w w:val="100"/>
          <w:sz w:val="20"/>
          <w:szCs w:val="20"/>
        </w:rPr>
        <w:t>银行转账：柜面转账（电汇）、网银支付的相关凭据复印件，以及基本账户开户证明复印件；</w:t>
      </w:r>
    </w:p>
    <w:p>
      <w:pPr>
        <w:widowControl/>
        <w:numPr>
          <w:ilvl w:val="0"/>
          <w:numId w:val="12"/>
        </w:numPr>
        <w:snapToGrid w:val="0"/>
        <w:spacing w:before="0" w:beforeAutospacing="0" w:after="0" w:afterAutospacing="0" w:line="360" w:lineRule="exact"/>
        <w:ind w:left="0" w:firstLine="400" w:firstLineChars="200"/>
        <w:jc w:val="left"/>
        <w:textAlignment w:val="baseline"/>
        <w:rPr>
          <w:b w:val="0"/>
          <w:i w:val="0"/>
          <w:caps w:val="0"/>
          <w:strike/>
          <w:color w:val="auto"/>
          <w:spacing w:val="0"/>
          <w:w w:val="100"/>
          <w:sz w:val="20"/>
          <w:szCs w:val="20"/>
        </w:rPr>
      </w:pPr>
      <w:r>
        <w:rPr>
          <w:rFonts w:hint="eastAsia" w:ascii="宋体" w:hAnsi="宋体"/>
          <w:b w:val="0"/>
          <w:i w:val="0"/>
          <w:caps w:val="0"/>
          <w:strike/>
          <w:color w:val="auto"/>
          <w:spacing w:val="0"/>
          <w:w w:val="100"/>
          <w:sz w:val="20"/>
          <w:szCs w:val="20"/>
        </w:rPr>
        <w:t>保证金联保：在省公共资源交易中心“招投标银保通”平台显示“已关联” 复印件；</w:t>
      </w:r>
    </w:p>
    <w:p>
      <w:pPr>
        <w:widowControl/>
        <w:snapToGrid w:val="0"/>
        <w:spacing w:before="0" w:beforeAutospacing="0" w:after="0" w:afterAutospacing="0" w:line="360" w:lineRule="exact"/>
        <w:ind w:firstLine="400" w:firstLineChars="200"/>
        <w:jc w:val="left"/>
        <w:textAlignment w:val="baseline"/>
        <w:rPr>
          <w:b w:val="0"/>
          <w:i w:val="0"/>
          <w:caps w:val="0"/>
          <w:strike/>
          <w:color w:val="auto"/>
          <w:spacing w:val="0"/>
          <w:w w:val="100"/>
          <w:sz w:val="20"/>
          <w:szCs w:val="20"/>
        </w:rPr>
      </w:pPr>
      <w:r>
        <w:rPr>
          <w:rFonts w:hint="eastAsia" w:ascii="宋体" w:hAnsi="宋体"/>
          <w:b w:val="0"/>
          <w:i w:val="0"/>
          <w:caps w:val="0"/>
          <w:strike/>
          <w:color w:val="auto"/>
          <w:spacing w:val="0"/>
          <w:w w:val="100"/>
          <w:sz w:val="20"/>
          <w:szCs w:val="20"/>
        </w:rPr>
        <w:t>银行保函：“招投标银保通”平台认可的银行保函复印件</w:t>
      </w: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p>
    <w:p>
      <w:pPr>
        <w:pStyle w:val="3"/>
        <w:snapToGrid w:val="0"/>
        <w:spacing w:before="120" w:beforeAutospacing="0" w:after="120" w:afterAutospacing="0" w:line="400" w:lineRule="exact"/>
        <w:jc w:val="center"/>
        <w:textAlignment w:val="baseline"/>
        <w:rPr>
          <w:b w:val="0"/>
          <w:bCs w:val="0"/>
          <w:i w:val="0"/>
          <w:caps w:val="0"/>
          <w:color w:val="auto"/>
          <w:spacing w:val="0"/>
          <w:w w:val="100"/>
          <w:sz w:val="24"/>
          <w:szCs w:val="24"/>
        </w:rPr>
      </w:pPr>
    </w:p>
    <w:p>
      <w:pPr>
        <w:pStyle w:val="3"/>
        <w:snapToGrid w:val="0"/>
        <w:spacing w:before="120" w:beforeAutospacing="0" w:after="120" w:afterAutospacing="0" w:line="400" w:lineRule="exact"/>
        <w:jc w:val="both"/>
        <w:textAlignment w:val="baseline"/>
        <w:rPr>
          <w:rFonts w:ascii="Calibri" w:hAnsi="Calibri" w:eastAsia="华文细黑"/>
          <w:b/>
          <w:i w:val="0"/>
          <w:caps w:val="0"/>
          <w:color w:val="auto"/>
          <w:spacing w:val="0"/>
          <w:w w:val="100"/>
          <w:sz w:val="28"/>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snapToGrid w:val="0"/>
        <w:spacing w:before="0" w:beforeAutospacing="0" w:after="0" w:afterAutospacing="0" w:line="240" w:lineRule="auto"/>
        <w:jc w:val="both"/>
        <w:textAlignment w:val="baseline"/>
        <w:rPr>
          <w:b w:val="0"/>
          <w:i w:val="0"/>
          <w:caps w:val="0"/>
          <w:color w:val="auto"/>
          <w:spacing w:val="0"/>
          <w:w w:val="100"/>
          <w:sz w:val="20"/>
        </w:rPr>
      </w:pPr>
    </w:p>
    <w:p>
      <w:pPr>
        <w:pStyle w:val="3"/>
        <w:snapToGrid w:val="0"/>
        <w:spacing w:before="120" w:beforeAutospacing="0" w:after="120" w:afterAutospacing="0" w:line="400" w:lineRule="exact"/>
        <w:jc w:val="left"/>
        <w:textAlignment w:val="baseline"/>
        <w:rPr>
          <w:b w:val="0"/>
          <w:bCs w:val="0"/>
          <w:i w:val="0"/>
          <w:caps w:val="0"/>
          <w:color w:val="auto"/>
          <w:spacing w:val="0"/>
          <w:w w:val="100"/>
          <w:sz w:val="24"/>
          <w:szCs w:val="24"/>
        </w:rPr>
      </w:pPr>
    </w:p>
    <w:p>
      <w:pPr>
        <w:snapToGrid w:val="0"/>
        <w:spacing w:before="0" w:beforeAutospacing="0" w:after="0" w:afterAutospacing="0" w:line="240" w:lineRule="auto"/>
        <w:jc w:val="both"/>
        <w:textAlignment w:val="baseline"/>
        <w:rPr>
          <w:rFonts w:ascii="宋体" w:hAnsi="宋体" w:cs="宋体"/>
          <w:b w:val="0"/>
          <w:i w:val="0"/>
          <w:caps w:val="0"/>
          <w:color w:val="auto"/>
          <w:spacing w:val="0"/>
          <w:w w:val="100"/>
          <w:sz w:val="20"/>
          <w:szCs w:val="21"/>
          <w:u w:val="single"/>
        </w:rPr>
      </w:pPr>
    </w:p>
    <w:p>
      <w:pPr>
        <w:snapToGrid w:val="0"/>
        <w:spacing w:before="156" w:beforeAutospacing="0" w:after="156" w:afterAutospacing="0" w:line="240" w:lineRule="auto"/>
        <w:jc w:val="center"/>
        <w:textAlignment w:val="baseline"/>
        <w:rPr>
          <w:rFonts w:ascii="宋体" w:hAnsi="宋体"/>
          <w:b/>
          <w:i w:val="0"/>
          <w:caps w:val="0"/>
          <w:color w:val="auto"/>
          <w:spacing w:val="0"/>
          <w:w w:val="100"/>
          <w:sz w:val="28"/>
          <w:szCs w:val="28"/>
        </w:rPr>
      </w:pPr>
      <w:r>
        <w:rPr>
          <w:rFonts w:hint="eastAsia" w:ascii="宋体" w:hAnsi="宋体"/>
          <w:b/>
          <w:i w:val="0"/>
          <w:caps w:val="0"/>
          <w:color w:val="auto"/>
          <w:spacing w:val="0"/>
          <w:w w:val="100"/>
          <w:sz w:val="28"/>
          <w:szCs w:val="28"/>
        </w:rPr>
        <w:br w:type="page"/>
      </w:r>
    </w:p>
    <w:p>
      <w:pPr>
        <w:snapToGrid w:val="0"/>
        <w:spacing w:before="156" w:beforeAutospacing="0" w:after="156" w:afterAutospacing="0" w:line="240" w:lineRule="auto"/>
        <w:jc w:val="center"/>
        <w:textAlignment w:val="baseline"/>
        <w:rPr>
          <w:rFonts w:ascii="宋体" w:hAnsi="宋体"/>
          <w:b/>
          <w:i w:val="0"/>
          <w:caps w:val="0"/>
          <w:color w:val="auto"/>
          <w:spacing w:val="0"/>
          <w:w w:val="100"/>
          <w:sz w:val="28"/>
        </w:rPr>
      </w:pPr>
      <w:r>
        <w:rPr>
          <w:rFonts w:hint="eastAsia" w:ascii="宋体" w:hAnsi="宋体"/>
          <w:b/>
          <w:i w:val="0"/>
          <w:caps w:val="0"/>
          <w:color w:val="auto"/>
          <w:spacing w:val="0"/>
          <w:w w:val="100"/>
          <w:sz w:val="28"/>
          <w:szCs w:val="28"/>
        </w:rPr>
        <w:t>拟投入的主要施工人员一览表</w:t>
      </w:r>
    </w:p>
    <w:p>
      <w:pPr>
        <w:pStyle w:val="12"/>
        <w:snapToGrid w:val="0"/>
        <w:spacing w:before="0" w:beforeAutospacing="0" w:after="0" w:afterAutospacing="0" w:line="240" w:lineRule="auto"/>
        <w:jc w:val="both"/>
        <w:textAlignment w:val="baseline"/>
        <w:rPr>
          <w:rFonts w:ascii="Times New Roman" w:hAnsi="Times New Roman" w:eastAsia="宋体" w:cs="Times New Roman"/>
          <w:b w:val="0"/>
          <w:i w:val="0"/>
          <w:caps w:val="0"/>
          <w:color w:val="auto"/>
          <w:spacing w:val="0"/>
          <w:w w:val="100"/>
          <w:sz w:val="24"/>
        </w:rPr>
      </w:pPr>
    </w:p>
    <w:p>
      <w:pPr>
        <w:snapToGrid w:val="0"/>
        <w:spacing w:before="0" w:beforeAutospacing="0" w:after="0" w:afterAutospacing="0" w:line="480" w:lineRule="auto"/>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投标人：</w:t>
      </w:r>
      <w:r>
        <w:rPr>
          <w:rFonts w:hint="eastAsia" w:ascii="宋体" w:hAnsi="宋体" w:cs="宋体"/>
          <w:b w:val="0"/>
          <w:i w:val="0"/>
          <w:caps w:val="0"/>
          <w:color w:val="auto"/>
          <w:spacing w:val="0"/>
          <w:w w:val="100"/>
          <w:sz w:val="21"/>
          <w:szCs w:val="21"/>
          <w:u w:val="single" w:color="000000"/>
        </w:rPr>
        <w:t xml:space="preserve">                       </w:t>
      </w:r>
      <w:r>
        <w:rPr>
          <w:rFonts w:hint="eastAsia" w:ascii="宋体" w:hAnsi="宋体" w:cs="宋体"/>
          <w:b w:val="0"/>
          <w:i w:val="0"/>
          <w:caps w:val="0"/>
          <w:color w:val="auto"/>
          <w:spacing w:val="0"/>
          <w:w w:val="100"/>
          <w:sz w:val="21"/>
          <w:szCs w:val="21"/>
        </w:rPr>
        <w:t>（盖单位公章）</w:t>
      </w:r>
    </w:p>
    <w:tbl>
      <w:tblPr>
        <w:tblStyle w:val="3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6"/>
        <w:gridCol w:w="1717"/>
        <w:gridCol w:w="757"/>
        <w:gridCol w:w="609"/>
        <w:gridCol w:w="1364"/>
        <w:gridCol w:w="974"/>
        <w:gridCol w:w="1338"/>
        <w:gridCol w:w="21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姓名</w:t>
            </w: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本工程</w:t>
            </w:r>
          </w:p>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拟任岗位</w:t>
            </w: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年龄</w:t>
            </w: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性别</w:t>
            </w: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专业学历</w:t>
            </w: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专业</w:t>
            </w:r>
          </w:p>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年限</w:t>
            </w: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现任职务和职称</w:t>
            </w: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安排上岗</w:t>
            </w:r>
          </w:p>
          <w:p>
            <w:pPr>
              <w:snapToGrid w:val="0"/>
              <w:spacing w:before="0" w:beforeAutospacing="0" w:after="0" w:afterAutospacing="0" w:line="480" w:lineRule="auto"/>
              <w:jc w:val="center"/>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55"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871"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8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30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92"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494"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679"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c>
          <w:tcPr>
            <w:tcW w:w="1117" w:type="pct"/>
            <w:tcBorders>
              <w:top w:val="single" w:color="auto" w:sz="4" w:space="0"/>
              <w:left w:val="single" w:color="auto" w:sz="4" w:space="0"/>
              <w:bottom w:val="single" w:color="auto" w:sz="4" w:space="0"/>
              <w:right w:val="single" w:color="auto" w:sz="4" w:space="0"/>
            </w:tcBorders>
            <w:vAlign w:val="center"/>
          </w:tcPr>
          <w:p>
            <w:pPr>
              <w:snapToGrid w:val="0"/>
              <w:spacing w:before="0" w:beforeAutospacing="0" w:after="0" w:afterAutospacing="0" w:line="480" w:lineRule="auto"/>
              <w:ind w:firstLine="6415"/>
              <w:jc w:val="center"/>
              <w:textAlignment w:val="baseline"/>
              <w:rPr>
                <w:rFonts w:ascii="宋体" w:hAnsi="宋体" w:cs="宋体"/>
                <w:b w:val="0"/>
                <w:i w:val="0"/>
                <w:caps w:val="0"/>
                <w:color w:val="auto"/>
                <w:spacing w:val="0"/>
                <w:w w:val="100"/>
                <w:sz w:val="20"/>
                <w:szCs w:val="21"/>
              </w:rPr>
            </w:pPr>
          </w:p>
        </w:tc>
      </w:tr>
    </w:tbl>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注：1、投标人的项目负责人、项目班组人员均应列入。</w:t>
      </w:r>
    </w:p>
    <w:p>
      <w:pPr>
        <w:snapToGrid w:val="0"/>
        <w:spacing w:before="0" w:beforeAutospacing="0" w:after="0" w:afterAutospacing="0" w:line="360" w:lineRule="exact"/>
        <w:ind w:firstLine="420" w:firstLineChars="200"/>
        <w:jc w:val="both"/>
        <w:textAlignment w:val="baseline"/>
        <w:rPr>
          <w:rFonts w:ascii="宋体" w:hAnsi="宋体" w:cs="宋体"/>
          <w:b w:val="0"/>
          <w:i w:val="0"/>
          <w:caps w:val="0"/>
          <w:color w:val="auto"/>
          <w:spacing w:val="0"/>
          <w:w w:val="100"/>
          <w:sz w:val="20"/>
          <w:szCs w:val="21"/>
        </w:rPr>
      </w:pPr>
      <w:r>
        <w:rPr>
          <w:rFonts w:hint="eastAsia" w:ascii="宋体" w:hAnsi="宋体" w:cs="宋体"/>
          <w:b w:val="0"/>
          <w:i w:val="0"/>
          <w:caps w:val="0"/>
          <w:color w:val="auto"/>
          <w:spacing w:val="0"/>
          <w:w w:val="100"/>
          <w:sz w:val="21"/>
          <w:szCs w:val="21"/>
        </w:rPr>
        <w:t>2、列入本表人员如更换需经过发包单位的同意，擅自更换或不到位均属违约行为。</w:t>
      </w:r>
    </w:p>
    <w:p>
      <w:pPr>
        <w:snapToGrid w:val="0"/>
        <w:spacing w:before="0" w:beforeAutospacing="0" w:after="0" w:afterAutospacing="0" w:line="480" w:lineRule="auto"/>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240" w:lineRule="auto"/>
        <w:jc w:val="both"/>
        <w:textAlignment w:val="baseline"/>
        <w:rPr>
          <w:rFonts w:ascii="宋体" w:hAnsi="宋体" w:cs="宋体"/>
          <w:b w:val="0"/>
          <w:i w:val="0"/>
          <w:caps w:val="0"/>
          <w:color w:val="auto"/>
          <w:spacing w:val="0"/>
          <w:w w:val="100"/>
          <w:sz w:val="20"/>
          <w:szCs w:val="21"/>
        </w:rPr>
      </w:pPr>
    </w:p>
    <w:p>
      <w:pPr>
        <w:snapToGrid w:val="0"/>
        <w:spacing w:before="0" w:beforeAutospacing="0" w:after="0" w:afterAutospacing="0" w:line="240" w:lineRule="auto"/>
        <w:jc w:val="both"/>
        <w:textAlignment w:val="baseline"/>
        <w:rPr>
          <w:rFonts w:ascii="宋体" w:hAnsi="宋体" w:cs="宋体"/>
          <w:b w:val="0"/>
          <w:i w:val="0"/>
          <w:caps w:val="0"/>
          <w:color w:val="auto"/>
          <w:spacing w:val="0"/>
          <w:w w:val="100"/>
          <w:sz w:val="20"/>
          <w:szCs w:val="21"/>
          <w:u w:val="single"/>
        </w:rPr>
      </w:pPr>
    </w:p>
    <w:sectPr>
      <w:pgSz w:w="11906" w:h="16838"/>
      <w:pgMar w:top="1440" w:right="1134" w:bottom="1440" w:left="1134"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8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0000012" w:usb3="00000000" w:csb0="4002009F" w:csb1="DFD70000"/>
  </w:font>
  <w:font w:name="等线">
    <w:altName w:val="Arial Unicode MS"/>
    <w:panose1 w:val="00000000000000000000"/>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MS Mincho">
    <w:panose1 w:val="02020609040205080304"/>
    <w:charset w:val="80"/>
    <w:family w:val="modern"/>
    <w:pitch w:val="default"/>
    <w:sig w:usb0="E00002FF" w:usb1="6AC7FDFB" w:usb2="00000012" w:usb3="00000000" w:csb0="4002009F" w:csb1="DFD70000"/>
  </w:font>
  <w:font w:name="Wingdings 2">
    <w:panose1 w:val="05020102010507070707"/>
    <w:charset w:val="02"/>
    <w:family w:val="roman"/>
    <w:pitch w:val="default"/>
    <w:sig w:usb0="00000000" w:usb1="00000000" w:usb2="00000000" w:usb3="00000000" w:csb0="80000000" w:csb1="00000000"/>
  </w:font>
  <w:font w:name="方正小标宋简体">
    <w:altName w:val="微软雅黑"/>
    <w:panose1 w:val="00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tabs>
        <w:tab w:val="center" w:pos="4821"/>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12065" b="14605"/>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6350">
                        <a:noFill/>
                      </a:ln>
                    </wps:spPr>
                    <wps:txbx>
                      <w:txbxContent>
                        <w:p>
                          <w:pPr>
                            <w:pStyle w:val="1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u8AFjRAAAAAgEAAA8AAAAAAAAAAQAgAAAAIgAAAGRycy9kb3ducmV2LnhtbFBLAQIUABQA&#10;AAAIAIdO4kDR5yYzMAIAAFIEAAAOAAAAAAAAAAEAIAAAACABAABkcnMvZTJvRG9jLnhtbFBLBQYA&#10;AAAABgAGAFkBAADCBQAAAAA=&#10;">
              <v:fill on="f" focussize="0,0"/>
              <v:stroke on="f" weight="0.5pt"/>
              <v:imagedata o:title=""/>
              <o:lock v:ext="edit" aspectratio="f"/>
              <v:textbox inset="0mm,0mm,0mm,0mm" style="mso-fit-shape-to-text:t;">
                <w:txbxContent>
                  <w:p>
                    <w:pPr>
                      <w:pStyle w:val="19"/>
                    </w:pPr>
                    <w:r>
                      <w:fldChar w:fldCharType="begin"/>
                    </w:r>
                    <w:r>
                      <w:instrText xml:space="preserve"> PAGE  \* MERGEFORMAT </w:instrText>
                    </w:r>
                    <w:r>
                      <w:fldChar w:fldCharType="separate"/>
                    </w:r>
                    <w:r>
                      <w:t>1</w:t>
                    </w:r>
                    <w:r>
                      <w:fldChar w:fldCharType="end"/>
                    </w:r>
                  </w:p>
                </w:txbxContent>
              </v:textbox>
            </v:shape>
          </w:pict>
        </mc:Fallback>
      </mc:AlternateContent>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180"/>
      <w:rPr>
        <w:rStyle w:val="34"/>
      </w:rPr>
    </w:pPr>
    <w:r>
      <w:fldChar w:fldCharType="begin"/>
    </w:r>
    <w:r>
      <w:rPr>
        <w:rStyle w:val="34"/>
      </w:rPr>
      <w:instrText xml:space="preserve">PAGE  </w:instrText>
    </w:r>
    <w:r>
      <w:fldChar w:fldCharType="separate"/>
    </w:r>
    <w:r>
      <w:rPr>
        <w:rStyle w:val="34"/>
      </w:rPr>
      <w:t>32</w:t>
    </w:r>
    <w:r>
      <w:fldChar w:fldCharType="end"/>
    </w:r>
  </w:p>
  <w:p>
    <w:pPr>
      <w:pStyle w:val="19"/>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outside" w:y="1"/>
      <w:rPr>
        <w:rStyle w:val="34"/>
      </w:rPr>
    </w:pPr>
    <w:r>
      <w:fldChar w:fldCharType="begin"/>
    </w:r>
    <w:r>
      <w:rPr>
        <w:rStyle w:val="34"/>
      </w:rPr>
      <w:instrText xml:space="preserve">PAGE  </w:instrText>
    </w:r>
    <w:r>
      <w:fldChar w:fldCharType="separate"/>
    </w:r>
    <w:r>
      <w:rPr>
        <w:rStyle w:val="34"/>
      </w:rPr>
      <w:t>16</w:t>
    </w:r>
    <w:r>
      <w:fldChar w:fldCharType="end"/>
    </w:r>
  </w:p>
  <w:p>
    <w:pPr>
      <w:pStyle w:val="1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180"/>
      <w:rPr>
        <w:rStyle w:val="34"/>
      </w:rPr>
    </w:pPr>
    <w:r>
      <w:fldChar w:fldCharType="begin"/>
    </w:r>
    <w:r>
      <w:rPr>
        <w:rStyle w:val="34"/>
      </w:rPr>
      <w:instrText xml:space="preserve">PAGE  </w:instrText>
    </w:r>
    <w:r>
      <w:fldChar w:fldCharType="separate"/>
    </w:r>
    <w:r>
      <w:rPr>
        <w:rStyle w:val="34"/>
      </w:rPr>
      <w:t>96</w:t>
    </w:r>
    <w:r>
      <w:fldChar w:fldCharType="end"/>
    </w:r>
  </w:p>
  <w:p>
    <w:pPr>
      <w:pStyle w:val="19"/>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ind w:firstLine="180"/>
      <w:rPr>
        <w:rStyle w:val="34"/>
      </w:rPr>
    </w:pPr>
    <w:r>
      <w:fldChar w:fldCharType="begin"/>
    </w:r>
    <w:r>
      <w:rPr>
        <w:rStyle w:val="34"/>
      </w:rPr>
      <w:instrText xml:space="preserve">PAGE  </w:instrText>
    </w:r>
    <w:r>
      <w:fldChar w:fldCharType="separate"/>
    </w:r>
    <w:r>
      <w:rPr>
        <w:rStyle w:val="34"/>
      </w:rPr>
      <w:t>3</w:t>
    </w:r>
    <w:r>
      <w:fldChar w:fldCharType="end"/>
    </w:r>
  </w:p>
  <w:p>
    <w:pPr>
      <w:pStyle w:val="19"/>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A4EA"/>
    <w:multiLevelType w:val="singleLevel"/>
    <w:tmpl w:val="81F1A4EA"/>
    <w:lvl w:ilvl="0" w:tentative="0">
      <w:start w:val="1"/>
      <w:numFmt w:val="decimal"/>
      <w:suff w:val="nothing"/>
      <w:lvlText w:val="（%1）"/>
      <w:lvlJc w:val="left"/>
    </w:lvl>
  </w:abstractNum>
  <w:abstractNum w:abstractNumId="1">
    <w:nsid w:val="9D609D4B"/>
    <w:multiLevelType w:val="singleLevel"/>
    <w:tmpl w:val="9D609D4B"/>
    <w:lvl w:ilvl="0" w:tentative="0">
      <w:start w:val="1"/>
      <w:numFmt w:val="chineseCounting"/>
      <w:suff w:val="nothing"/>
      <w:lvlText w:val="%1、"/>
      <w:lvlJc w:val="left"/>
      <w:rPr>
        <w:rFonts w:hint="eastAsia"/>
      </w:rPr>
    </w:lvl>
  </w:abstractNum>
  <w:abstractNum w:abstractNumId="2">
    <w:nsid w:val="ADC21E24"/>
    <w:multiLevelType w:val="singleLevel"/>
    <w:tmpl w:val="ADC21E24"/>
    <w:lvl w:ilvl="0" w:tentative="0">
      <w:start w:val="20"/>
      <w:numFmt w:val="decimal"/>
      <w:suff w:val="nothing"/>
      <w:lvlText w:val="%1、"/>
      <w:lvlJc w:val="left"/>
      <w:pPr>
        <w:ind w:left="80"/>
      </w:pPr>
    </w:lvl>
  </w:abstractNum>
  <w:abstractNum w:abstractNumId="3">
    <w:nsid w:val="C7B895C9"/>
    <w:multiLevelType w:val="singleLevel"/>
    <w:tmpl w:val="C7B895C9"/>
    <w:lvl w:ilvl="0" w:tentative="0">
      <w:start w:val="6"/>
      <w:numFmt w:val="decimal"/>
      <w:suff w:val="nothing"/>
      <w:lvlText w:val="%1、"/>
      <w:lvlJc w:val="left"/>
    </w:lvl>
  </w:abstractNum>
  <w:abstractNum w:abstractNumId="4">
    <w:nsid w:val="D4ABCED3"/>
    <w:multiLevelType w:val="singleLevel"/>
    <w:tmpl w:val="D4ABCED3"/>
    <w:lvl w:ilvl="0" w:tentative="0">
      <w:start w:val="2"/>
      <w:numFmt w:val="decimal"/>
      <w:lvlText w:val="%1."/>
      <w:lvlJc w:val="left"/>
      <w:pPr>
        <w:tabs>
          <w:tab w:val="left" w:pos="312"/>
        </w:tabs>
      </w:pPr>
    </w:lvl>
  </w:abstractNum>
  <w:abstractNum w:abstractNumId="5">
    <w:nsid w:val="00000010"/>
    <w:multiLevelType w:val="multilevel"/>
    <w:tmpl w:val="00000010"/>
    <w:lvl w:ilvl="0" w:tentative="0">
      <w:start w:val="1"/>
      <w:numFmt w:val="bullet"/>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bullet"/>
      <w:lvlText w:val=""/>
      <w:lvlJc w:val="left"/>
      <w:pPr>
        <w:tabs>
          <w:tab w:val="left" w:pos="1620"/>
        </w:tabs>
        <w:ind w:left="1620" w:hanging="420"/>
      </w:pPr>
      <w:rPr>
        <w:rFonts w:hint="default" w:ascii="Wingdings" w:hAnsi="Wingdings"/>
      </w:rPr>
    </w:lvl>
    <w:lvl w:ilvl="3" w:tentative="0">
      <w:start w:val="1"/>
      <w:numFmt w:val="bullet"/>
      <w:lvlText w:val=""/>
      <w:lvlJc w:val="left"/>
      <w:pPr>
        <w:tabs>
          <w:tab w:val="left" w:pos="2040"/>
        </w:tabs>
        <w:ind w:left="2040" w:hanging="420"/>
      </w:pPr>
      <w:rPr>
        <w:rFonts w:hint="default" w:ascii="Wingdings" w:hAnsi="Wingdings"/>
      </w:rPr>
    </w:lvl>
    <w:lvl w:ilvl="4" w:tentative="0">
      <w:start w:val="1"/>
      <w:numFmt w:val="bullet"/>
      <w:lvlText w:val=""/>
      <w:lvlJc w:val="left"/>
      <w:pPr>
        <w:tabs>
          <w:tab w:val="left" w:pos="2460"/>
        </w:tabs>
        <w:ind w:left="2460" w:hanging="420"/>
      </w:pPr>
      <w:rPr>
        <w:rFonts w:hint="default" w:ascii="Wingdings" w:hAnsi="Wingdings"/>
      </w:rPr>
    </w:lvl>
    <w:lvl w:ilvl="5" w:tentative="0">
      <w:start w:val="1"/>
      <w:numFmt w:val="bullet"/>
      <w:lvlText w:val=""/>
      <w:lvlJc w:val="left"/>
      <w:pPr>
        <w:tabs>
          <w:tab w:val="left" w:pos="2880"/>
        </w:tabs>
        <w:ind w:left="2880" w:hanging="420"/>
      </w:pPr>
      <w:rPr>
        <w:rFonts w:hint="default" w:ascii="Wingdings" w:hAnsi="Wingdings"/>
      </w:rPr>
    </w:lvl>
    <w:lvl w:ilvl="6" w:tentative="0">
      <w:start w:val="1"/>
      <w:numFmt w:val="bullet"/>
      <w:lvlText w:val=""/>
      <w:lvlJc w:val="left"/>
      <w:pPr>
        <w:tabs>
          <w:tab w:val="left" w:pos="3300"/>
        </w:tabs>
        <w:ind w:left="3300" w:hanging="420"/>
      </w:pPr>
      <w:rPr>
        <w:rFonts w:hint="default" w:ascii="Wingdings" w:hAnsi="Wingdings"/>
      </w:rPr>
    </w:lvl>
    <w:lvl w:ilvl="7" w:tentative="0">
      <w:start w:val="1"/>
      <w:numFmt w:val="bullet"/>
      <w:lvlText w:val=""/>
      <w:lvlJc w:val="left"/>
      <w:pPr>
        <w:tabs>
          <w:tab w:val="left" w:pos="3720"/>
        </w:tabs>
        <w:ind w:left="3720" w:hanging="420"/>
      </w:pPr>
      <w:rPr>
        <w:rFonts w:hint="default" w:ascii="Wingdings" w:hAnsi="Wingdings"/>
      </w:rPr>
    </w:lvl>
    <w:lvl w:ilvl="8" w:tentative="0">
      <w:start w:val="1"/>
      <w:numFmt w:val="bullet"/>
      <w:lvlText w:val=""/>
      <w:lvlJc w:val="left"/>
      <w:pPr>
        <w:tabs>
          <w:tab w:val="left" w:pos="4140"/>
        </w:tabs>
        <w:ind w:left="4140" w:hanging="420"/>
      </w:pPr>
      <w:rPr>
        <w:rFonts w:hint="default" w:ascii="Wingdings" w:hAnsi="Wingdings"/>
      </w:rPr>
    </w:lvl>
  </w:abstractNum>
  <w:abstractNum w:abstractNumId="6">
    <w:nsid w:val="20B4F43E"/>
    <w:multiLevelType w:val="singleLevel"/>
    <w:tmpl w:val="20B4F43E"/>
    <w:lvl w:ilvl="0" w:tentative="0">
      <w:start w:val="3"/>
      <w:numFmt w:val="decimal"/>
      <w:lvlText w:val="%1."/>
      <w:lvlJc w:val="left"/>
      <w:pPr>
        <w:tabs>
          <w:tab w:val="left" w:pos="312"/>
        </w:tabs>
        <w:ind w:left="-34"/>
      </w:pPr>
      <w:rPr>
        <w:rFonts w:hint="default" w:ascii="宋体" w:hAnsi="宋体" w:eastAsia="宋体" w:cs="宋体"/>
        <w:sz w:val="21"/>
        <w:szCs w:val="21"/>
      </w:rPr>
    </w:lvl>
  </w:abstractNum>
  <w:abstractNum w:abstractNumId="7">
    <w:nsid w:val="2848C253"/>
    <w:multiLevelType w:val="multilevel"/>
    <w:tmpl w:val="2848C253"/>
    <w:lvl w:ilvl="0" w:tentative="0">
      <w:start w:val="1"/>
      <w:numFmt w:val="decimal"/>
      <w:lvlText w:val="%1."/>
      <w:legacy w:legacy="1" w:legacySpace="0" w:legacyIndent="425"/>
      <w:lvlJc w:val="left"/>
      <w:pPr>
        <w:ind w:left="425" w:hanging="425"/>
      </w:pPr>
    </w:lvl>
    <w:lvl w:ilvl="1" w:tentative="0">
      <w:start w:val="1"/>
      <w:numFmt w:val="decimal"/>
      <w:pStyle w:val="99"/>
      <w:lvlText w:val="%1.%2."/>
      <w:legacy w:legacy="1" w:legacySpace="0" w:legacyIndent="567"/>
      <w:lvlJc w:val="left"/>
      <w:pPr>
        <w:ind w:left="567" w:hanging="567"/>
      </w:pPr>
    </w:lvl>
    <w:lvl w:ilvl="2" w:tentative="0">
      <w:start w:val="1"/>
      <w:numFmt w:val="decimal"/>
      <w:lvlText w:val="%1.%2.%3."/>
      <w:legacy w:legacy="1" w:legacySpace="0" w:legacyIndent="709"/>
      <w:lvlJc w:val="left"/>
      <w:pPr>
        <w:ind w:left="709" w:hanging="709"/>
      </w:pPr>
    </w:lvl>
    <w:lvl w:ilvl="3" w:tentative="0">
      <w:start w:val="1"/>
      <w:numFmt w:val="decimal"/>
      <w:lvlText w:val="%1.%2.%3.%4."/>
      <w:legacy w:legacy="1" w:legacySpace="0" w:legacyIndent="851"/>
      <w:lvlJc w:val="left"/>
      <w:pPr>
        <w:ind w:left="851" w:hanging="851"/>
      </w:pPr>
    </w:lvl>
    <w:lvl w:ilvl="4" w:tentative="0">
      <w:start w:val="1"/>
      <w:numFmt w:val="decimal"/>
      <w:lvlText w:val="%1.%2.%3.%4.%5."/>
      <w:legacy w:legacy="1" w:legacySpace="0" w:legacyIndent="992"/>
      <w:lvlJc w:val="left"/>
      <w:pPr>
        <w:ind w:left="992" w:hanging="992"/>
      </w:pPr>
    </w:lvl>
    <w:lvl w:ilvl="5" w:tentative="0">
      <w:start w:val="1"/>
      <w:numFmt w:val="decimal"/>
      <w:lvlText w:val="%1.%2.%3.%4.%5.%6."/>
      <w:legacy w:legacy="1" w:legacySpace="0" w:legacyIndent="1134"/>
      <w:lvlJc w:val="left"/>
      <w:pPr>
        <w:ind w:left="1134" w:hanging="1134"/>
      </w:pPr>
    </w:lvl>
    <w:lvl w:ilvl="6" w:tentative="0">
      <w:start w:val="1"/>
      <w:numFmt w:val="decimal"/>
      <w:lvlText w:val="%1.%2.%3.%4.%5.%6.%7."/>
      <w:legacy w:legacy="1" w:legacySpace="0" w:legacyIndent="1276"/>
      <w:lvlJc w:val="left"/>
      <w:pPr>
        <w:ind w:left="1276" w:hanging="1276"/>
      </w:pPr>
    </w:lvl>
    <w:lvl w:ilvl="7" w:tentative="0">
      <w:start w:val="1"/>
      <w:numFmt w:val="decimal"/>
      <w:lvlText w:val="%1.%2.%3.%4.%5.%6.%7.%8."/>
      <w:legacy w:legacy="1" w:legacySpace="0" w:legacyIndent="1418"/>
      <w:lvlJc w:val="left"/>
      <w:pPr>
        <w:ind w:left="1418" w:hanging="1418"/>
      </w:pPr>
    </w:lvl>
    <w:lvl w:ilvl="8" w:tentative="0">
      <w:start w:val="1"/>
      <w:numFmt w:val="decimal"/>
      <w:lvlText w:val="%1.%2.%3.%4.%5.%6.%7.%8.%9."/>
      <w:legacy w:legacy="1" w:legacySpace="0" w:legacyIndent="1559"/>
      <w:lvlJc w:val="left"/>
      <w:pPr>
        <w:ind w:left="1559" w:hanging="1559"/>
      </w:pPr>
    </w:lvl>
  </w:abstractNum>
  <w:abstractNum w:abstractNumId="8">
    <w:nsid w:val="43501BA9"/>
    <w:multiLevelType w:val="multilevel"/>
    <w:tmpl w:val="43501BA9"/>
    <w:lvl w:ilvl="0" w:tentative="0">
      <w:start w:val="1"/>
      <w:numFmt w:val="decimal"/>
      <w:lvlText w:val="（%1）"/>
      <w:lvlJc w:val="left"/>
      <w:pPr>
        <w:ind w:left="720" w:hanging="720"/>
      </w:pPr>
      <w:rPr>
        <w:rFonts w:hint="default"/>
      </w:rPr>
    </w:lvl>
    <w:lvl w:ilvl="1" w:tentative="0">
      <w:start w:val="1"/>
      <w:numFmt w:val="lowerLetter"/>
      <w:lvlText w:val="%2)"/>
      <w:lvlJc w:val="left"/>
      <w:pPr>
        <w:ind w:left="693" w:hanging="420"/>
      </w:pPr>
    </w:lvl>
    <w:lvl w:ilvl="2" w:tentative="0">
      <w:start w:val="1"/>
      <w:numFmt w:val="lowerRoman"/>
      <w:lvlText w:val="%3."/>
      <w:lvlJc w:val="right"/>
      <w:pPr>
        <w:ind w:left="1113" w:hanging="420"/>
      </w:pPr>
    </w:lvl>
    <w:lvl w:ilvl="3" w:tentative="0">
      <w:start w:val="1"/>
      <w:numFmt w:val="decimal"/>
      <w:lvlText w:val="%4."/>
      <w:lvlJc w:val="left"/>
      <w:pPr>
        <w:ind w:left="1533" w:hanging="420"/>
      </w:pPr>
    </w:lvl>
    <w:lvl w:ilvl="4" w:tentative="0">
      <w:start w:val="1"/>
      <w:numFmt w:val="lowerLetter"/>
      <w:lvlText w:val="%5)"/>
      <w:lvlJc w:val="left"/>
      <w:pPr>
        <w:ind w:left="1953" w:hanging="420"/>
      </w:pPr>
    </w:lvl>
    <w:lvl w:ilvl="5" w:tentative="0">
      <w:start w:val="1"/>
      <w:numFmt w:val="lowerRoman"/>
      <w:lvlText w:val="%6."/>
      <w:lvlJc w:val="right"/>
      <w:pPr>
        <w:ind w:left="2373" w:hanging="420"/>
      </w:pPr>
    </w:lvl>
    <w:lvl w:ilvl="6" w:tentative="0">
      <w:start w:val="1"/>
      <w:numFmt w:val="decimal"/>
      <w:lvlText w:val="%7."/>
      <w:lvlJc w:val="left"/>
      <w:pPr>
        <w:ind w:left="2793" w:hanging="420"/>
      </w:pPr>
    </w:lvl>
    <w:lvl w:ilvl="7" w:tentative="0">
      <w:start w:val="1"/>
      <w:numFmt w:val="lowerLetter"/>
      <w:lvlText w:val="%8)"/>
      <w:lvlJc w:val="left"/>
      <w:pPr>
        <w:ind w:left="3213" w:hanging="420"/>
      </w:pPr>
    </w:lvl>
    <w:lvl w:ilvl="8" w:tentative="0">
      <w:start w:val="1"/>
      <w:numFmt w:val="lowerRoman"/>
      <w:lvlText w:val="%9."/>
      <w:lvlJc w:val="right"/>
      <w:pPr>
        <w:ind w:left="3633" w:hanging="420"/>
      </w:pPr>
    </w:lvl>
  </w:abstractNum>
  <w:abstractNum w:abstractNumId="9">
    <w:nsid w:val="580D7138"/>
    <w:multiLevelType w:val="multilevel"/>
    <w:tmpl w:val="580D7138"/>
    <w:lvl w:ilvl="0" w:tentative="0">
      <w:start w:val="1"/>
      <w:numFmt w:val="decimal"/>
      <w:lvlText w:val="（%1）"/>
      <w:lvlJc w:val="left"/>
      <w:pPr>
        <w:tabs>
          <w:tab w:val="left" w:pos="1192"/>
        </w:tabs>
        <w:ind w:left="1192" w:hanging="720"/>
      </w:pPr>
      <w:rPr>
        <w:rFonts w:hint="default"/>
      </w:rPr>
    </w:lvl>
    <w:lvl w:ilvl="1" w:tentative="0">
      <w:start w:val="1"/>
      <w:numFmt w:val="lowerLetter"/>
      <w:lvlText w:val="%2)"/>
      <w:lvlJc w:val="left"/>
      <w:pPr>
        <w:tabs>
          <w:tab w:val="left" w:pos="1312"/>
        </w:tabs>
        <w:ind w:left="1312" w:hanging="420"/>
      </w:pPr>
    </w:lvl>
    <w:lvl w:ilvl="2" w:tentative="0">
      <w:start w:val="1"/>
      <w:numFmt w:val="lowerRoman"/>
      <w:lvlText w:val="%3."/>
      <w:lvlJc w:val="right"/>
      <w:pPr>
        <w:tabs>
          <w:tab w:val="left" w:pos="1732"/>
        </w:tabs>
        <w:ind w:left="1732" w:hanging="420"/>
      </w:pPr>
    </w:lvl>
    <w:lvl w:ilvl="3" w:tentative="0">
      <w:start w:val="1"/>
      <w:numFmt w:val="decimal"/>
      <w:lvlText w:val="%4."/>
      <w:lvlJc w:val="left"/>
      <w:pPr>
        <w:tabs>
          <w:tab w:val="left" w:pos="2152"/>
        </w:tabs>
        <w:ind w:left="2152" w:hanging="420"/>
      </w:pPr>
    </w:lvl>
    <w:lvl w:ilvl="4" w:tentative="0">
      <w:start w:val="1"/>
      <w:numFmt w:val="lowerLetter"/>
      <w:lvlText w:val="%5)"/>
      <w:lvlJc w:val="left"/>
      <w:pPr>
        <w:tabs>
          <w:tab w:val="left" w:pos="2572"/>
        </w:tabs>
        <w:ind w:left="2572" w:hanging="420"/>
      </w:pPr>
    </w:lvl>
    <w:lvl w:ilvl="5" w:tentative="0">
      <w:start w:val="1"/>
      <w:numFmt w:val="lowerRoman"/>
      <w:lvlText w:val="%6."/>
      <w:lvlJc w:val="right"/>
      <w:pPr>
        <w:tabs>
          <w:tab w:val="left" w:pos="2992"/>
        </w:tabs>
        <w:ind w:left="2992" w:hanging="420"/>
      </w:pPr>
    </w:lvl>
    <w:lvl w:ilvl="6" w:tentative="0">
      <w:start w:val="1"/>
      <w:numFmt w:val="decimal"/>
      <w:lvlText w:val="%7."/>
      <w:lvlJc w:val="left"/>
      <w:pPr>
        <w:tabs>
          <w:tab w:val="left" w:pos="3412"/>
        </w:tabs>
        <w:ind w:left="3412" w:hanging="420"/>
      </w:pPr>
    </w:lvl>
    <w:lvl w:ilvl="7" w:tentative="0">
      <w:start w:val="1"/>
      <w:numFmt w:val="lowerLetter"/>
      <w:lvlText w:val="%8)"/>
      <w:lvlJc w:val="left"/>
      <w:pPr>
        <w:tabs>
          <w:tab w:val="left" w:pos="3832"/>
        </w:tabs>
        <w:ind w:left="3832" w:hanging="420"/>
      </w:pPr>
    </w:lvl>
    <w:lvl w:ilvl="8" w:tentative="0">
      <w:start w:val="1"/>
      <w:numFmt w:val="lowerRoman"/>
      <w:lvlText w:val="%9."/>
      <w:lvlJc w:val="right"/>
      <w:pPr>
        <w:tabs>
          <w:tab w:val="left" w:pos="4252"/>
        </w:tabs>
        <w:ind w:left="4252" w:hanging="420"/>
      </w:pPr>
    </w:lvl>
  </w:abstractNum>
  <w:abstractNum w:abstractNumId="10">
    <w:nsid w:val="634704D1"/>
    <w:multiLevelType w:val="singleLevel"/>
    <w:tmpl w:val="634704D1"/>
    <w:lvl w:ilvl="0" w:tentative="0">
      <w:start w:val="2"/>
      <w:numFmt w:val="decimal"/>
      <w:suff w:val="nothing"/>
      <w:lvlText w:val="（%1）"/>
      <w:lvlJc w:val="left"/>
    </w:lvl>
  </w:abstractNum>
  <w:abstractNum w:abstractNumId="11">
    <w:nsid w:val="63D8C022"/>
    <w:multiLevelType w:val="singleLevel"/>
    <w:tmpl w:val="63D8C022"/>
    <w:lvl w:ilvl="0" w:tentative="0">
      <w:start w:val="1"/>
      <w:numFmt w:val="decimal"/>
      <w:lvlText w:val="(%1)"/>
      <w:lvlJc w:val="left"/>
      <w:pPr>
        <w:ind w:left="425" w:hanging="425"/>
      </w:pPr>
      <w:rPr>
        <w:rFonts w:hint="default"/>
      </w:rPr>
    </w:lvl>
  </w:abstractNum>
  <w:num w:numId="1">
    <w:abstractNumId w:val="7"/>
  </w:num>
  <w:num w:numId="2">
    <w:abstractNumId w:val="1"/>
  </w:num>
  <w:num w:numId="3">
    <w:abstractNumId w:val="6"/>
  </w:num>
  <w:num w:numId="4">
    <w:abstractNumId w:val="3"/>
  </w:num>
  <w:num w:numId="5">
    <w:abstractNumId w:val="10"/>
  </w:num>
  <w:num w:numId="6">
    <w:abstractNumId w:val="0"/>
  </w:num>
  <w:num w:numId="7">
    <w:abstractNumId w:val="5"/>
  </w:num>
  <w:num w:numId="8">
    <w:abstractNumId w:val="2"/>
  </w:num>
  <w:num w:numId="9">
    <w:abstractNumId w:val="8"/>
  </w:num>
  <w:num w:numId="10">
    <w:abstractNumId w:val="11"/>
  </w:num>
  <w:num w:numId="11">
    <w:abstractNumId w:val="4"/>
  </w:num>
  <w:num w:numId="12">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9"/>
  <w:bordersDoNotSurroundHeader w:val="0"/>
  <w:bordersDoNotSurroundFooter w:val="0"/>
  <w:hideSpellingErrors/>
  <w:documentProtection w:enforcement="0"/>
  <w:defaultTabStop w:val="100"/>
  <w:drawingGridHorizontalSpacing w:val="105"/>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ED6"/>
    <w:rsid w:val="00011ECD"/>
    <w:rsid w:val="00014709"/>
    <w:rsid w:val="00043366"/>
    <w:rsid w:val="00043D9F"/>
    <w:rsid w:val="00047871"/>
    <w:rsid w:val="000500EC"/>
    <w:rsid w:val="00050402"/>
    <w:rsid w:val="0005492D"/>
    <w:rsid w:val="00063D7E"/>
    <w:rsid w:val="00065498"/>
    <w:rsid w:val="00071C07"/>
    <w:rsid w:val="00076221"/>
    <w:rsid w:val="0009108D"/>
    <w:rsid w:val="00092F51"/>
    <w:rsid w:val="000B18F0"/>
    <w:rsid w:val="000B48E9"/>
    <w:rsid w:val="000B6D87"/>
    <w:rsid w:val="000C00B2"/>
    <w:rsid w:val="000C13E8"/>
    <w:rsid w:val="000C4B6B"/>
    <w:rsid w:val="000D116B"/>
    <w:rsid w:val="000D249F"/>
    <w:rsid w:val="000D27FF"/>
    <w:rsid w:val="000D7256"/>
    <w:rsid w:val="000D768C"/>
    <w:rsid w:val="000F1046"/>
    <w:rsid w:val="000F135C"/>
    <w:rsid w:val="000F2092"/>
    <w:rsid w:val="000F474E"/>
    <w:rsid w:val="000F5F93"/>
    <w:rsid w:val="000F63D6"/>
    <w:rsid w:val="00102ED9"/>
    <w:rsid w:val="00110CA2"/>
    <w:rsid w:val="001132C6"/>
    <w:rsid w:val="001143E5"/>
    <w:rsid w:val="001343D6"/>
    <w:rsid w:val="001403CD"/>
    <w:rsid w:val="00141554"/>
    <w:rsid w:val="001431D1"/>
    <w:rsid w:val="00144CF8"/>
    <w:rsid w:val="00151E85"/>
    <w:rsid w:val="00157035"/>
    <w:rsid w:val="00157B73"/>
    <w:rsid w:val="001632CC"/>
    <w:rsid w:val="0016672F"/>
    <w:rsid w:val="00171641"/>
    <w:rsid w:val="00172A1E"/>
    <w:rsid w:val="00177324"/>
    <w:rsid w:val="001800FD"/>
    <w:rsid w:val="001835D7"/>
    <w:rsid w:val="00186798"/>
    <w:rsid w:val="001A11F8"/>
    <w:rsid w:val="001A7C36"/>
    <w:rsid w:val="001B1DE3"/>
    <w:rsid w:val="001B3A70"/>
    <w:rsid w:val="001C0AE0"/>
    <w:rsid w:val="001C0CB2"/>
    <w:rsid w:val="001C755B"/>
    <w:rsid w:val="001D094E"/>
    <w:rsid w:val="001D5398"/>
    <w:rsid w:val="001D602C"/>
    <w:rsid w:val="001D6D1E"/>
    <w:rsid w:val="001E7B8E"/>
    <w:rsid w:val="001F54E9"/>
    <w:rsid w:val="001F765F"/>
    <w:rsid w:val="00202E1B"/>
    <w:rsid w:val="0020796C"/>
    <w:rsid w:val="0022461C"/>
    <w:rsid w:val="002320DE"/>
    <w:rsid w:val="00250A6F"/>
    <w:rsid w:val="00253FA9"/>
    <w:rsid w:val="0026665C"/>
    <w:rsid w:val="0026717C"/>
    <w:rsid w:val="002724CF"/>
    <w:rsid w:val="0029137D"/>
    <w:rsid w:val="002926D1"/>
    <w:rsid w:val="00293FDC"/>
    <w:rsid w:val="002969EF"/>
    <w:rsid w:val="002A198E"/>
    <w:rsid w:val="002A44A8"/>
    <w:rsid w:val="002B2B3D"/>
    <w:rsid w:val="002B3BFD"/>
    <w:rsid w:val="002B53DD"/>
    <w:rsid w:val="002D54E1"/>
    <w:rsid w:val="002E5864"/>
    <w:rsid w:val="00301643"/>
    <w:rsid w:val="003034B4"/>
    <w:rsid w:val="00310EB5"/>
    <w:rsid w:val="0031181C"/>
    <w:rsid w:val="00317124"/>
    <w:rsid w:val="003200DD"/>
    <w:rsid w:val="00320D23"/>
    <w:rsid w:val="00322C22"/>
    <w:rsid w:val="0033166E"/>
    <w:rsid w:val="003336FA"/>
    <w:rsid w:val="0033426E"/>
    <w:rsid w:val="00337C06"/>
    <w:rsid w:val="00343F53"/>
    <w:rsid w:val="00347E38"/>
    <w:rsid w:val="00351C88"/>
    <w:rsid w:val="00352802"/>
    <w:rsid w:val="00357D1A"/>
    <w:rsid w:val="00360210"/>
    <w:rsid w:val="00364492"/>
    <w:rsid w:val="003645A3"/>
    <w:rsid w:val="00383C23"/>
    <w:rsid w:val="0038457F"/>
    <w:rsid w:val="00385320"/>
    <w:rsid w:val="003953E5"/>
    <w:rsid w:val="003A1CDA"/>
    <w:rsid w:val="003A3F67"/>
    <w:rsid w:val="003B75C1"/>
    <w:rsid w:val="003B786A"/>
    <w:rsid w:val="003D2A99"/>
    <w:rsid w:val="003E239C"/>
    <w:rsid w:val="003E4E96"/>
    <w:rsid w:val="003F2ED6"/>
    <w:rsid w:val="0040064D"/>
    <w:rsid w:val="00412BA6"/>
    <w:rsid w:val="004133AE"/>
    <w:rsid w:val="004158DA"/>
    <w:rsid w:val="004219A8"/>
    <w:rsid w:val="004368A8"/>
    <w:rsid w:val="00440F9B"/>
    <w:rsid w:val="00453FBC"/>
    <w:rsid w:val="00454987"/>
    <w:rsid w:val="00456D96"/>
    <w:rsid w:val="0046564C"/>
    <w:rsid w:val="00476768"/>
    <w:rsid w:val="00477ACF"/>
    <w:rsid w:val="004841B8"/>
    <w:rsid w:val="0049476D"/>
    <w:rsid w:val="004A0F00"/>
    <w:rsid w:val="004A2C55"/>
    <w:rsid w:val="004A2F75"/>
    <w:rsid w:val="004B23F1"/>
    <w:rsid w:val="004B40D4"/>
    <w:rsid w:val="004B643B"/>
    <w:rsid w:val="004C29B1"/>
    <w:rsid w:val="004C311C"/>
    <w:rsid w:val="004C6A25"/>
    <w:rsid w:val="004D4C09"/>
    <w:rsid w:val="004E6854"/>
    <w:rsid w:val="004F51EE"/>
    <w:rsid w:val="005014E2"/>
    <w:rsid w:val="00503539"/>
    <w:rsid w:val="005100EC"/>
    <w:rsid w:val="005122FD"/>
    <w:rsid w:val="005242AA"/>
    <w:rsid w:val="00531609"/>
    <w:rsid w:val="005335BA"/>
    <w:rsid w:val="0053496E"/>
    <w:rsid w:val="005362C1"/>
    <w:rsid w:val="00545715"/>
    <w:rsid w:val="00552D9A"/>
    <w:rsid w:val="00554C51"/>
    <w:rsid w:val="00560883"/>
    <w:rsid w:val="00565F20"/>
    <w:rsid w:val="005724F0"/>
    <w:rsid w:val="005805E4"/>
    <w:rsid w:val="005867C8"/>
    <w:rsid w:val="00587112"/>
    <w:rsid w:val="00590149"/>
    <w:rsid w:val="00593BD3"/>
    <w:rsid w:val="00596BB3"/>
    <w:rsid w:val="005A6130"/>
    <w:rsid w:val="005A7877"/>
    <w:rsid w:val="005A7F64"/>
    <w:rsid w:val="005C222C"/>
    <w:rsid w:val="005C5294"/>
    <w:rsid w:val="005C6D26"/>
    <w:rsid w:val="005C6D2C"/>
    <w:rsid w:val="005D15CB"/>
    <w:rsid w:val="005F0F7A"/>
    <w:rsid w:val="005F194D"/>
    <w:rsid w:val="005F2FCD"/>
    <w:rsid w:val="00606763"/>
    <w:rsid w:val="006103BD"/>
    <w:rsid w:val="00611A58"/>
    <w:rsid w:val="00622AA0"/>
    <w:rsid w:val="00637BD9"/>
    <w:rsid w:val="00640F01"/>
    <w:rsid w:val="00642511"/>
    <w:rsid w:val="006464E2"/>
    <w:rsid w:val="00653925"/>
    <w:rsid w:val="00654509"/>
    <w:rsid w:val="006604E8"/>
    <w:rsid w:val="00662032"/>
    <w:rsid w:val="00665289"/>
    <w:rsid w:val="00675846"/>
    <w:rsid w:val="006758C4"/>
    <w:rsid w:val="00691EA3"/>
    <w:rsid w:val="00692E08"/>
    <w:rsid w:val="006A5BF3"/>
    <w:rsid w:val="006A716E"/>
    <w:rsid w:val="006B57FC"/>
    <w:rsid w:val="006B57FE"/>
    <w:rsid w:val="006C028F"/>
    <w:rsid w:val="006C2065"/>
    <w:rsid w:val="006C357A"/>
    <w:rsid w:val="006E4D0F"/>
    <w:rsid w:val="006F3512"/>
    <w:rsid w:val="006F43E5"/>
    <w:rsid w:val="006F582F"/>
    <w:rsid w:val="006F727F"/>
    <w:rsid w:val="00707BA2"/>
    <w:rsid w:val="00711AB2"/>
    <w:rsid w:val="007150EB"/>
    <w:rsid w:val="0071561A"/>
    <w:rsid w:val="00724630"/>
    <w:rsid w:val="0072517B"/>
    <w:rsid w:val="00731042"/>
    <w:rsid w:val="007451F1"/>
    <w:rsid w:val="00745AFA"/>
    <w:rsid w:val="00747591"/>
    <w:rsid w:val="0074797D"/>
    <w:rsid w:val="00756754"/>
    <w:rsid w:val="00772F5A"/>
    <w:rsid w:val="00773F33"/>
    <w:rsid w:val="007743CF"/>
    <w:rsid w:val="00781212"/>
    <w:rsid w:val="00793036"/>
    <w:rsid w:val="007B08DA"/>
    <w:rsid w:val="007F2074"/>
    <w:rsid w:val="007F2242"/>
    <w:rsid w:val="007F359E"/>
    <w:rsid w:val="008010DC"/>
    <w:rsid w:val="00802517"/>
    <w:rsid w:val="00805C7C"/>
    <w:rsid w:val="00810C1B"/>
    <w:rsid w:val="008138FC"/>
    <w:rsid w:val="00817A7D"/>
    <w:rsid w:val="008202BD"/>
    <w:rsid w:val="00821463"/>
    <w:rsid w:val="008307D5"/>
    <w:rsid w:val="00832D0C"/>
    <w:rsid w:val="00833E0B"/>
    <w:rsid w:val="0084105F"/>
    <w:rsid w:val="00850F37"/>
    <w:rsid w:val="00853178"/>
    <w:rsid w:val="00861F3B"/>
    <w:rsid w:val="00870846"/>
    <w:rsid w:val="00871DA3"/>
    <w:rsid w:val="00873467"/>
    <w:rsid w:val="00873812"/>
    <w:rsid w:val="00874A0D"/>
    <w:rsid w:val="008771A9"/>
    <w:rsid w:val="00877D83"/>
    <w:rsid w:val="00890384"/>
    <w:rsid w:val="00893455"/>
    <w:rsid w:val="008939BE"/>
    <w:rsid w:val="008A4A0A"/>
    <w:rsid w:val="008B1375"/>
    <w:rsid w:val="008E1EA6"/>
    <w:rsid w:val="008F2838"/>
    <w:rsid w:val="0092029E"/>
    <w:rsid w:val="00925037"/>
    <w:rsid w:val="00936C82"/>
    <w:rsid w:val="00941337"/>
    <w:rsid w:val="009475ED"/>
    <w:rsid w:val="009618E5"/>
    <w:rsid w:val="0096333D"/>
    <w:rsid w:val="00963C2F"/>
    <w:rsid w:val="00964C73"/>
    <w:rsid w:val="00975D23"/>
    <w:rsid w:val="00977D02"/>
    <w:rsid w:val="00984E24"/>
    <w:rsid w:val="0098583F"/>
    <w:rsid w:val="00995FE3"/>
    <w:rsid w:val="00996AA2"/>
    <w:rsid w:val="00997E08"/>
    <w:rsid w:val="009A0A6E"/>
    <w:rsid w:val="009A49E9"/>
    <w:rsid w:val="009A5830"/>
    <w:rsid w:val="009A6A28"/>
    <w:rsid w:val="009A6F9F"/>
    <w:rsid w:val="009B1D96"/>
    <w:rsid w:val="009B38B3"/>
    <w:rsid w:val="009B7E1E"/>
    <w:rsid w:val="009C4658"/>
    <w:rsid w:val="009C4DC8"/>
    <w:rsid w:val="009E0215"/>
    <w:rsid w:val="009E4E44"/>
    <w:rsid w:val="009E594C"/>
    <w:rsid w:val="009F169E"/>
    <w:rsid w:val="009F2921"/>
    <w:rsid w:val="00A030E7"/>
    <w:rsid w:val="00A051EE"/>
    <w:rsid w:val="00A12C93"/>
    <w:rsid w:val="00A179E3"/>
    <w:rsid w:val="00A20975"/>
    <w:rsid w:val="00A3516C"/>
    <w:rsid w:val="00A455E6"/>
    <w:rsid w:val="00A62269"/>
    <w:rsid w:val="00A62D7D"/>
    <w:rsid w:val="00A62FC2"/>
    <w:rsid w:val="00A6740C"/>
    <w:rsid w:val="00A75699"/>
    <w:rsid w:val="00AA077A"/>
    <w:rsid w:val="00AA3738"/>
    <w:rsid w:val="00AB455F"/>
    <w:rsid w:val="00AC123C"/>
    <w:rsid w:val="00AC4394"/>
    <w:rsid w:val="00AC672C"/>
    <w:rsid w:val="00AC7C31"/>
    <w:rsid w:val="00AD2D2C"/>
    <w:rsid w:val="00AE2AE1"/>
    <w:rsid w:val="00AF4D53"/>
    <w:rsid w:val="00AF681C"/>
    <w:rsid w:val="00AF7D8D"/>
    <w:rsid w:val="00B07DA6"/>
    <w:rsid w:val="00B11CD4"/>
    <w:rsid w:val="00B16145"/>
    <w:rsid w:val="00B16381"/>
    <w:rsid w:val="00B16EA5"/>
    <w:rsid w:val="00B20B96"/>
    <w:rsid w:val="00B247E7"/>
    <w:rsid w:val="00B316B3"/>
    <w:rsid w:val="00B35F29"/>
    <w:rsid w:val="00B36B9F"/>
    <w:rsid w:val="00B45167"/>
    <w:rsid w:val="00B46642"/>
    <w:rsid w:val="00B55293"/>
    <w:rsid w:val="00B60620"/>
    <w:rsid w:val="00B60CF5"/>
    <w:rsid w:val="00B80B79"/>
    <w:rsid w:val="00B82173"/>
    <w:rsid w:val="00B840A6"/>
    <w:rsid w:val="00B85C48"/>
    <w:rsid w:val="00B916E1"/>
    <w:rsid w:val="00B92E9D"/>
    <w:rsid w:val="00BB6BFF"/>
    <w:rsid w:val="00BC202D"/>
    <w:rsid w:val="00BC789C"/>
    <w:rsid w:val="00BC7E4D"/>
    <w:rsid w:val="00BD491F"/>
    <w:rsid w:val="00BE0B72"/>
    <w:rsid w:val="00BE4DA1"/>
    <w:rsid w:val="00BE74E8"/>
    <w:rsid w:val="00BE7D13"/>
    <w:rsid w:val="00BF0F70"/>
    <w:rsid w:val="00BF5802"/>
    <w:rsid w:val="00BF7A4B"/>
    <w:rsid w:val="00C05992"/>
    <w:rsid w:val="00C17EA8"/>
    <w:rsid w:val="00C21A1D"/>
    <w:rsid w:val="00C3308E"/>
    <w:rsid w:val="00C40C30"/>
    <w:rsid w:val="00C54E0F"/>
    <w:rsid w:val="00C60D0A"/>
    <w:rsid w:val="00C61AC9"/>
    <w:rsid w:val="00C623F3"/>
    <w:rsid w:val="00C84A58"/>
    <w:rsid w:val="00CA1746"/>
    <w:rsid w:val="00CA2BFC"/>
    <w:rsid w:val="00CB3F5C"/>
    <w:rsid w:val="00CB711F"/>
    <w:rsid w:val="00CD0EF6"/>
    <w:rsid w:val="00CD42FA"/>
    <w:rsid w:val="00CE0118"/>
    <w:rsid w:val="00CE710D"/>
    <w:rsid w:val="00CE7D36"/>
    <w:rsid w:val="00CF7685"/>
    <w:rsid w:val="00D04981"/>
    <w:rsid w:val="00D0654C"/>
    <w:rsid w:val="00D1018A"/>
    <w:rsid w:val="00D2563E"/>
    <w:rsid w:val="00D27D65"/>
    <w:rsid w:val="00D30578"/>
    <w:rsid w:val="00D3174E"/>
    <w:rsid w:val="00D344B3"/>
    <w:rsid w:val="00D438F9"/>
    <w:rsid w:val="00D44CB4"/>
    <w:rsid w:val="00D46FB4"/>
    <w:rsid w:val="00D47674"/>
    <w:rsid w:val="00D50438"/>
    <w:rsid w:val="00D5396F"/>
    <w:rsid w:val="00D629C4"/>
    <w:rsid w:val="00D62AEC"/>
    <w:rsid w:val="00D64132"/>
    <w:rsid w:val="00D64325"/>
    <w:rsid w:val="00D657B2"/>
    <w:rsid w:val="00D67AA7"/>
    <w:rsid w:val="00D81BE2"/>
    <w:rsid w:val="00D8267D"/>
    <w:rsid w:val="00D82A7D"/>
    <w:rsid w:val="00D92D75"/>
    <w:rsid w:val="00D94428"/>
    <w:rsid w:val="00D94D68"/>
    <w:rsid w:val="00DB0E2E"/>
    <w:rsid w:val="00DD0555"/>
    <w:rsid w:val="00DD1753"/>
    <w:rsid w:val="00DD1D41"/>
    <w:rsid w:val="00DF3E56"/>
    <w:rsid w:val="00DF3E74"/>
    <w:rsid w:val="00DF525B"/>
    <w:rsid w:val="00E15281"/>
    <w:rsid w:val="00E1681C"/>
    <w:rsid w:val="00E21C24"/>
    <w:rsid w:val="00E22B1C"/>
    <w:rsid w:val="00E418B9"/>
    <w:rsid w:val="00E45A7D"/>
    <w:rsid w:val="00E57386"/>
    <w:rsid w:val="00E6100D"/>
    <w:rsid w:val="00E67B7F"/>
    <w:rsid w:val="00E70AEE"/>
    <w:rsid w:val="00E81341"/>
    <w:rsid w:val="00E9398F"/>
    <w:rsid w:val="00EA05DD"/>
    <w:rsid w:val="00EA14FF"/>
    <w:rsid w:val="00EA7B11"/>
    <w:rsid w:val="00EC2831"/>
    <w:rsid w:val="00EC4116"/>
    <w:rsid w:val="00EC5BC7"/>
    <w:rsid w:val="00ED077D"/>
    <w:rsid w:val="00ED59A7"/>
    <w:rsid w:val="00ED6A40"/>
    <w:rsid w:val="00ED7C74"/>
    <w:rsid w:val="00EE5E84"/>
    <w:rsid w:val="00EF595E"/>
    <w:rsid w:val="00F17A72"/>
    <w:rsid w:val="00F2228A"/>
    <w:rsid w:val="00F23F82"/>
    <w:rsid w:val="00F24B50"/>
    <w:rsid w:val="00F334A7"/>
    <w:rsid w:val="00F33613"/>
    <w:rsid w:val="00F53F2E"/>
    <w:rsid w:val="00F92967"/>
    <w:rsid w:val="00FA2EF8"/>
    <w:rsid w:val="00FB197F"/>
    <w:rsid w:val="00FB252F"/>
    <w:rsid w:val="00FB50D9"/>
    <w:rsid w:val="00FB7E55"/>
    <w:rsid w:val="00FC0D12"/>
    <w:rsid w:val="00FD19B1"/>
    <w:rsid w:val="00FD28CE"/>
    <w:rsid w:val="00FE0591"/>
    <w:rsid w:val="00FE21DA"/>
    <w:rsid w:val="00FE6398"/>
    <w:rsid w:val="00FF4AFA"/>
    <w:rsid w:val="00FF696A"/>
    <w:rsid w:val="017B4D40"/>
    <w:rsid w:val="019F128A"/>
    <w:rsid w:val="01F64A87"/>
    <w:rsid w:val="01F7586A"/>
    <w:rsid w:val="025B2C03"/>
    <w:rsid w:val="02613D4F"/>
    <w:rsid w:val="02B35AC1"/>
    <w:rsid w:val="02C2621C"/>
    <w:rsid w:val="02D642DB"/>
    <w:rsid w:val="031D2886"/>
    <w:rsid w:val="03A04854"/>
    <w:rsid w:val="03D74783"/>
    <w:rsid w:val="042F2D99"/>
    <w:rsid w:val="04A2161B"/>
    <w:rsid w:val="04E50089"/>
    <w:rsid w:val="057115C5"/>
    <w:rsid w:val="069B1A69"/>
    <w:rsid w:val="070E2346"/>
    <w:rsid w:val="07E01420"/>
    <w:rsid w:val="07EC28A5"/>
    <w:rsid w:val="080D2C3C"/>
    <w:rsid w:val="08681B3C"/>
    <w:rsid w:val="097225BD"/>
    <w:rsid w:val="099361CD"/>
    <w:rsid w:val="0A17516A"/>
    <w:rsid w:val="0A2436DD"/>
    <w:rsid w:val="0A6B5031"/>
    <w:rsid w:val="0A6D0BC1"/>
    <w:rsid w:val="0A6F2DDF"/>
    <w:rsid w:val="0A9414BC"/>
    <w:rsid w:val="0AD95861"/>
    <w:rsid w:val="0ADA5A97"/>
    <w:rsid w:val="0B042481"/>
    <w:rsid w:val="0B667B77"/>
    <w:rsid w:val="0B936E03"/>
    <w:rsid w:val="0C2F0F17"/>
    <w:rsid w:val="0C620A55"/>
    <w:rsid w:val="0C6F07B0"/>
    <w:rsid w:val="0C8273E7"/>
    <w:rsid w:val="0D156588"/>
    <w:rsid w:val="0E594DB4"/>
    <w:rsid w:val="0E5A6B34"/>
    <w:rsid w:val="0E65327A"/>
    <w:rsid w:val="0E9960EA"/>
    <w:rsid w:val="0E9C1764"/>
    <w:rsid w:val="0F1D14DB"/>
    <w:rsid w:val="0F210F57"/>
    <w:rsid w:val="10075E08"/>
    <w:rsid w:val="10966690"/>
    <w:rsid w:val="10BC4E68"/>
    <w:rsid w:val="10D842E1"/>
    <w:rsid w:val="11200E0E"/>
    <w:rsid w:val="115C0A93"/>
    <w:rsid w:val="116C0539"/>
    <w:rsid w:val="118E3102"/>
    <w:rsid w:val="11C75642"/>
    <w:rsid w:val="11DA79F1"/>
    <w:rsid w:val="1231797F"/>
    <w:rsid w:val="126E08E5"/>
    <w:rsid w:val="12B87C38"/>
    <w:rsid w:val="137815E8"/>
    <w:rsid w:val="13E024F7"/>
    <w:rsid w:val="142524E7"/>
    <w:rsid w:val="15126892"/>
    <w:rsid w:val="151A2605"/>
    <w:rsid w:val="154C118F"/>
    <w:rsid w:val="15C0055F"/>
    <w:rsid w:val="161A5B51"/>
    <w:rsid w:val="16A930AD"/>
    <w:rsid w:val="17ED09E9"/>
    <w:rsid w:val="180E1B29"/>
    <w:rsid w:val="1823439B"/>
    <w:rsid w:val="185744BB"/>
    <w:rsid w:val="18B206A5"/>
    <w:rsid w:val="18D271AF"/>
    <w:rsid w:val="19291A20"/>
    <w:rsid w:val="19815DB4"/>
    <w:rsid w:val="19C370FB"/>
    <w:rsid w:val="1A7B3B44"/>
    <w:rsid w:val="1AA926FC"/>
    <w:rsid w:val="1AD10B60"/>
    <w:rsid w:val="1AE41B2C"/>
    <w:rsid w:val="1B6F12D3"/>
    <w:rsid w:val="1BAB5EB2"/>
    <w:rsid w:val="1D075220"/>
    <w:rsid w:val="1D597EE5"/>
    <w:rsid w:val="1DB305AA"/>
    <w:rsid w:val="1E6D152D"/>
    <w:rsid w:val="1F016346"/>
    <w:rsid w:val="1F222924"/>
    <w:rsid w:val="1F4544B4"/>
    <w:rsid w:val="1F6672B8"/>
    <w:rsid w:val="1FA35771"/>
    <w:rsid w:val="20426CFD"/>
    <w:rsid w:val="20533F4A"/>
    <w:rsid w:val="20A4172F"/>
    <w:rsid w:val="20D165E0"/>
    <w:rsid w:val="21790732"/>
    <w:rsid w:val="21C6392D"/>
    <w:rsid w:val="21C727E1"/>
    <w:rsid w:val="21DE5FD1"/>
    <w:rsid w:val="226F5711"/>
    <w:rsid w:val="234B14B9"/>
    <w:rsid w:val="23E20EED"/>
    <w:rsid w:val="23FD212F"/>
    <w:rsid w:val="24C63B80"/>
    <w:rsid w:val="25111399"/>
    <w:rsid w:val="251D5245"/>
    <w:rsid w:val="25673626"/>
    <w:rsid w:val="256B0203"/>
    <w:rsid w:val="26686CEF"/>
    <w:rsid w:val="278034E0"/>
    <w:rsid w:val="27981B5C"/>
    <w:rsid w:val="27DC55D7"/>
    <w:rsid w:val="27F84584"/>
    <w:rsid w:val="285A3C27"/>
    <w:rsid w:val="28767B10"/>
    <w:rsid w:val="289135FD"/>
    <w:rsid w:val="28A82D5B"/>
    <w:rsid w:val="292F2406"/>
    <w:rsid w:val="293C3C00"/>
    <w:rsid w:val="294916A2"/>
    <w:rsid w:val="297E1B4D"/>
    <w:rsid w:val="2A4414CF"/>
    <w:rsid w:val="2A5C731F"/>
    <w:rsid w:val="2A6C706D"/>
    <w:rsid w:val="2A937931"/>
    <w:rsid w:val="2AFE1262"/>
    <w:rsid w:val="2B00526F"/>
    <w:rsid w:val="2B1F1C39"/>
    <w:rsid w:val="2B220E46"/>
    <w:rsid w:val="2B4335F1"/>
    <w:rsid w:val="2BE658A1"/>
    <w:rsid w:val="2C4F1FE4"/>
    <w:rsid w:val="2C5E53FF"/>
    <w:rsid w:val="2D0E53F1"/>
    <w:rsid w:val="2D20642F"/>
    <w:rsid w:val="2D217F2A"/>
    <w:rsid w:val="2DAE34B9"/>
    <w:rsid w:val="2DE77365"/>
    <w:rsid w:val="2E0216AC"/>
    <w:rsid w:val="2E247524"/>
    <w:rsid w:val="2E69320E"/>
    <w:rsid w:val="2E700DD6"/>
    <w:rsid w:val="2E741DD6"/>
    <w:rsid w:val="2E7A6958"/>
    <w:rsid w:val="2EB11D5E"/>
    <w:rsid w:val="2EC46DBD"/>
    <w:rsid w:val="2F4250B0"/>
    <w:rsid w:val="30181573"/>
    <w:rsid w:val="306A75C3"/>
    <w:rsid w:val="30B1575E"/>
    <w:rsid w:val="31662556"/>
    <w:rsid w:val="31913B9A"/>
    <w:rsid w:val="319A66D0"/>
    <w:rsid w:val="31F17147"/>
    <w:rsid w:val="32397FF3"/>
    <w:rsid w:val="325A0E05"/>
    <w:rsid w:val="327358CC"/>
    <w:rsid w:val="32936AA7"/>
    <w:rsid w:val="33B17220"/>
    <w:rsid w:val="33B42114"/>
    <w:rsid w:val="33B719C4"/>
    <w:rsid w:val="33C032CF"/>
    <w:rsid w:val="33D1088D"/>
    <w:rsid w:val="33D7386B"/>
    <w:rsid w:val="358F6DAA"/>
    <w:rsid w:val="35C77D9C"/>
    <w:rsid w:val="360D102C"/>
    <w:rsid w:val="363429C0"/>
    <w:rsid w:val="37863B68"/>
    <w:rsid w:val="383505EF"/>
    <w:rsid w:val="38642F23"/>
    <w:rsid w:val="38973FE4"/>
    <w:rsid w:val="38F8277B"/>
    <w:rsid w:val="3A76452D"/>
    <w:rsid w:val="3AF90CBF"/>
    <w:rsid w:val="3B3F7A2E"/>
    <w:rsid w:val="3B403AD9"/>
    <w:rsid w:val="3BB77F64"/>
    <w:rsid w:val="3C5E797A"/>
    <w:rsid w:val="3D065BAD"/>
    <w:rsid w:val="3D4156FC"/>
    <w:rsid w:val="3E1068C3"/>
    <w:rsid w:val="3E506E48"/>
    <w:rsid w:val="3E711EBE"/>
    <w:rsid w:val="3F4F59CD"/>
    <w:rsid w:val="3FC719B7"/>
    <w:rsid w:val="3FFC4B0C"/>
    <w:rsid w:val="402B46EA"/>
    <w:rsid w:val="40563DA6"/>
    <w:rsid w:val="40D70CA4"/>
    <w:rsid w:val="41F20501"/>
    <w:rsid w:val="428253C0"/>
    <w:rsid w:val="42927AF5"/>
    <w:rsid w:val="42DF0D77"/>
    <w:rsid w:val="43A766C9"/>
    <w:rsid w:val="43EB0E95"/>
    <w:rsid w:val="440324A0"/>
    <w:rsid w:val="442B300F"/>
    <w:rsid w:val="443365B6"/>
    <w:rsid w:val="44995CF7"/>
    <w:rsid w:val="44B07C37"/>
    <w:rsid w:val="44FA3266"/>
    <w:rsid w:val="46307349"/>
    <w:rsid w:val="46E461D2"/>
    <w:rsid w:val="47081642"/>
    <w:rsid w:val="4710543A"/>
    <w:rsid w:val="471C35D3"/>
    <w:rsid w:val="472B0626"/>
    <w:rsid w:val="473A2265"/>
    <w:rsid w:val="473C0C50"/>
    <w:rsid w:val="476A452D"/>
    <w:rsid w:val="47827CE8"/>
    <w:rsid w:val="47936E84"/>
    <w:rsid w:val="483E397D"/>
    <w:rsid w:val="48B50D89"/>
    <w:rsid w:val="493836DA"/>
    <w:rsid w:val="49926AD3"/>
    <w:rsid w:val="49ED6952"/>
    <w:rsid w:val="4A1619A5"/>
    <w:rsid w:val="4A2809C9"/>
    <w:rsid w:val="4AA130AF"/>
    <w:rsid w:val="4AC80338"/>
    <w:rsid w:val="4B250F4E"/>
    <w:rsid w:val="4B7242B8"/>
    <w:rsid w:val="4C132D02"/>
    <w:rsid w:val="4C94692B"/>
    <w:rsid w:val="4CF1441C"/>
    <w:rsid w:val="4D2A216B"/>
    <w:rsid w:val="4DAB791D"/>
    <w:rsid w:val="4DD917CE"/>
    <w:rsid w:val="4E4C74A7"/>
    <w:rsid w:val="4F3B3E0A"/>
    <w:rsid w:val="4FCC53D0"/>
    <w:rsid w:val="5090714E"/>
    <w:rsid w:val="50985CDD"/>
    <w:rsid w:val="51057895"/>
    <w:rsid w:val="51455C9A"/>
    <w:rsid w:val="51585983"/>
    <w:rsid w:val="52025C6D"/>
    <w:rsid w:val="524453D1"/>
    <w:rsid w:val="530D4CEF"/>
    <w:rsid w:val="54274E6D"/>
    <w:rsid w:val="54866B54"/>
    <w:rsid w:val="54BE5157"/>
    <w:rsid w:val="5503095C"/>
    <w:rsid w:val="550B434B"/>
    <w:rsid w:val="551368A0"/>
    <w:rsid w:val="553C2C5E"/>
    <w:rsid w:val="553C6C47"/>
    <w:rsid w:val="56173D7B"/>
    <w:rsid w:val="565972D9"/>
    <w:rsid w:val="567F1EA1"/>
    <w:rsid w:val="56E97DF7"/>
    <w:rsid w:val="571A7085"/>
    <w:rsid w:val="57422CC3"/>
    <w:rsid w:val="576D6BA8"/>
    <w:rsid w:val="57A23E00"/>
    <w:rsid w:val="57B33B59"/>
    <w:rsid w:val="57D97FF1"/>
    <w:rsid w:val="585C2844"/>
    <w:rsid w:val="58894810"/>
    <w:rsid w:val="58A6629F"/>
    <w:rsid w:val="58C20E22"/>
    <w:rsid w:val="58D83DCA"/>
    <w:rsid w:val="59993CB5"/>
    <w:rsid w:val="59D7322F"/>
    <w:rsid w:val="59E21720"/>
    <w:rsid w:val="5A627A39"/>
    <w:rsid w:val="5A656B4D"/>
    <w:rsid w:val="5A7E3AD5"/>
    <w:rsid w:val="5A8A4A8E"/>
    <w:rsid w:val="5B443AAA"/>
    <w:rsid w:val="5BAD1BC8"/>
    <w:rsid w:val="5BC35917"/>
    <w:rsid w:val="5BFD7CF1"/>
    <w:rsid w:val="5C0D1289"/>
    <w:rsid w:val="5C0F2D54"/>
    <w:rsid w:val="5C2B2C64"/>
    <w:rsid w:val="5C397AA7"/>
    <w:rsid w:val="5C6E39CD"/>
    <w:rsid w:val="5CAF18E9"/>
    <w:rsid w:val="5CB90EBA"/>
    <w:rsid w:val="5D7B314A"/>
    <w:rsid w:val="5D865AA2"/>
    <w:rsid w:val="5E704FC8"/>
    <w:rsid w:val="5EBB148A"/>
    <w:rsid w:val="5EFA6DEC"/>
    <w:rsid w:val="5FCD6D7A"/>
    <w:rsid w:val="5FEC6A29"/>
    <w:rsid w:val="5FF97043"/>
    <w:rsid w:val="603460EF"/>
    <w:rsid w:val="60880F76"/>
    <w:rsid w:val="61D83819"/>
    <w:rsid w:val="620053C1"/>
    <w:rsid w:val="620E7C5F"/>
    <w:rsid w:val="62270ADF"/>
    <w:rsid w:val="638043CD"/>
    <w:rsid w:val="63B109AF"/>
    <w:rsid w:val="642E4EA2"/>
    <w:rsid w:val="64EE0F15"/>
    <w:rsid w:val="65CA29C5"/>
    <w:rsid w:val="65E956CF"/>
    <w:rsid w:val="663B572E"/>
    <w:rsid w:val="66B050D3"/>
    <w:rsid w:val="670B6EF9"/>
    <w:rsid w:val="671036AF"/>
    <w:rsid w:val="673B20F9"/>
    <w:rsid w:val="67577DF7"/>
    <w:rsid w:val="684D71CF"/>
    <w:rsid w:val="68DB4AEF"/>
    <w:rsid w:val="69361522"/>
    <w:rsid w:val="698117BF"/>
    <w:rsid w:val="69965724"/>
    <w:rsid w:val="69A57FB1"/>
    <w:rsid w:val="6A2B313E"/>
    <w:rsid w:val="6A4467AA"/>
    <w:rsid w:val="6A452224"/>
    <w:rsid w:val="6A6C17DD"/>
    <w:rsid w:val="6A79509B"/>
    <w:rsid w:val="6B337F37"/>
    <w:rsid w:val="6C2F40FA"/>
    <w:rsid w:val="6CAA0CDD"/>
    <w:rsid w:val="6D331832"/>
    <w:rsid w:val="6D3535AA"/>
    <w:rsid w:val="6D3951DB"/>
    <w:rsid w:val="6D49716C"/>
    <w:rsid w:val="6D651FE6"/>
    <w:rsid w:val="6D771154"/>
    <w:rsid w:val="6E014C22"/>
    <w:rsid w:val="6E1231BC"/>
    <w:rsid w:val="6E1845CD"/>
    <w:rsid w:val="6EB352CB"/>
    <w:rsid w:val="6ED91546"/>
    <w:rsid w:val="6F525DCD"/>
    <w:rsid w:val="6F6748D6"/>
    <w:rsid w:val="700E6D26"/>
    <w:rsid w:val="703E4428"/>
    <w:rsid w:val="70624CFC"/>
    <w:rsid w:val="707725B8"/>
    <w:rsid w:val="70C435D1"/>
    <w:rsid w:val="70CF039C"/>
    <w:rsid w:val="71791E23"/>
    <w:rsid w:val="71CB75A4"/>
    <w:rsid w:val="72283F7B"/>
    <w:rsid w:val="725E15F7"/>
    <w:rsid w:val="72AB48E6"/>
    <w:rsid w:val="72B159A4"/>
    <w:rsid w:val="73817DBF"/>
    <w:rsid w:val="73DA32E4"/>
    <w:rsid w:val="74071FEE"/>
    <w:rsid w:val="74217E6E"/>
    <w:rsid w:val="74755C01"/>
    <w:rsid w:val="74A905A6"/>
    <w:rsid w:val="74AD5CC5"/>
    <w:rsid w:val="75016933"/>
    <w:rsid w:val="750C7B1C"/>
    <w:rsid w:val="75A2482B"/>
    <w:rsid w:val="75D46CCF"/>
    <w:rsid w:val="763E18BE"/>
    <w:rsid w:val="77154207"/>
    <w:rsid w:val="77654CBC"/>
    <w:rsid w:val="77B466DA"/>
    <w:rsid w:val="77EB50C3"/>
    <w:rsid w:val="77F9134D"/>
    <w:rsid w:val="78894112"/>
    <w:rsid w:val="78B96F91"/>
    <w:rsid w:val="78FB1F18"/>
    <w:rsid w:val="795646A9"/>
    <w:rsid w:val="798D5337"/>
    <w:rsid w:val="799B7615"/>
    <w:rsid w:val="7A5614A2"/>
    <w:rsid w:val="7A9862F5"/>
    <w:rsid w:val="7ABB0D0D"/>
    <w:rsid w:val="7AE30CAD"/>
    <w:rsid w:val="7AEC4473"/>
    <w:rsid w:val="7B092148"/>
    <w:rsid w:val="7BBF555D"/>
    <w:rsid w:val="7BEF445B"/>
    <w:rsid w:val="7D365589"/>
    <w:rsid w:val="7D4F269A"/>
    <w:rsid w:val="7DBC149B"/>
    <w:rsid w:val="7E40319D"/>
    <w:rsid w:val="7E9C05BC"/>
    <w:rsid w:val="7E9D6200"/>
    <w:rsid w:val="7F0B7D73"/>
    <w:rsid w:val="7F1D6B26"/>
    <w:rsid w:val="7F262F3B"/>
    <w:rsid w:val="7F326B39"/>
    <w:rsid w:val="7F3575F6"/>
    <w:rsid w:val="7F372864"/>
    <w:rsid w:val="7FEC5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3">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line="360" w:lineRule="auto"/>
      <w:ind w:firstLine="200" w:firstLineChars="200"/>
      <w:outlineLvl w:val="2"/>
    </w:pPr>
    <w:rPr>
      <w:b/>
      <w:bCs/>
      <w:szCs w:val="32"/>
    </w:rPr>
  </w:style>
  <w:style w:type="paragraph" w:styleId="5">
    <w:name w:val="heading 4"/>
    <w:basedOn w:val="1"/>
    <w:next w:val="1"/>
    <w:link w:val="61"/>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6">
    <w:name w:val="toc 7"/>
    <w:next w:val="1"/>
    <w:qFormat/>
    <w:uiPriority w:val="0"/>
    <w:pPr>
      <w:ind w:left="1260"/>
    </w:pPr>
    <w:rPr>
      <w:rFonts w:ascii="Calibri" w:hAnsi="Calibri" w:eastAsia="宋体" w:cs="Times New Roman"/>
      <w:sz w:val="18"/>
      <w:szCs w:val="18"/>
      <w:lang w:val="en-US" w:eastAsia="zh-CN" w:bidi="ar-SA"/>
    </w:rPr>
  </w:style>
  <w:style w:type="paragraph" w:styleId="7">
    <w:name w:val="List Number 2"/>
    <w:basedOn w:val="1"/>
    <w:qFormat/>
    <w:uiPriority w:val="0"/>
    <w:pPr>
      <w:widowControl/>
      <w:tabs>
        <w:tab w:val="left" w:pos="1697"/>
      </w:tabs>
      <w:spacing w:afterLines="50"/>
      <w:ind w:left="1697" w:hanging="420"/>
      <w:jc w:val="left"/>
    </w:pPr>
    <w:rPr>
      <w:sz w:val="24"/>
      <w:szCs w:val="20"/>
    </w:rPr>
  </w:style>
  <w:style w:type="paragraph" w:styleId="8">
    <w:name w:val="Normal Indent"/>
    <w:basedOn w:val="1"/>
    <w:qFormat/>
    <w:uiPriority w:val="99"/>
    <w:pPr>
      <w:ind w:firstLine="420" w:firstLineChars="200"/>
    </w:pPr>
  </w:style>
  <w:style w:type="paragraph" w:styleId="9">
    <w:name w:val="caption"/>
    <w:next w:val="1"/>
    <w:qFormat/>
    <w:uiPriority w:val="0"/>
    <w:pPr>
      <w:widowControl w:val="0"/>
      <w:spacing w:before="152" w:after="160"/>
      <w:jc w:val="both"/>
    </w:pPr>
    <w:rPr>
      <w:rFonts w:ascii="Arial" w:hAnsi="Arial" w:eastAsia="黑体" w:cs="Times New Roman"/>
      <w:kern w:val="2"/>
      <w:lang w:val="en-US" w:eastAsia="zh-CN" w:bidi="ar-SA"/>
    </w:rPr>
  </w:style>
  <w:style w:type="paragraph" w:styleId="10">
    <w:name w:val="annotation text"/>
    <w:basedOn w:val="1"/>
    <w:qFormat/>
    <w:uiPriority w:val="0"/>
    <w:pPr>
      <w:jc w:val="left"/>
    </w:pPr>
  </w:style>
  <w:style w:type="paragraph" w:styleId="11">
    <w:name w:val="Body Text 3"/>
    <w:link w:val="101"/>
    <w:qFormat/>
    <w:uiPriority w:val="0"/>
    <w:pPr>
      <w:widowControl w:val="0"/>
      <w:snapToGrid w:val="0"/>
      <w:spacing w:before="50" w:after="50"/>
      <w:jc w:val="both"/>
    </w:pPr>
    <w:rPr>
      <w:rFonts w:ascii="Times New Roman" w:hAnsi="Times New Roman" w:eastAsia="仿宋_GB2312" w:cs="Times New Roman"/>
      <w:b/>
      <w:bCs/>
      <w:kern w:val="2"/>
      <w:sz w:val="24"/>
      <w:lang w:val="en-US" w:eastAsia="zh-CN" w:bidi="ar-SA"/>
    </w:rPr>
  </w:style>
  <w:style w:type="paragraph" w:styleId="12">
    <w:name w:val="Body Text"/>
    <w:basedOn w:val="1"/>
    <w:next w:val="13"/>
    <w:link w:val="100"/>
    <w:qFormat/>
    <w:uiPriority w:val="1"/>
    <w:rPr>
      <w:sz w:val="24"/>
      <w:szCs w:val="24"/>
    </w:rPr>
  </w:style>
  <w:style w:type="paragraph" w:styleId="13">
    <w:name w:val="Body Text 2"/>
    <w:basedOn w:val="1"/>
    <w:next w:val="12"/>
    <w:qFormat/>
    <w:uiPriority w:val="0"/>
    <w:pPr>
      <w:spacing w:line="480" w:lineRule="auto"/>
    </w:pPr>
  </w:style>
  <w:style w:type="paragraph" w:styleId="14">
    <w:name w:val="toc 5"/>
    <w:next w:val="1"/>
    <w:qFormat/>
    <w:uiPriority w:val="0"/>
    <w:pPr>
      <w:ind w:left="840"/>
    </w:pPr>
    <w:rPr>
      <w:rFonts w:ascii="Calibri" w:hAnsi="Calibri" w:eastAsia="宋体" w:cs="Times New Roman"/>
      <w:sz w:val="18"/>
      <w:szCs w:val="18"/>
      <w:lang w:val="en-US" w:eastAsia="zh-CN" w:bidi="ar-SA"/>
    </w:rPr>
  </w:style>
  <w:style w:type="paragraph" w:styleId="15">
    <w:name w:val="toc 3"/>
    <w:next w:val="1"/>
    <w:qFormat/>
    <w:uiPriority w:val="0"/>
    <w:pPr>
      <w:ind w:left="420"/>
    </w:pPr>
    <w:rPr>
      <w:rFonts w:ascii="Calibri" w:hAnsi="Calibri" w:eastAsia="宋体" w:cs="Times New Roman"/>
      <w:i/>
      <w:iCs/>
      <w:lang w:val="en-US" w:eastAsia="zh-CN" w:bidi="ar-SA"/>
    </w:rPr>
  </w:style>
  <w:style w:type="paragraph" w:styleId="16">
    <w:name w:val="Plain Text"/>
    <w:basedOn w:val="1"/>
    <w:qFormat/>
    <w:uiPriority w:val="0"/>
    <w:rPr>
      <w:rFonts w:ascii="宋体" w:hAnsi="Courier New" w:cs="Courier New"/>
      <w:szCs w:val="21"/>
    </w:rPr>
  </w:style>
  <w:style w:type="paragraph" w:styleId="17">
    <w:name w:val="toc 8"/>
    <w:next w:val="1"/>
    <w:qFormat/>
    <w:uiPriority w:val="0"/>
    <w:pPr>
      <w:ind w:left="1470"/>
    </w:pPr>
    <w:rPr>
      <w:rFonts w:ascii="Calibri" w:hAnsi="Calibri" w:eastAsia="宋体" w:cs="Times New Roman"/>
      <w:sz w:val="18"/>
      <w:szCs w:val="18"/>
      <w:lang w:val="en-US" w:eastAsia="zh-CN" w:bidi="ar-SA"/>
    </w:rPr>
  </w:style>
  <w:style w:type="paragraph" w:styleId="18">
    <w:name w:val="Date"/>
    <w:basedOn w:val="1"/>
    <w:next w:val="1"/>
    <w:link w:val="86"/>
    <w:qFormat/>
    <w:uiPriority w:val="0"/>
    <w:rPr>
      <w:rFonts w:eastAsia="仿宋_GB2312"/>
      <w:sz w:val="28"/>
      <w:szCs w:val="20"/>
    </w:rPr>
  </w:style>
  <w:style w:type="paragraph" w:styleId="19">
    <w:name w:val="footer"/>
    <w:basedOn w:val="1"/>
    <w:link w:val="89"/>
    <w:qFormat/>
    <w:uiPriority w:val="0"/>
    <w:pPr>
      <w:tabs>
        <w:tab w:val="center" w:pos="4153"/>
        <w:tab w:val="right" w:pos="8306"/>
      </w:tabs>
      <w:snapToGrid w:val="0"/>
      <w:jc w:val="left"/>
    </w:pPr>
    <w:rPr>
      <w:sz w:val="18"/>
      <w:szCs w:val="18"/>
    </w:rPr>
  </w:style>
  <w:style w:type="paragraph" w:styleId="20">
    <w:name w:val="header"/>
    <w:basedOn w:val="1"/>
    <w:link w:val="59"/>
    <w:qFormat/>
    <w:uiPriority w:val="0"/>
    <w:pPr>
      <w:pBdr>
        <w:bottom w:val="single" w:color="auto" w:sz="6" w:space="1"/>
      </w:pBdr>
      <w:tabs>
        <w:tab w:val="center" w:pos="4153"/>
        <w:tab w:val="right" w:pos="8306"/>
      </w:tabs>
      <w:snapToGrid w:val="0"/>
      <w:jc w:val="center"/>
    </w:pPr>
    <w:rPr>
      <w:sz w:val="18"/>
      <w:szCs w:val="18"/>
    </w:rPr>
  </w:style>
  <w:style w:type="paragraph" w:styleId="21">
    <w:name w:val="toc 1"/>
    <w:next w:val="1"/>
    <w:qFormat/>
    <w:uiPriority w:val="0"/>
    <w:pPr>
      <w:spacing w:beforeLines="38" w:afterLines="38"/>
    </w:pPr>
    <w:rPr>
      <w:rFonts w:ascii="Calibri" w:hAnsi="Calibri" w:eastAsia="宋体" w:cs="Times New Roman"/>
      <w:b/>
      <w:bCs/>
      <w:lang w:val="en-US" w:eastAsia="zh-CN" w:bidi="ar-SA"/>
    </w:rPr>
  </w:style>
  <w:style w:type="paragraph" w:styleId="22">
    <w:name w:val="toc 4"/>
    <w:next w:val="1"/>
    <w:qFormat/>
    <w:uiPriority w:val="0"/>
    <w:pPr>
      <w:ind w:left="630"/>
    </w:pPr>
    <w:rPr>
      <w:rFonts w:ascii="Calibri" w:hAnsi="Calibri" w:eastAsia="宋体" w:cs="Times New Roman"/>
      <w:sz w:val="18"/>
      <w:szCs w:val="18"/>
      <w:lang w:val="en-US" w:eastAsia="zh-CN" w:bidi="ar-SA"/>
    </w:rPr>
  </w:style>
  <w:style w:type="paragraph" w:styleId="23">
    <w:name w:val="toc 6"/>
    <w:next w:val="1"/>
    <w:qFormat/>
    <w:uiPriority w:val="0"/>
    <w:pPr>
      <w:ind w:left="1050"/>
    </w:pPr>
    <w:rPr>
      <w:rFonts w:ascii="Calibri" w:hAnsi="Calibri" w:eastAsia="宋体" w:cs="Times New Roman"/>
      <w:sz w:val="18"/>
      <w:szCs w:val="18"/>
      <w:lang w:val="en-US" w:eastAsia="zh-CN" w:bidi="ar-SA"/>
    </w:rPr>
  </w:style>
  <w:style w:type="paragraph" w:styleId="24">
    <w:name w:val="Body Text Indent 3"/>
    <w:basedOn w:val="1"/>
    <w:link w:val="78"/>
    <w:qFormat/>
    <w:uiPriority w:val="0"/>
    <w:pPr>
      <w:spacing w:after="120"/>
      <w:ind w:left="420" w:leftChars="200"/>
    </w:pPr>
    <w:rPr>
      <w:sz w:val="16"/>
      <w:szCs w:val="16"/>
    </w:rPr>
  </w:style>
  <w:style w:type="paragraph" w:styleId="25">
    <w:name w:val="toc 2"/>
    <w:basedOn w:val="1"/>
    <w:next w:val="1"/>
    <w:qFormat/>
    <w:uiPriority w:val="0"/>
    <w:pPr>
      <w:ind w:left="210"/>
    </w:pPr>
    <w:rPr>
      <w:rFonts w:ascii="Calibri" w:hAnsi="Calibri"/>
      <w:smallCaps/>
    </w:rPr>
  </w:style>
  <w:style w:type="paragraph" w:styleId="26">
    <w:name w:val="toc 9"/>
    <w:next w:val="1"/>
    <w:qFormat/>
    <w:uiPriority w:val="0"/>
    <w:pPr>
      <w:ind w:left="1680"/>
    </w:pPr>
    <w:rPr>
      <w:rFonts w:ascii="Calibri" w:hAnsi="Calibri" w:eastAsia="宋体" w:cs="Times New Roman"/>
      <w:sz w:val="18"/>
      <w:szCs w:val="18"/>
      <w:lang w:val="en-US" w:eastAsia="zh-CN" w:bidi="ar-SA"/>
    </w:rPr>
  </w:style>
  <w:style w:type="paragraph" w:styleId="27">
    <w:name w:val="Normal (Web)"/>
    <w:basedOn w:val="1"/>
    <w:qFormat/>
    <w:uiPriority w:val="0"/>
    <w:pPr>
      <w:widowControl/>
      <w:spacing w:before="100" w:beforeAutospacing="1" w:after="100" w:afterAutospacing="1"/>
      <w:jc w:val="left"/>
    </w:pPr>
    <w:rPr>
      <w:sz w:val="24"/>
    </w:rPr>
  </w:style>
  <w:style w:type="paragraph" w:styleId="28">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9">
    <w:name w:val="Body Text First Indent"/>
    <w:basedOn w:val="12"/>
    <w:next w:val="1"/>
    <w:qFormat/>
    <w:uiPriority w:val="0"/>
    <w:pPr>
      <w:ind w:firstLine="420" w:firstLineChars="100"/>
    </w:pPr>
    <w:rPr>
      <w:sz w:val="34"/>
      <w:szCs w:val="20"/>
    </w:rPr>
  </w:style>
  <w:style w:type="table" w:styleId="31">
    <w:name w:val="Table Grid"/>
    <w:basedOn w:val="30"/>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3">
    <w:name w:val="Strong"/>
    <w:qFormat/>
    <w:uiPriority w:val="0"/>
    <w:rPr>
      <w:rFonts w:cs="Times New Roman"/>
      <w:b/>
      <w:bCs/>
    </w:rPr>
  </w:style>
  <w:style w:type="character" w:styleId="34">
    <w:name w:val="page number"/>
    <w:basedOn w:val="32"/>
    <w:qFormat/>
    <w:uiPriority w:val="0"/>
  </w:style>
  <w:style w:type="character" w:styleId="35">
    <w:name w:val="FollowedHyperlink"/>
    <w:basedOn w:val="32"/>
    <w:qFormat/>
    <w:uiPriority w:val="0"/>
    <w:rPr>
      <w:color w:val="3F88BF"/>
      <w:u w:val="none"/>
    </w:rPr>
  </w:style>
  <w:style w:type="character" w:styleId="36">
    <w:name w:val="Emphasis"/>
    <w:basedOn w:val="32"/>
    <w:qFormat/>
    <w:uiPriority w:val="0"/>
  </w:style>
  <w:style w:type="character" w:styleId="37">
    <w:name w:val="HTML Definition"/>
    <w:basedOn w:val="32"/>
    <w:qFormat/>
    <w:uiPriority w:val="0"/>
  </w:style>
  <w:style w:type="character" w:styleId="38">
    <w:name w:val="HTML Typewriter"/>
    <w:basedOn w:val="32"/>
    <w:qFormat/>
    <w:uiPriority w:val="0"/>
    <w:rPr>
      <w:rFonts w:ascii="monospace" w:hAnsi="monospace" w:eastAsia="monospace" w:cs="monospace"/>
      <w:sz w:val="20"/>
    </w:rPr>
  </w:style>
  <w:style w:type="character" w:styleId="39">
    <w:name w:val="HTML Acronym"/>
    <w:basedOn w:val="32"/>
    <w:uiPriority w:val="0"/>
  </w:style>
  <w:style w:type="character" w:styleId="40">
    <w:name w:val="HTML Variable"/>
    <w:basedOn w:val="32"/>
    <w:qFormat/>
    <w:uiPriority w:val="0"/>
  </w:style>
  <w:style w:type="character" w:styleId="41">
    <w:name w:val="Hyperlink"/>
    <w:basedOn w:val="32"/>
    <w:qFormat/>
    <w:uiPriority w:val="0"/>
    <w:rPr>
      <w:color w:val="0000FF" w:themeColor="hyperlink"/>
      <w:u w:val="single"/>
      <w14:textFill>
        <w14:solidFill>
          <w14:schemeClr w14:val="hlink"/>
        </w14:solidFill>
      </w14:textFill>
    </w:rPr>
  </w:style>
  <w:style w:type="character" w:styleId="42">
    <w:name w:val="HTML Code"/>
    <w:basedOn w:val="32"/>
    <w:qFormat/>
    <w:uiPriority w:val="0"/>
    <w:rPr>
      <w:rFonts w:hint="eastAsia" w:ascii="微软雅黑" w:hAnsi="微软雅黑" w:eastAsia="微软雅黑" w:cs="微软雅黑"/>
      <w:sz w:val="20"/>
    </w:rPr>
  </w:style>
  <w:style w:type="character" w:styleId="43">
    <w:name w:val="annotation reference"/>
    <w:basedOn w:val="32"/>
    <w:qFormat/>
    <w:uiPriority w:val="0"/>
    <w:rPr>
      <w:sz w:val="21"/>
      <w:szCs w:val="21"/>
    </w:rPr>
  </w:style>
  <w:style w:type="character" w:styleId="44">
    <w:name w:val="HTML Cite"/>
    <w:basedOn w:val="32"/>
    <w:qFormat/>
    <w:uiPriority w:val="0"/>
  </w:style>
  <w:style w:type="character" w:styleId="45">
    <w:name w:val="HTML Keyboard"/>
    <w:basedOn w:val="32"/>
    <w:qFormat/>
    <w:uiPriority w:val="0"/>
    <w:rPr>
      <w:rFonts w:hint="eastAsia" w:ascii="微软雅黑" w:hAnsi="微软雅黑" w:eastAsia="微软雅黑" w:cs="微软雅黑"/>
      <w:color w:val="3F88BF"/>
      <w:sz w:val="20"/>
      <w:u w:val="none"/>
    </w:rPr>
  </w:style>
  <w:style w:type="character" w:styleId="46">
    <w:name w:val="HTML Sample"/>
    <w:basedOn w:val="32"/>
    <w:qFormat/>
    <w:uiPriority w:val="0"/>
    <w:rPr>
      <w:rFonts w:hint="eastAsia" w:ascii="微软雅黑" w:hAnsi="微软雅黑" w:eastAsia="微软雅黑" w:cs="微软雅黑"/>
    </w:rPr>
  </w:style>
  <w:style w:type="paragraph" w:customStyle="1" w:styleId="47">
    <w:name w:val="首行缩进"/>
    <w:basedOn w:val="1"/>
    <w:qFormat/>
    <w:uiPriority w:val="99"/>
    <w:pPr>
      <w:spacing w:line="360" w:lineRule="auto"/>
      <w:ind w:firstLine="480" w:firstLineChars="200"/>
    </w:pPr>
    <w:rPr>
      <w:sz w:val="24"/>
      <w:lang w:val="zh-CN"/>
    </w:rPr>
  </w:style>
  <w:style w:type="paragraph" w:customStyle="1" w:styleId="48">
    <w:name w:val="样式 标题 2 + Times New Roman 四号 非加粗 段前: 5 磅 段后: 0 磅 行距: 固定值 20..."/>
    <w:basedOn w:val="2"/>
    <w:qFormat/>
    <w:uiPriority w:val="0"/>
    <w:pPr>
      <w:spacing w:before="100" w:line="400" w:lineRule="exact"/>
    </w:pPr>
    <w:rPr>
      <w:rFonts w:ascii="Times New Roman" w:hAnsi="Times New Roman" w:eastAsia="黑体" w:cs="宋体"/>
      <w:b w:val="0"/>
      <w:bCs w:val="0"/>
      <w:sz w:val="28"/>
      <w:szCs w:val="20"/>
    </w:rPr>
  </w:style>
  <w:style w:type="paragraph" w:customStyle="1" w:styleId="49">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50">
    <w:name w:val="zbggmain style9"/>
    <w:basedOn w:val="32"/>
    <w:qFormat/>
    <w:uiPriority w:val="0"/>
  </w:style>
  <w:style w:type="paragraph" w:customStyle="1" w:styleId="51">
    <w:name w:val="p0"/>
    <w:basedOn w:val="1"/>
    <w:qFormat/>
    <w:uiPriority w:val="0"/>
    <w:pPr>
      <w:widowControl/>
      <w:spacing w:before="100" w:beforeAutospacing="1" w:after="100" w:afterAutospacing="1"/>
      <w:jc w:val="left"/>
    </w:pPr>
    <w:rPr>
      <w:rFonts w:ascii="宋体" w:hAnsi="宋体" w:cs="宋体"/>
      <w:sz w:val="24"/>
    </w:rPr>
  </w:style>
  <w:style w:type="paragraph" w:styleId="52">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53">
    <w:name w:val="List Paragraph"/>
    <w:basedOn w:val="1"/>
    <w:qFormat/>
    <w:uiPriority w:val="34"/>
    <w:pPr>
      <w:ind w:firstLine="420" w:firstLineChars="200"/>
    </w:pPr>
  </w:style>
  <w:style w:type="character" w:customStyle="1" w:styleId="54">
    <w:name w:val="answer-title"/>
    <w:basedOn w:val="32"/>
    <w:qFormat/>
    <w:uiPriority w:val="0"/>
  </w:style>
  <w:style w:type="character" w:customStyle="1" w:styleId="55">
    <w:name w:val="num"/>
    <w:basedOn w:val="32"/>
    <w:qFormat/>
    <w:uiPriority w:val="0"/>
    <w:rPr>
      <w:b/>
      <w:color w:val="FF7800"/>
    </w:rPr>
  </w:style>
  <w:style w:type="character" w:customStyle="1" w:styleId="56">
    <w:name w:val="release-day"/>
    <w:basedOn w:val="32"/>
    <w:qFormat/>
    <w:uiPriority w:val="0"/>
    <w:rPr>
      <w:bdr w:val="single" w:color="BDEBB0" w:sz="6" w:space="0"/>
      <w:shd w:val="clear" w:color="auto" w:fill="F5FFF1"/>
    </w:rPr>
  </w:style>
  <w:style w:type="character" w:customStyle="1" w:styleId="57">
    <w:name w:val="num4"/>
    <w:basedOn w:val="32"/>
    <w:qFormat/>
    <w:uiPriority w:val="0"/>
    <w:rPr>
      <w:b/>
      <w:color w:val="FF7800"/>
    </w:rPr>
  </w:style>
  <w:style w:type="character" w:customStyle="1" w:styleId="58">
    <w:name w:val="answer-title8"/>
    <w:basedOn w:val="32"/>
    <w:qFormat/>
    <w:uiPriority w:val="0"/>
  </w:style>
  <w:style w:type="character" w:customStyle="1" w:styleId="59">
    <w:name w:val="页眉 Char"/>
    <w:basedOn w:val="32"/>
    <w:link w:val="20"/>
    <w:qFormat/>
    <w:uiPriority w:val="0"/>
    <w:rPr>
      <w:sz w:val="18"/>
      <w:szCs w:val="18"/>
    </w:rPr>
  </w:style>
  <w:style w:type="paragraph" w:customStyle="1" w:styleId="60">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61">
    <w:name w:val="标题 4 Char"/>
    <w:basedOn w:val="32"/>
    <w:link w:val="5"/>
    <w:semiHidden/>
    <w:qFormat/>
    <w:uiPriority w:val="0"/>
    <w:rPr>
      <w:rFonts w:asciiTheme="majorHAnsi" w:hAnsiTheme="majorHAnsi" w:eastAsiaTheme="majorEastAsia" w:cstheme="majorBidi"/>
      <w:b/>
      <w:bCs/>
      <w:sz w:val="28"/>
      <w:szCs w:val="28"/>
    </w:rPr>
  </w:style>
  <w:style w:type="paragraph" w:customStyle="1" w:styleId="62">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3">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4">
    <w:name w:val="Table Paragraph"/>
    <w:basedOn w:val="1"/>
    <w:qFormat/>
    <w:uiPriority w:val="1"/>
  </w:style>
  <w:style w:type="paragraph" w:customStyle="1" w:styleId="65">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6">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7">
    <w:name w:val="正文2"/>
    <w:basedOn w:val="1"/>
    <w:qFormat/>
    <w:uiPriority w:val="0"/>
    <w:pPr>
      <w:spacing w:before="156" w:line="360" w:lineRule="auto"/>
      <w:ind w:firstLine="510" w:firstLineChars="200"/>
    </w:pPr>
    <w:rPr>
      <w:sz w:val="24"/>
      <w:szCs w:val="20"/>
    </w:rPr>
  </w:style>
  <w:style w:type="paragraph" w:customStyle="1" w:styleId="68">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9">
    <w:name w:val="font41"/>
    <w:qFormat/>
    <w:uiPriority w:val="0"/>
    <w:rPr>
      <w:rFonts w:hint="eastAsia" w:ascii="等线" w:hAnsi="等线" w:eastAsia="等线" w:cs="等线"/>
      <w:b/>
      <w:color w:val="000000"/>
      <w:sz w:val="22"/>
      <w:szCs w:val="22"/>
      <w:u w:val="none"/>
    </w:rPr>
  </w:style>
  <w:style w:type="character" w:customStyle="1" w:styleId="70">
    <w:name w:val="font61"/>
    <w:qFormat/>
    <w:uiPriority w:val="0"/>
    <w:rPr>
      <w:rFonts w:hint="default" w:ascii="Times New Roman" w:hAnsi="Times New Roman" w:cs="Times New Roman"/>
      <w:b/>
      <w:color w:val="000000"/>
      <w:sz w:val="22"/>
      <w:szCs w:val="22"/>
      <w:u w:val="none"/>
    </w:rPr>
  </w:style>
  <w:style w:type="character" w:customStyle="1" w:styleId="71">
    <w:name w:val="font31"/>
    <w:qFormat/>
    <w:uiPriority w:val="0"/>
    <w:rPr>
      <w:rFonts w:hint="eastAsia" w:ascii="宋体" w:hAnsi="宋体" w:eastAsia="宋体" w:cs="宋体"/>
      <w:color w:val="FF0000"/>
      <w:sz w:val="22"/>
      <w:szCs w:val="22"/>
      <w:u w:val="none"/>
    </w:rPr>
  </w:style>
  <w:style w:type="character" w:customStyle="1" w:styleId="72">
    <w:name w:val="font01"/>
    <w:basedOn w:val="32"/>
    <w:qFormat/>
    <w:uiPriority w:val="0"/>
    <w:rPr>
      <w:rFonts w:hint="eastAsia" w:ascii="宋体" w:hAnsi="宋体" w:eastAsia="宋体" w:cs="宋体"/>
      <w:color w:val="000000"/>
      <w:sz w:val="18"/>
      <w:szCs w:val="18"/>
      <w:u w:val="none"/>
    </w:rPr>
  </w:style>
  <w:style w:type="character" w:customStyle="1" w:styleId="73">
    <w:name w:val="font11"/>
    <w:qFormat/>
    <w:uiPriority w:val="0"/>
    <w:rPr>
      <w:rFonts w:hint="eastAsia" w:ascii="宋体" w:hAnsi="宋体" w:eastAsia="宋体" w:cs="宋体"/>
      <w:color w:val="000000"/>
      <w:sz w:val="18"/>
      <w:szCs w:val="18"/>
      <w:u w:val="none"/>
    </w:rPr>
  </w:style>
  <w:style w:type="character" w:customStyle="1" w:styleId="74">
    <w:name w:val="font51"/>
    <w:qFormat/>
    <w:uiPriority w:val="0"/>
    <w:rPr>
      <w:rFonts w:hint="default" w:ascii="Times New Roman" w:hAnsi="Times New Roman" w:cs="Times New Roman"/>
      <w:b/>
      <w:color w:val="000000"/>
      <w:sz w:val="21"/>
      <w:szCs w:val="21"/>
      <w:u w:val="none"/>
    </w:rPr>
  </w:style>
  <w:style w:type="character" w:customStyle="1" w:styleId="75">
    <w:name w:val="font21"/>
    <w:basedOn w:val="32"/>
    <w:qFormat/>
    <w:uiPriority w:val="0"/>
    <w:rPr>
      <w:rFonts w:hint="eastAsia" w:ascii="宋体" w:hAnsi="宋体" w:eastAsia="宋体" w:cs="宋体"/>
      <w:b/>
      <w:color w:val="000000"/>
      <w:sz w:val="21"/>
      <w:szCs w:val="21"/>
      <w:u w:val="none"/>
    </w:rPr>
  </w:style>
  <w:style w:type="paragraph" w:customStyle="1" w:styleId="76">
    <w:name w:val="正文3"/>
    <w:qFormat/>
    <w:uiPriority w:val="0"/>
    <w:pPr>
      <w:jc w:val="both"/>
    </w:pPr>
    <w:rPr>
      <w:rFonts w:ascii="Times New Roman" w:hAnsi="Times New Roman" w:eastAsia="宋体" w:cs="Times New Roman"/>
      <w:kern w:val="2"/>
      <w:sz w:val="21"/>
      <w:szCs w:val="21"/>
      <w:lang w:val="en-US" w:eastAsia="zh-CN" w:bidi="ar-SA"/>
    </w:rPr>
  </w:style>
  <w:style w:type="paragraph" w:customStyle="1" w:styleId="77">
    <w:name w:val="标准正文"/>
    <w:basedOn w:val="1"/>
    <w:qFormat/>
    <w:uiPriority w:val="0"/>
    <w:pPr>
      <w:spacing w:afterLines="50"/>
      <w:ind w:firstLine="200" w:firstLineChars="200"/>
    </w:pPr>
    <w:rPr>
      <w:sz w:val="24"/>
      <w:szCs w:val="21"/>
    </w:rPr>
  </w:style>
  <w:style w:type="character" w:customStyle="1" w:styleId="78">
    <w:name w:val="正文文本缩进 3 Char"/>
    <w:basedOn w:val="32"/>
    <w:link w:val="24"/>
    <w:qFormat/>
    <w:uiPriority w:val="0"/>
    <w:rPr>
      <w:sz w:val="16"/>
      <w:szCs w:val="16"/>
    </w:rPr>
  </w:style>
  <w:style w:type="paragraph" w:customStyle="1" w:styleId="7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0">
    <w:name w:val="NormalCharacter"/>
    <w:qFormat/>
    <w:uiPriority w:val="0"/>
  </w:style>
  <w:style w:type="table" w:customStyle="1" w:styleId="81">
    <w:name w:val="TableNormal"/>
    <w:qFormat/>
    <w:uiPriority w:val="0"/>
    <w:rPr>
      <w:rFonts w:cstheme="minorBidi"/>
    </w:rPr>
    <w:tblPr>
      <w:tblCellMar>
        <w:top w:w="0" w:type="dxa"/>
        <w:left w:w="0" w:type="dxa"/>
        <w:bottom w:w="0" w:type="dxa"/>
        <w:right w:w="0" w:type="dxa"/>
      </w:tblCellMar>
    </w:tblPr>
  </w:style>
  <w:style w:type="paragraph" w:customStyle="1" w:styleId="82">
    <w:name w:val="AnnotationText"/>
    <w:basedOn w:val="1"/>
    <w:link w:val="83"/>
    <w:qFormat/>
    <w:uiPriority w:val="0"/>
    <w:pPr>
      <w:widowControl/>
      <w:jc w:val="left"/>
      <w:textAlignment w:val="baseline"/>
    </w:pPr>
    <w:rPr>
      <w:rFonts w:ascii="仿宋_GB2312" w:eastAsia="仿宋_GB2312" w:cstheme="minorBidi"/>
      <w:kern w:val="2"/>
      <w:sz w:val="28"/>
      <w:szCs w:val="32"/>
    </w:rPr>
  </w:style>
  <w:style w:type="character" w:customStyle="1" w:styleId="83">
    <w:name w:val="UserStyle_0"/>
    <w:link w:val="82"/>
    <w:qFormat/>
    <w:uiPriority w:val="0"/>
    <w:rPr>
      <w:rFonts w:ascii="仿宋_GB2312" w:eastAsia="仿宋_GB2312" w:cstheme="minorBidi"/>
      <w:kern w:val="2"/>
      <w:sz w:val="28"/>
      <w:szCs w:val="32"/>
    </w:rPr>
  </w:style>
  <w:style w:type="paragraph" w:customStyle="1" w:styleId="84">
    <w:name w:val="PlainText"/>
    <w:basedOn w:val="1"/>
    <w:link w:val="85"/>
    <w:qFormat/>
    <w:uiPriority w:val="0"/>
    <w:pPr>
      <w:widowControl/>
      <w:textAlignment w:val="baseline"/>
    </w:pPr>
    <w:rPr>
      <w:rFonts w:ascii="宋体" w:hAnsi="Courier New" w:cstheme="minorBidi"/>
      <w:kern w:val="2"/>
      <w:szCs w:val="21"/>
    </w:rPr>
  </w:style>
  <w:style w:type="character" w:customStyle="1" w:styleId="85">
    <w:name w:val="UserStyle_1"/>
    <w:link w:val="84"/>
    <w:qFormat/>
    <w:uiPriority w:val="0"/>
    <w:rPr>
      <w:rFonts w:ascii="宋体" w:hAnsi="Courier New" w:cstheme="minorBidi"/>
      <w:kern w:val="2"/>
      <w:sz w:val="21"/>
      <w:szCs w:val="21"/>
    </w:rPr>
  </w:style>
  <w:style w:type="character" w:customStyle="1" w:styleId="86">
    <w:name w:val="日期 Char"/>
    <w:link w:val="18"/>
    <w:qFormat/>
    <w:uiPriority w:val="0"/>
    <w:rPr>
      <w:rFonts w:eastAsia="仿宋_GB2312"/>
      <w:sz w:val="28"/>
    </w:rPr>
  </w:style>
  <w:style w:type="paragraph" w:customStyle="1" w:styleId="87">
    <w:name w:val="Acetate"/>
    <w:basedOn w:val="1"/>
    <w:link w:val="88"/>
    <w:qFormat/>
    <w:uiPriority w:val="0"/>
    <w:pPr>
      <w:widowControl/>
      <w:textAlignment w:val="baseline"/>
    </w:pPr>
    <w:rPr>
      <w:rFonts w:ascii="仿宋_GB2312" w:eastAsia="仿宋_GB2312" w:cstheme="minorBidi"/>
      <w:kern w:val="2"/>
      <w:sz w:val="18"/>
      <w:szCs w:val="18"/>
    </w:rPr>
  </w:style>
  <w:style w:type="character" w:customStyle="1" w:styleId="88">
    <w:name w:val="UserStyle_3"/>
    <w:link w:val="87"/>
    <w:qFormat/>
    <w:uiPriority w:val="0"/>
    <w:rPr>
      <w:rFonts w:ascii="仿宋_GB2312" w:eastAsia="仿宋_GB2312" w:cstheme="minorBidi"/>
      <w:kern w:val="2"/>
      <w:sz w:val="18"/>
      <w:szCs w:val="18"/>
    </w:rPr>
  </w:style>
  <w:style w:type="character" w:customStyle="1" w:styleId="89">
    <w:name w:val="页脚 Char"/>
    <w:link w:val="19"/>
    <w:qFormat/>
    <w:locked/>
    <w:uiPriority w:val="0"/>
    <w:rPr>
      <w:sz w:val="18"/>
      <w:szCs w:val="18"/>
    </w:rPr>
  </w:style>
  <w:style w:type="paragraph" w:customStyle="1" w:styleId="90">
    <w:name w:val="HtmlNormal"/>
    <w:basedOn w:val="1"/>
    <w:qFormat/>
    <w:uiPriority w:val="0"/>
    <w:pPr>
      <w:widowControl/>
      <w:spacing w:before="167" w:after="167"/>
      <w:ind w:left="167" w:right="167"/>
      <w:jc w:val="left"/>
      <w:textAlignment w:val="baseline"/>
    </w:pPr>
    <w:rPr>
      <w:rFonts w:ascii="宋体" w:hAnsi="宋体" w:cstheme="minorBidi"/>
      <w:sz w:val="24"/>
      <w:szCs w:val="24"/>
    </w:rPr>
  </w:style>
  <w:style w:type="paragraph" w:customStyle="1" w:styleId="91">
    <w:name w:val="AnnotationSubject"/>
    <w:basedOn w:val="82"/>
    <w:next w:val="82"/>
    <w:link w:val="92"/>
    <w:qFormat/>
    <w:uiPriority w:val="0"/>
    <w:rPr>
      <w:rFonts w:cs="Times New Roman"/>
      <w:b/>
      <w:bCs/>
    </w:rPr>
  </w:style>
  <w:style w:type="character" w:customStyle="1" w:styleId="92">
    <w:name w:val="UserStyle_6"/>
    <w:link w:val="91"/>
    <w:qFormat/>
    <w:uiPriority w:val="0"/>
    <w:rPr>
      <w:rFonts w:ascii="仿宋_GB2312" w:eastAsia="仿宋_GB2312"/>
      <w:b/>
      <w:bCs/>
      <w:kern w:val="2"/>
      <w:sz w:val="28"/>
      <w:szCs w:val="32"/>
    </w:rPr>
  </w:style>
  <w:style w:type="character" w:customStyle="1" w:styleId="93">
    <w:name w:val="PageNumber"/>
    <w:qFormat/>
    <w:uiPriority w:val="0"/>
  </w:style>
  <w:style w:type="character" w:customStyle="1" w:styleId="94">
    <w:name w:val="AnnotationReference"/>
    <w:qFormat/>
    <w:uiPriority w:val="0"/>
    <w:rPr>
      <w:sz w:val="21"/>
      <w:szCs w:val="21"/>
    </w:rPr>
  </w:style>
  <w:style w:type="character" w:customStyle="1" w:styleId="95">
    <w:name w:val="UserStyle_7"/>
    <w:qFormat/>
    <w:uiPriority w:val="0"/>
  </w:style>
  <w:style w:type="paragraph" w:customStyle="1" w:styleId="96">
    <w:name w:val="UserStyle_8"/>
    <w:basedOn w:val="1"/>
    <w:qFormat/>
    <w:uiPriority w:val="0"/>
    <w:pPr>
      <w:widowControl/>
      <w:ind w:firstLine="420" w:firstLineChars="200"/>
      <w:textAlignment w:val="baseline"/>
    </w:pPr>
    <w:rPr>
      <w:rFonts w:ascii="Calibri" w:hAnsi="Calibri" w:cstheme="minorBidi"/>
      <w:kern w:val="2"/>
      <w:szCs w:val="21"/>
    </w:rPr>
  </w:style>
  <w:style w:type="paragraph" w:customStyle="1" w:styleId="97">
    <w:name w:val="UserStyle_9"/>
    <w:basedOn w:val="1"/>
    <w:qFormat/>
    <w:uiPriority w:val="0"/>
    <w:pPr>
      <w:widowControl/>
      <w:textAlignment w:val="baseline"/>
    </w:pPr>
    <w:rPr>
      <w:rFonts w:ascii="Tahoma" w:hAnsi="Tahoma" w:cstheme="minorBidi"/>
      <w:kern w:val="2"/>
      <w:sz w:val="24"/>
      <w:szCs w:val="20"/>
    </w:rPr>
  </w:style>
  <w:style w:type="paragraph" w:customStyle="1" w:styleId="98">
    <w:name w:val="179"/>
    <w:basedOn w:val="1"/>
    <w:qFormat/>
    <w:uiPriority w:val="0"/>
    <w:pPr>
      <w:widowControl/>
      <w:ind w:firstLine="420" w:firstLineChars="200"/>
      <w:textAlignment w:val="baseline"/>
    </w:pPr>
    <w:rPr>
      <w:rFonts w:ascii="Calibri" w:hAnsi="Calibri" w:cstheme="minorBidi"/>
      <w:kern w:val="2"/>
    </w:rPr>
  </w:style>
  <w:style w:type="paragraph" w:customStyle="1" w:styleId="99">
    <w:name w:val="正文文字 8"/>
    <w:next w:val="1"/>
    <w:qFormat/>
    <w:uiPriority w:val="0"/>
    <w:pPr>
      <w:widowControl w:val="0"/>
      <w:numPr>
        <w:ilvl w:val="1"/>
        <w:numId w:val="1"/>
      </w:numPr>
      <w:ind w:left="805"/>
      <w:jc w:val="both"/>
    </w:pPr>
    <w:rPr>
      <w:rFonts w:ascii="Times New Roman" w:hAnsi="Times New Roman" w:eastAsia="宋体" w:cs="Times New Roman"/>
      <w:kern w:val="2"/>
      <w:sz w:val="16"/>
      <w:lang w:val="en-US" w:eastAsia="zh-CN" w:bidi="ar-SA"/>
    </w:rPr>
  </w:style>
  <w:style w:type="character" w:customStyle="1" w:styleId="100">
    <w:name w:val="正文文本 Char"/>
    <w:basedOn w:val="32"/>
    <w:link w:val="12"/>
    <w:qFormat/>
    <w:uiPriority w:val="1"/>
    <w:rPr>
      <w:sz w:val="24"/>
      <w:szCs w:val="24"/>
    </w:rPr>
  </w:style>
  <w:style w:type="character" w:customStyle="1" w:styleId="101">
    <w:name w:val="正文文本 3 Char"/>
    <w:basedOn w:val="32"/>
    <w:link w:val="11"/>
    <w:qFormat/>
    <w:uiPriority w:val="0"/>
    <w:rPr>
      <w:rFonts w:eastAsia="仿宋_GB2312"/>
      <w:b/>
      <w:bCs/>
      <w:kern w:val="2"/>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C7673F0-B0F7-414A-A0AD-A05202D35206}">
  <ds:schemaRefs/>
</ds:datastoreItem>
</file>

<file path=docProps/app.xml><?xml version="1.0" encoding="utf-8"?>
<Properties xmlns="http://schemas.openxmlformats.org/officeDocument/2006/extended-properties" xmlns:vt="http://schemas.openxmlformats.org/officeDocument/2006/docPropsVTypes">
  <Template>Normal.dotm</Template>
  <Company>http://www.deepbbs.org</Company>
  <Pages>97</Pages>
  <Words>10395</Words>
  <Characters>59254</Characters>
  <Lines>493</Lines>
  <Paragraphs>139</Paragraphs>
  <TotalTime>5</TotalTime>
  <ScaleCrop>false</ScaleCrop>
  <LinksUpToDate>false</LinksUpToDate>
  <CharactersWithSpaces>69510</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2021-09-24T02:56:00Z</dcterms:created>
  <dc:creator>xbany</dc:creator>
  <cp:lastModifiedBy>ai.sha</cp:lastModifiedBy>
  <cp:lastPrinted>2021-09-24T02:55:00Z</cp:lastPrinted>
  <dcterms:modified xsi:type="dcterms:W3CDTF">2021-09-26T02:54:15Z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17478226941F4D7197F7C6A421513440</vt:lpwstr>
  </property>
</Properties>
</file>