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24"/>
          <w:szCs w:val="24"/>
          <w:highlight w:val="none"/>
        </w:rPr>
      </w:pPr>
    </w:p>
    <w:p>
      <w:pPr>
        <w:spacing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绍兴市妇幼保健院（绍兴市儿童医院）建设项目医疗辐射防护项目   招标文件</w:t>
      </w: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  标  人：浙江精工钢结构集团有限公司</w:t>
      </w: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招标代理机构：浙江明业项目管理有限公司</w:t>
      </w:r>
    </w:p>
    <w:p>
      <w:pPr>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2021年</w:t>
      </w:r>
      <w:r>
        <w:rPr>
          <w:rFonts w:hint="eastAsia" w:asciiTheme="minorEastAsia" w:hAnsiTheme="minorEastAsia" w:eastAsiaTheme="minorEastAsia" w:cstheme="minorEastAsia"/>
          <w:b/>
          <w:bCs/>
          <w:color w:val="auto"/>
          <w:sz w:val="28"/>
          <w:szCs w:val="28"/>
          <w:highlight w:val="none"/>
          <w:lang w:val="en-US" w:eastAsia="zh-CN"/>
        </w:rPr>
        <w:t>11</w:t>
      </w:r>
      <w:r>
        <w:rPr>
          <w:rFonts w:hint="eastAsia" w:asciiTheme="minorEastAsia" w:hAnsiTheme="minorEastAsia" w:eastAsiaTheme="minorEastAsia" w:cstheme="minorEastAsia"/>
          <w:b/>
          <w:bCs/>
          <w:color w:val="auto"/>
          <w:sz w:val="28"/>
          <w:szCs w:val="28"/>
          <w:highlight w:val="none"/>
        </w:rPr>
        <w:t>月</w:t>
      </w:r>
    </w:p>
    <w:p>
      <w:pPr>
        <w:ind w:left="2243" w:right="2279"/>
        <w:jc w:val="center"/>
        <w:rPr>
          <w:b/>
          <w:color w:val="auto"/>
          <w:sz w:val="44"/>
          <w:highlight w:val="none"/>
        </w:rPr>
      </w:pPr>
    </w:p>
    <w:p>
      <w:pPr>
        <w:ind w:right="2279"/>
        <w:rPr>
          <w:b/>
          <w:color w:val="auto"/>
          <w:sz w:val="44"/>
          <w:highlight w:val="none"/>
        </w:rPr>
      </w:pPr>
    </w:p>
    <w:p>
      <w:pPr>
        <w:pStyle w:val="27"/>
        <w:ind w:firstLine="442"/>
        <w:rPr>
          <w:b/>
          <w:color w:val="auto"/>
          <w:sz w:val="44"/>
          <w:highlight w:val="none"/>
        </w:rPr>
      </w:pPr>
    </w:p>
    <w:p>
      <w:pPr>
        <w:rPr>
          <w:color w:val="auto"/>
          <w:highlight w:val="none"/>
        </w:rPr>
      </w:pPr>
    </w:p>
    <w:p>
      <w:pPr>
        <w:spacing w:line="300" w:lineRule="auto"/>
        <w:jc w:val="center"/>
        <w:rPr>
          <w:b/>
          <w:color w:val="auto"/>
          <w:sz w:val="32"/>
          <w:szCs w:val="32"/>
          <w:highlight w:val="none"/>
        </w:rPr>
      </w:pPr>
      <w:r>
        <w:rPr>
          <w:rFonts w:hint="eastAsia"/>
          <w:b/>
          <w:color w:val="auto"/>
          <w:sz w:val="32"/>
          <w:szCs w:val="32"/>
          <w:highlight w:val="none"/>
        </w:rPr>
        <w:t>绍兴市妇幼保健院（绍兴市儿童医院）建设项目医疗辐射防护项目（重新招标）  招标文件</w:t>
      </w:r>
    </w:p>
    <w:p>
      <w:pPr>
        <w:spacing w:line="300" w:lineRule="auto"/>
        <w:jc w:val="center"/>
        <w:rPr>
          <w:b/>
          <w:color w:val="auto"/>
          <w:sz w:val="32"/>
          <w:szCs w:val="32"/>
          <w:highlight w:val="none"/>
        </w:rPr>
      </w:pPr>
    </w:p>
    <w:p>
      <w:pPr>
        <w:spacing w:line="680" w:lineRule="exact"/>
        <w:ind w:firstLine="700" w:firstLineChars="250"/>
        <w:rPr>
          <w:color w:val="auto"/>
          <w:sz w:val="28"/>
          <w:szCs w:val="28"/>
          <w:highlight w:val="none"/>
        </w:rPr>
      </w:pPr>
      <w:r>
        <w:rPr>
          <w:rFonts w:hint="eastAsia"/>
          <w:color w:val="auto"/>
          <w:sz w:val="28"/>
          <w:szCs w:val="28"/>
          <w:highlight w:val="none"/>
        </w:rPr>
        <w:t>项目业主：</w:t>
      </w:r>
      <w:r>
        <w:rPr>
          <w:rFonts w:hint="eastAsia"/>
          <w:bCs/>
          <w:color w:val="auto"/>
          <w:sz w:val="28"/>
          <w:szCs w:val="28"/>
          <w:highlight w:val="none"/>
          <w:u w:val="single"/>
        </w:rPr>
        <w:t xml:space="preserve">绍兴市妇幼保健院     </w:t>
      </w:r>
      <w:r>
        <w:rPr>
          <w:rFonts w:hint="eastAsia"/>
          <w:color w:val="auto"/>
          <w:sz w:val="28"/>
          <w:szCs w:val="28"/>
          <w:highlight w:val="none"/>
        </w:rPr>
        <w:t>（盖章）</w:t>
      </w:r>
    </w:p>
    <w:p>
      <w:pPr>
        <w:spacing w:line="680" w:lineRule="exact"/>
        <w:ind w:firstLine="700" w:firstLineChars="250"/>
        <w:rPr>
          <w:color w:val="auto"/>
          <w:sz w:val="28"/>
          <w:szCs w:val="28"/>
          <w:highlight w:val="none"/>
        </w:rPr>
      </w:pPr>
      <w:r>
        <w:rPr>
          <w:rFonts w:hint="eastAsia"/>
          <w:color w:val="auto"/>
          <w:sz w:val="28"/>
          <w:szCs w:val="28"/>
          <w:highlight w:val="none"/>
        </w:rPr>
        <w:t>代建单位：</w:t>
      </w:r>
      <w:r>
        <w:rPr>
          <w:rFonts w:hint="eastAsia"/>
          <w:bCs/>
          <w:color w:val="auto"/>
          <w:sz w:val="28"/>
          <w:szCs w:val="28"/>
          <w:highlight w:val="none"/>
          <w:u w:val="single"/>
        </w:rPr>
        <w:t>绍兴市交通建设有限公司</w:t>
      </w:r>
      <w:r>
        <w:rPr>
          <w:rFonts w:hint="eastAsia"/>
          <w:color w:val="auto"/>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招标人名称：</w:t>
      </w:r>
      <w:r>
        <w:rPr>
          <w:rFonts w:hint="eastAsia"/>
          <w:color w:val="auto"/>
          <w:sz w:val="28"/>
          <w:highlight w:val="none"/>
          <w:u w:val="single"/>
        </w:rPr>
        <w:t>浙江精工钢结构集团有限公司</w:t>
      </w:r>
      <w:r>
        <w:rPr>
          <w:rFonts w:hint="eastAsia"/>
          <w:color w:val="auto"/>
          <w:sz w:val="28"/>
          <w:highlight w:val="none"/>
        </w:rPr>
        <w:t>（盖章）</w:t>
      </w:r>
    </w:p>
    <w:p>
      <w:pPr>
        <w:spacing w:line="600" w:lineRule="exact"/>
        <w:ind w:firstLine="700" w:firstLineChars="250"/>
        <w:rPr>
          <w:color w:val="auto"/>
          <w:sz w:val="28"/>
          <w:highlight w:val="none"/>
        </w:rPr>
      </w:pPr>
      <w:r>
        <w:rPr>
          <w:rFonts w:hint="eastAsia"/>
          <w:color w:val="auto"/>
          <w:sz w:val="28"/>
          <w:highlight w:val="none"/>
        </w:rPr>
        <w:t>招标人法人代表：</w:t>
      </w:r>
      <w:r>
        <w:rPr>
          <w:color w:val="auto"/>
          <w:sz w:val="28"/>
          <w:highlight w:val="none"/>
          <w:u w:val="single"/>
        </w:rPr>
        <w:t xml:space="preserve">      孙关富     </w:t>
      </w:r>
      <w:r>
        <w:rPr>
          <w:rFonts w:hint="eastAsia"/>
          <w:color w:val="auto"/>
          <w:sz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招标人地址：</w:t>
      </w:r>
      <w:r>
        <w:rPr>
          <w:rFonts w:hint="eastAsia"/>
          <w:color w:val="auto"/>
          <w:sz w:val="28"/>
          <w:highlight w:val="none"/>
          <w:u w:val="single"/>
        </w:rPr>
        <w:t>绍兴市柯桥区柯桥经济开发区鉴湖路</w:t>
      </w:r>
    </w:p>
    <w:p>
      <w:pPr>
        <w:spacing w:line="600" w:lineRule="exact"/>
        <w:ind w:firstLine="700" w:firstLineChars="250"/>
        <w:rPr>
          <w:color w:val="auto"/>
          <w:sz w:val="28"/>
          <w:highlight w:val="none"/>
        </w:rPr>
      </w:pPr>
      <w:r>
        <w:rPr>
          <w:rFonts w:hint="eastAsia"/>
          <w:color w:val="auto"/>
          <w:sz w:val="28"/>
          <w:highlight w:val="none"/>
        </w:rPr>
        <w:t>邮政编码：</w:t>
      </w:r>
      <w:r>
        <w:rPr>
          <w:color w:val="auto"/>
          <w:sz w:val="28"/>
          <w:highlight w:val="none"/>
          <w:u w:val="single"/>
        </w:rPr>
        <w:t xml:space="preserve">   312000   </w:t>
      </w:r>
    </w:p>
    <w:p>
      <w:pPr>
        <w:spacing w:line="600" w:lineRule="exact"/>
        <w:ind w:firstLine="700" w:firstLineChars="250"/>
        <w:rPr>
          <w:color w:val="auto"/>
          <w:sz w:val="28"/>
          <w:highlight w:val="none"/>
          <w:u w:val="single"/>
        </w:rPr>
      </w:pPr>
      <w:r>
        <w:rPr>
          <w:rFonts w:hint="eastAsia"/>
          <w:color w:val="auto"/>
          <w:sz w:val="28"/>
          <w:highlight w:val="none"/>
        </w:rPr>
        <w:t>联系人：</w:t>
      </w:r>
      <w:r>
        <w:rPr>
          <w:color w:val="auto"/>
          <w:sz w:val="28"/>
          <w:highlight w:val="none"/>
          <w:u w:val="single"/>
        </w:rPr>
        <w:t xml:space="preserve">   </w:t>
      </w:r>
      <w:r>
        <w:rPr>
          <w:rFonts w:hint="eastAsia"/>
          <w:color w:val="auto"/>
          <w:sz w:val="28"/>
          <w:highlight w:val="none"/>
          <w:u w:val="single"/>
        </w:rPr>
        <w:t>王晓文</w:t>
      </w:r>
      <w:r>
        <w:rPr>
          <w:color w:val="auto"/>
          <w:sz w:val="28"/>
          <w:highlight w:val="none"/>
          <w:u w:val="single"/>
        </w:rPr>
        <w:t xml:space="preserve">    </w:t>
      </w:r>
      <w:r>
        <w:rPr>
          <w:color w:val="auto"/>
          <w:sz w:val="28"/>
          <w:highlight w:val="non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  13971064493  </w:t>
      </w:r>
    </w:p>
    <w:p>
      <w:pPr>
        <w:spacing w:line="680" w:lineRule="exact"/>
        <w:ind w:firstLine="358" w:firstLineChars="128"/>
        <w:rPr>
          <w:color w:val="auto"/>
          <w:sz w:val="28"/>
          <w:highlight w:val="none"/>
        </w:rPr>
      </w:pPr>
    </w:p>
    <w:p>
      <w:pPr>
        <w:spacing w:line="600" w:lineRule="exact"/>
        <w:ind w:firstLine="700" w:firstLineChars="250"/>
        <w:rPr>
          <w:color w:val="auto"/>
          <w:spacing w:val="-10"/>
          <w:sz w:val="28"/>
          <w:szCs w:val="28"/>
          <w:highlight w:val="none"/>
        </w:rPr>
      </w:pPr>
      <w:r>
        <w:rPr>
          <w:rFonts w:hint="eastAsia"/>
          <w:color w:val="auto"/>
          <w:sz w:val="28"/>
          <w:highlight w:val="none"/>
        </w:rPr>
        <w:t>招</w:t>
      </w:r>
      <w:r>
        <w:rPr>
          <w:rFonts w:hint="eastAsia"/>
          <w:color w:val="auto"/>
          <w:spacing w:val="-10"/>
          <w:sz w:val="28"/>
          <w:szCs w:val="28"/>
          <w:highlight w:val="none"/>
        </w:rPr>
        <w:t>标代理机构名称：</w:t>
      </w:r>
      <w:r>
        <w:rPr>
          <w:rFonts w:hint="eastAsia"/>
          <w:color w:val="auto"/>
          <w:spacing w:val="-10"/>
          <w:sz w:val="28"/>
          <w:szCs w:val="28"/>
          <w:highlight w:val="none"/>
          <w:u w:val="single"/>
        </w:rPr>
        <w:t xml:space="preserve">浙江明业项目管理有限公司 </w:t>
      </w:r>
      <w:r>
        <w:rPr>
          <w:rFonts w:hint="eastAsia"/>
          <w:color w:val="auto"/>
          <w:spacing w:val="-10"/>
          <w:sz w:val="28"/>
          <w:szCs w:val="28"/>
          <w:highlight w:val="none"/>
        </w:rPr>
        <w:t>（盖章）</w:t>
      </w:r>
    </w:p>
    <w:p>
      <w:pPr>
        <w:spacing w:line="680" w:lineRule="exact"/>
        <w:ind w:firstLine="722" w:firstLineChars="278"/>
        <w:rPr>
          <w:color w:val="auto"/>
          <w:spacing w:val="-10"/>
          <w:sz w:val="28"/>
          <w:szCs w:val="28"/>
          <w:highlight w:val="none"/>
        </w:rPr>
      </w:pPr>
      <w:r>
        <w:rPr>
          <w:rFonts w:hint="eastAsia"/>
          <w:color w:val="auto"/>
          <w:spacing w:val="-10"/>
          <w:sz w:val="28"/>
          <w:szCs w:val="28"/>
          <w:highlight w:val="none"/>
        </w:rPr>
        <w:t>招标代理机构法人代表：</w:t>
      </w:r>
      <w:r>
        <w:rPr>
          <w:i/>
          <w:color w:val="auto"/>
          <w:spacing w:val="-10"/>
          <w:sz w:val="28"/>
          <w:szCs w:val="28"/>
          <w:highlight w:val="none"/>
          <w:u w:val="single"/>
        </w:rPr>
        <w:t xml:space="preserve">   </w:t>
      </w:r>
      <w:r>
        <w:rPr>
          <w:rFonts w:hint="eastAsia"/>
          <w:iCs/>
          <w:color w:val="auto"/>
          <w:spacing w:val="-10"/>
          <w:sz w:val="28"/>
          <w:szCs w:val="28"/>
          <w:highlight w:val="none"/>
          <w:u w:val="single"/>
        </w:rPr>
        <w:t>何关明</w:t>
      </w:r>
      <w:r>
        <w:rPr>
          <w:rFonts w:hint="eastAsia"/>
          <w:iCs/>
          <w:color w:val="auto"/>
          <w:spacing w:val="-10"/>
          <w:sz w:val="28"/>
          <w:szCs w:val="28"/>
          <w:highlight w:val="none"/>
          <w:u w:val="single"/>
        </w:rPr>
        <w:tab/>
      </w:r>
      <w:r>
        <w:rPr>
          <w:iCs/>
          <w:color w:val="auto"/>
          <w:spacing w:val="-10"/>
          <w:sz w:val="28"/>
          <w:szCs w:val="28"/>
          <w:highlight w:val="none"/>
          <w:u w:val="single"/>
        </w:rPr>
        <w:t xml:space="preserve">   </w:t>
      </w:r>
      <w:r>
        <w:rPr>
          <w:i/>
          <w:color w:val="auto"/>
          <w:spacing w:val="-10"/>
          <w:sz w:val="28"/>
          <w:szCs w:val="28"/>
          <w:highlight w:val="none"/>
          <w:u w:val="single"/>
        </w:rPr>
        <w:t xml:space="preserve">   </w:t>
      </w:r>
      <w:r>
        <w:rPr>
          <w:rFonts w:hint="eastAsia"/>
          <w:color w:val="auto"/>
          <w:spacing w:val="-10"/>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联系人：</w:t>
      </w:r>
      <w:r>
        <w:rPr>
          <w:i/>
          <w:color w:val="auto"/>
          <w:sz w:val="28"/>
          <w:highlight w:val="none"/>
          <w:u w:val="single"/>
        </w:rPr>
        <w:t xml:space="preserve"> </w:t>
      </w:r>
      <w:r>
        <w:rPr>
          <w:rFonts w:hint="eastAsia"/>
          <w:iCs/>
          <w:color w:val="auto"/>
          <w:sz w:val="28"/>
          <w:highlight w:val="none"/>
          <w:u w:val="single"/>
        </w:rPr>
        <w:t>张雅美</w:t>
      </w:r>
      <w:r>
        <w:rPr>
          <w:iCs/>
          <w:color w:val="auto"/>
          <w:sz w:val="28"/>
          <w:highlight w:val="none"/>
          <w:u w:val="single"/>
        </w:rPr>
        <w:t xml:space="preserve"> </w:t>
      </w:r>
      <w:r>
        <w:rPr>
          <w:color w:val="auto"/>
          <w:sz w:val="28"/>
          <w:highlight w:val="none"/>
          <w:u w:val="single"/>
        </w:rPr>
        <w:t xml:space="preserve"> </w:t>
      </w:r>
      <w:r>
        <w:rPr>
          <w:rFonts w:hint="eastAsia"/>
          <w:color w:val="auto"/>
          <w:sz w:val="28"/>
          <w:highlight w:val="none"/>
          <w:u w:val="singl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0575-85209901  </w:t>
      </w:r>
    </w:p>
    <w:p>
      <w:pPr>
        <w:spacing w:line="600" w:lineRule="exact"/>
        <w:ind w:firstLine="700" w:firstLineChars="250"/>
        <w:rPr>
          <w:color w:val="auto"/>
          <w:sz w:val="28"/>
          <w:highlight w:val="none"/>
          <w:u w:val="single"/>
        </w:rPr>
      </w:pPr>
      <w:r>
        <w:rPr>
          <w:rFonts w:hint="eastAsia"/>
          <w:color w:val="auto"/>
          <w:sz w:val="28"/>
          <w:highlight w:val="none"/>
        </w:rPr>
        <w:t>手  机：</w:t>
      </w:r>
      <w:r>
        <w:rPr>
          <w:rFonts w:hint="eastAsia"/>
          <w:color w:val="auto"/>
          <w:sz w:val="28"/>
          <w:highlight w:val="none"/>
          <w:u w:val="single"/>
        </w:rPr>
        <w:t xml:space="preserve">13957571013  </w:t>
      </w:r>
    </w:p>
    <w:p>
      <w:pPr>
        <w:spacing w:line="600" w:lineRule="exact"/>
        <w:ind w:firstLine="700" w:firstLineChars="250"/>
        <w:rPr>
          <w:color w:val="auto"/>
          <w:sz w:val="28"/>
          <w:highlight w:val="none"/>
        </w:rPr>
      </w:pPr>
      <w:r>
        <w:rPr>
          <w:rFonts w:hint="eastAsia"/>
          <w:color w:val="auto"/>
          <w:sz w:val="28"/>
          <w:highlight w:val="none"/>
        </w:rPr>
        <w:t>签发日期：</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spacing w:line="540" w:lineRule="exact"/>
        <w:rPr>
          <w:color w:val="auto"/>
          <w:sz w:val="28"/>
          <w:highlight w:val="none"/>
          <w:u w:val="single"/>
        </w:rPr>
      </w:pPr>
    </w:p>
    <w:p>
      <w:pPr>
        <w:spacing w:line="360" w:lineRule="auto"/>
        <w:ind w:firstLine="700" w:firstLineChars="250"/>
        <w:rPr>
          <w:color w:val="auto"/>
          <w:sz w:val="28"/>
          <w:highlight w:val="none"/>
        </w:rPr>
      </w:pPr>
      <w:r>
        <w:rPr>
          <w:rFonts w:hint="eastAsia"/>
          <w:color w:val="auto"/>
          <w:sz w:val="28"/>
          <w:highlight w:val="none"/>
        </w:rPr>
        <w:t>备案单位：</w:t>
      </w:r>
      <w:r>
        <w:rPr>
          <w:i/>
          <w:color w:val="auto"/>
          <w:sz w:val="28"/>
          <w:highlight w:val="none"/>
          <w:u w:val="single"/>
        </w:rPr>
        <w:t xml:space="preserve">                                 </w:t>
      </w:r>
      <w:r>
        <w:rPr>
          <w:rFonts w:hint="eastAsia"/>
          <w:color w:val="auto"/>
          <w:sz w:val="28"/>
          <w:highlight w:val="none"/>
        </w:rPr>
        <w:t>（盖章）</w:t>
      </w:r>
    </w:p>
    <w:p>
      <w:pPr>
        <w:spacing w:line="360" w:lineRule="auto"/>
        <w:ind w:firstLine="700" w:firstLineChars="250"/>
        <w:rPr>
          <w:color w:val="auto"/>
          <w:sz w:val="28"/>
          <w:highlight w:val="none"/>
        </w:rPr>
      </w:pPr>
      <w:r>
        <w:rPr>
          <w:rFonts w:hint="eastAsia"/>
          <w:color w:val="auto"/>
          <w:sz w:val="28"/>
          <w:highlight w:val="none"/>
        </w:rPr>
        <w:t>备案经办人：</w:t>
      </w:r>
      <w:r>
        <w:rPr>
          <w:i/>
          <w:color w:val="auto"/>
          <w:sz w:val="28"/>
          <w:highlight w:val="none"/>
          <w:u w:val="single"/>
        </w:rPr>
        <w:t xml:space="preserve">                               </w:t>
      </w:r>
      <w:r>
        <w:rPr>
          <w:rFonts w:hint="eastAsia"/>
          <w:color w:val="auto"/>
          <w:sz w:val="28"/>
          <w:highlight w:val="none"/>
        </w:rPr>
        <w:t>（签字）</w:t>
      </w:r>
    </w:p>
    <w:p>
      <w:pPr>
        <w:spacing w:line="360" w:lineRule="auto"/>
        <w:ind w:firstLine="700" w:firstLineChars="250"/>
        <w:rPr>
          <w:color w:val="auto"/>
          <w:sz w:val="44"/>
          <w:highlight w:val="none"/>
        </w:rPr>
        <w:sectPr>
          <w:footerReference r:id="rId3" w:type="default"/>
          <w:pgSz w:w="11910" w:h="16840"/>
          <w:pgMar w:top="1580" w:right="540" w:bottom="280" w:left="1020" w:header="720" w:footer="720" w:gutter="0"/>
          <w:cols w:space="720" w:num="1"/>
        </w:sectPr>
      </w:pPr>
      <w:r>
        <w:rPr>
          <w:rFonts w:hint="eastAsia"/>
          <w:color w:val="auto"/>
          <w:sz w:val="28"/>
          <w:highlight w:val="none"/>
        </w:rPr>
        <w:t>备案日期：</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pStyle w:val="2"/>
        <w:rPr>
          <w:color w:val="auto"/>
          <w:highlight w:val="none"/>
        </w:rPr>
      </w:pPr>
      <w:bookmarkStart w:id="0" w:name="_Toc10676"/>
      <w:r>
        <w:rPr>
          <w:rFonts w:hint="eastAsia"/>
          <w:color w:val="auto"/>
          <w:highlight w:val="none"/>
        </w:rPr>
        <w:t>第一章 招标公告</w:t>
      </w:r>
      <w:bookmarkEnd w:id="0"/>
    </w:p>
    <w:p>
      <w:pPr>
        <w:spacing w:line="340" w:lineRule="exact"/>
        <w:jc w:val="center"/>
        <w:rPr>
          <w:rFonts w:ascii="宋体" w:hAnsi="宋体"/>
          <w:b/>
          <w:color w:val="auto"/>
          <w:sz w:val="32"/>
          <w:szCs w:val="32"/>
          <w:highlight w:val="none"/>
        </w:rPr>
      </w:pPr>
      <w:r>
        <w:rPr>
          <w:rFonts w:hint="eastAsia" w:ascii="宋体" w:hAnsi="宋体"/>
          <w:color w:val="auto"/>
          <w:sz w:val="30"/>
          <w:szCs w:val="30"/>
          <w:highlight w:val="none"/>
          <w:u w:val="single"/>
        </w:rPr>
        <w:t>绍兴市妇幼保健院（绍兴市儿童医院）建设项目医疗辐射防护项目</w:t>
      </w:r>
      <w:r>
        <w:rPr>
          <w:rFonts w:hint="eastAsia" w:ascii="宋体" w:hAnsi="宋体"/>
          <w:b w:val="0"/>
          <w:color w:val="auto"/>
          <w:sz w:val="30"/>
          <w:szCs w:val="30"/>
          <w:highlight w:val="none"/>
          <w:u w:val="single"/>
        </w:rPr>
        <w:t>（重新招标）</w:t>
      </w:r>
      <w:r>
        <w:rPr>
          <w:rFonts w:hint="eastAsia" w:ascii="宋体" w:hAnsi="宋体"/>
          <w:b w:val="0"/>
          <w:color w:val="auto"/>
          <w:sz w:val="30"/>
          <w:szCs w:val="30"/>
          <w:highlight w:val="none"/>
          <w:u w:val="none"/>
          <w:lang w:val="en-US" w:eastAsia="zh-CN"/>
        </w:rPr>
        <w:t xml:space="preserve">  </w:t>
      </w:r>
      <w:r>
        <w:rPr>
          <w:rFonts w:hint="eastAsia" w:ascii="宋体" w:hAnsi="宋体"/>
          <w:b/>
          <w:color w:val="auto"/>
          <w:sz w:val="32"/>
          <w:szCs w:val="32"/>
          <w:highlight w:val="none"/>
        </w:rPr>
        <w:t>招标公告</w:t>
      </w:r>
    </w:p>
    <w:p>
      <w:pPr>
        <w:widowControl/>
        <w:spacing w:before="0" w:beforeLines="-2147483648" w:line="340" w:lineRule="exact"/>
        <w:ind w:firstLine="420" w:firstLineChars="200"/>
        <w:rPr>
          <w:rFonts w:hint="default" w:ascii="宋体" w:hAnsi="宋体" w:cs="Arial"/>
          <w:color w:val="auto"/>
          <w:sz w:val="21"/>
          <w:szCs w:val="21"/>
          <w:highlight w:val="none"/>
        </w:rPr>
      </w:pPr>
      <w:r>
        <w:rPr>
          <w:rFonts w:hint="default" w:ascii="宋体" w:hAnsi="宋体" w:cs="Arial"/>
          <w:color w:val="auto"/>
          <w:sz w:val="21"/>
          <w:szCs w:val="21"/>
          <w:highlight w:val="none"/>
        </w:rPr>
        <w:t>绍兴市妇幼保健院（绍兴市儿童医院）建设项目医疗辐射防护项目已于2021年10月14日在绍兴市公共资源交易中心网上发布招标信息，于2021年11月11日09:30时在绍兴市公共资源交易中心开标，因资格审查结果有效投标单位不足3家流标。根据相关规定要求，重新发布招标信息，重新组织招标。</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1.招标条件</w:t>
      </w:r>
    </w:p>
    <w:p>
      <w:pPr>
        <w:widowControl/>
        <w:spacing w:line="340" w:lineRule="exact"/>
        <w:ind w:firstLine="420" w:firstLineChars="200"/>
        <w:rPr>
          <w:rFonts w:ascii="宋体" w:hAnsi="宋体" w:cs="Arial"/>
          <w:color w:val="auto"/>
          <w:szCs w:val="21"/>
          <w:highlight w:val="none"/>
        </w:rPr>
      </w:pPr>
      <w:r>
        <w:rPr>
          <w:rFonts w:ascii="宋体" w:hAnsi="宋体" w:cs="Arial"/>
          <w:color w:val="auto"/>
          <w:szCs w:val="21"/>
          <w:highlight w:val="none"/>
        </w:rPr>
        <w:t>本招标项目</w:t>
      </w:r>
      <w:r>
        <w:rPr>
          <w:rFonts w:hint="eastAsia" w:ascii="宋体" w:hAnsi="宋体" w:cs="宋体"/>
          <w:b/>
          <w:bCs/>
          <w:color w:val="auto"/>
          <w:szCs w:val="21"/>
          <w:highlight w:val="none"/>
          <w:u w:val="single"/>
        </w:rPr>
        <w:t>绍兴市妇幼保健院（绍兴市儿童医院）建设项目</w:t>
      </w:r>
      <w:r>
        <w:rPr>
          <w:rFonts w:ascii="宋体" w:hAnsi="宋体" w:cs="Arial"/>
          <w:color w:val="auto"/>
          <w:szCs w:val="21"/>
          <w:highlight w:val="none"/>
        </w:rPr>
        <w:t>（项目名称）已由</w:t>
      </w:r>
      <w:r>
        <w:rPr>
          <w:rFonts w:hint="eastAsia" w:ascii="宋体" w:hAnsi="宋体" w:cs="Arial"/>
          <w:b/>
          <w:color w:val="auto"/>
          <w:szCs w:val="21"/>
          <w:highlight w:val="none"/>
          <w:u w:val="single"/>
        </w:rPr>
        <w:t>绍兴市发展和改革委员会</w:t>
      </w:r>
      <w:r>
        <w:rPr>
          <w:rFonts w:ascii="宋体" w:hAnsi="宋体" w:cs="Arial"/>
          <w:color w:val="auto"/>
          <w:szCs w:val="21"/>
          <w:highlight w:val="none"/>
          <w:u w:val="single"/>
        </w:rPr>
        <w:t>（</w:t>
      </w:r>
      <w:r>
        <w:rPr>
          <w:rFonts w:ascii="宋体" w:hAnsi="宋体" w:cs="Arial"/>
          <w:color w:val="auto"/>
          <w:szCs w:val="21"/>
          <w:highlight w:val="none"/>
        </w:rPr>
        <w:t>项目审批、核准或备案机关名称）以</w:t>
      </w:r>
      <w:r>
        <w:rPr>
          <w:rFonts w:hint="eastAsia" w:ascii="宋体" w:hAnsi="宋体" w:cs="Arial"/>
          <w:b/>
          <w:color w:val="auto"/>
          <w:szCs w:val="21"/>
          <w:highlight w:val="none"/>
          <w:u w:val="single"/>
        </w:rPr>
        <w:t>绍市发改中心【2019】29号</w:t>
      </w:r>
      <w:r>
        <w:rPr>
          <w:rFonts w:ascii="宋体" w:hAnsi="宋体" w:cs="Arial"/>
          <w:color w:val="auto"/>
          <w:szCs w:val="21"/>
          <w:highlight w:val="none"/>
        </w:rPr>
        <w:t>（批文名称及编号）批准建设，项目业主为</w:t>
      </w:r>
      <w:r>
        <w:rPr>
          <w:rFonts w:hint="eastAsia" w:ascii="宋体" w:hAnsi="宋体" w:cs="Arial"/>
          <w:b/>
          <w:iCs/>
          <w:color w:val="auto"/>
          <w:szCs w:val="21"/>
          <w:highlight w:val="none"/>
          <w:u w:val="single"/>
        </w:rPr>
        <w:t>绍兴市妇幼保健院</w:t>
      </w:r>
      <w:r>
        <w:rPr>
          <w:rFonts w:ascii="宋体" w:hAnsi="宋体" w:cs="Arial"/>
          <w:color w:val="auto"/>
          <w:szCs w:val="21"/>
          <w:highlight w:val="none"/>
        </w:rPr>
        <w:t>，建设资金来自</w:t>
      </w:r>
      <w:r>
        <w:rPr>
          <w:rFonts w:hint="eastAsia" w:ascii="宋体" w:hAnsi="宋体" w:cs="宋体"/>
          <w:b/>
          <w:color w:val="auto"/>
          <w:szCs w:val="21"/>
          <w:highlight w:val="none"/>
          <w:u w:val="single"/>
        </w:rPr>
        <w:t>市财政</w:t>
      </w:r>
      <w:r>
        <w:rPr>
          <w:rFonts w:ascii="宋体" w:hAnsi="宋体" w:cs="Arial"/>
          <w:color w:val="auto"/>
          <w:szCs w:val="21"/>
          <w:highlight w:val="none"/>
        </w:rPr>
        <w:t>（资金来源），项目出资比例为</w:t>
      </w:r>
      <w:r>
        <w:rPr>
          <w:rFonts w:hint="eastAsia" w:ascii="宋体" w:hAnsi="宋体" w:cs="Arial"/>
          <w:b/>
          <w:color w:val="auto"/>
          <w:szCs w:val="21"/>
          <w:highlight w:val="none"/>
          <w:u w:val="single"/>
        </w:rPr>
        <w:t>100%</w:t>
      </w:r>
      <w:r>
        <w:rPr>
          <w:rFonts w:ascii="宋体" w:hAnsi="宋体" w:cs="Arial"/>
          <w:color w:val="auto"/>
          <w:szCs w:val="21"/>
          <w:highlight w:val="none"/>
        </w:rPr>
        <w:t>，招标人为</w:t>
      </w:r>
      <w:r>
        <w:rPr>
          <w:rFonts w:hint="eastAsia" w:ascii="宋体" w:hAnsi="宋体" w:cs="Arial"/>
          <w:b/>
          <w:iCs/>
          <w:color w:val="auto"/>
          <w:szCs w:val="21"/>
          <w:highlight w:val="none"/>
          <w:u w:val="single"/>
        </w:rPr>
        <w:t>浙江精工钢结构集团有限公司</w:t>
      </w:r>
      <w:r>
        <w:rPr>
          <w:rFonts w:ascii="宋体" w:hAnsi="宋体" w:cs="Arial"/>
          <w:color w:val="auto"/>
          <w:szCs w:val="21"/>
          <w:highlight w:val="none"/>
        </w:rPr>
        <w:t>。项目已具备招标条件，现对该项目的</w:t>
      </w:r>
      <w:r>
        <w:rPr>
          <w:rFonts w:hint="eastAsia" w:ascii="宋体" w:hAnsi="宋体"/>
          <w:b/>
          <w:bCs/>
          <w:color w:val="auto"/>
          <w:szCs w:val="21"/>
          <w:highlight w:val="none"/>
          <w:u w:val="single"/>
        </w:rPr>
        <w:t>辐射</w:t>
      </w:r>
      <w:r>
        <w:rPr>
          <w:rFonts w:hint="eastAsia" w:ascii="宋体" w:hAnsi="宋体"/>
          <w:b/>
          <w:color w:val="auto"/>
          <w:kern w:val="58"/>
          <w:szCs w:val="21"/>
          <w:highlight w:val="none"/>
          <w:u w:val="single"/>
        </w:rPr>
        <w:t>防护项目</w:t>
      </w:r>
      <w:r>
        <w:rPr>
          <w:rFonts w:ascii="宋体" w:hAnsi="宋体" w:cs="Arial"/>
          <w:color w:val="auto"/>
          <w:szCs w:val="21"/>
          <w:highlight w:val="none"/>
        </w:rPr>
        <w:t>进行</w:t>
      </w:r>
      <w:r>
        <w:rPr>
          <w:rFonts w:hint="eastAsia" w:ascii="宋体" w:hAnsi="宋体" w:cs="Arial"/>
          <w:b/>
          <w:color w:val="auto"/>
          <w:szCs w:val="21"/>
          <w:highlight w:val="none"/>
          <w:u w:val="single"/>
        </w:rPr>
        <w:t>公开</w:t>
      </w:r>
      <w:r>
        <w:rPr>
          <w:rFonts w:ascii="宋体" w:hAnsi="宋体" w:cs="Arial"/>
          <w:color w:val="auto"/>
          <w:szCs w:val="21"/>
          <w:highlight w:val="none"/>
        </w:rPr>
        <w:t>招标。</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2.项目概况与招标范围</w:t>
      </w:r>
    </w:p>
    <w:p>
      <w:pPr>
        <w:widowControl/>
        <w:spacing w:line="340" w:lineRule="exact"/>
        <w:rPr>
          <w:rFonts w:ascii="宋体" w:hAnsi="宋体" w:cs="Arial"/>
          <w:color w:val="auto"/>
          <w:szCs w:val="21"/>
          <w:highlight w:val="none"/>
        </w:rPr>
      </w:pPr>
      <w:r>
        <w:rPr>
          <w:rFonts w:ascii="宋体" w:hAnsi="宋体" w:cs="Arial"/>
          <w:color w:val="auto"/>
          <w:szCs w:val="21"/>
          <w:highlight w:val="none"/>
        </w:rPr>
        <w:t>2.1 建设地点：</w:t>
      </w:r>
      <w:r>
        <w:rPr>
          <w:rFonts w:hint="eastAsia" w:ascii="宋体" w:hAnsi="宋体" w:cs="Arial"/>
          <w:b/>
          <w:color w:val="auto"/>
          <w:szCs w:val="21"/>
          <w:highlight w:val="none"/>
          <w:u w:val="single"/>
        </w:rPr>
        <w:t>绍兴市越城区</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2.2 建设规模：</w:t>
      </w:r>
      <w:r>
        <w:rPr>
          <w:rFonts w:hint="eastAsia" w:ascii="宋体" w:hAnsi="宋体" w:cs="宋体"/>
          <w:b/>
          <w:bCs/>
          <w:color w:val="auto"/>
          <w:szCs w:val="21"/>
          <w:highlight w:val="none"/>
          <w:u w:val="single"/>
        </w:rPr>
        <w:t>项目总用地面积85933平方米，总建筑面积约202998.96平方米（其中地上建筑面积134103.66平方米，地下建筑面积68895.3平方米），机动车停车位1551个，床位1500张（其中核定床位1000张，预留500张作为发展用床），总投资148848.2万元，建安费127633.56万元。建设内容包括：门急诊医技综合楼、行政后勤楼、妇幼保健楼、住院楼、污水处理站、配电房和柴油发电机用房等，其中门急诊楼医技综合楼、行政后勤楼、儿科住院楼、妇科住院楼等主体为钢框架结构，单体60％装配率</w:t>
      </w:r>
      <w:r>
        <w:rPr>
          <w:rFonts w:ascii="宋体" w:hAnsi="宋体" w:cs="Arial"/>
          <w:color w:val="auto"/>
          <w:szCs w:val="21"/>
          <w:highlight w:val="none"/>
        </w:rPr>
        <w:t>。</w:t>
      </w:r>
      <w:r>
        <w:rPr>
          <w:rFonts w:hint="eastAsia" w:ascii="宋体" w:hAnsi="宋体" w:cs="Arial"/>
          <w:color w:val="auto"/>
          <w:szCs w:val="21"/>
          <w:highlight w:val="none"/>
        </w:rPr>
        <w:t>招标</w:t>
      </w:r>
      <w:r>
        <w:rPr>
          <w:rFonts w:ascii="宋体" w:hAnsi="宋体" w:cs="Arial"/>
          <w:color w:val="auto"/>
          <w:szCs w:val="21"/>
          <w:highlight w:val="none"/>
        </w:rPr>
        <w:t>估算价：</w:t>
      </w:r>
      <w:r>
        <w:rPr>
          <w:rFonts w:hint="eastAsia" w:ascii="宋体" w:hAnsi="宋体" w:cs="Arial"/>
          <w:color w:val="auto"/>
          <w:szCs w:val="21"/>
          <w:highlight w:val="none"/>
        </w:rPr>
        <w:t xml:space="preserve"> </w:t>
      </w:r>
      <w:r>
        <w:rPr>
          <w:rFonts w:hint="eastAsia" w:ascii="宋体" w:hAnsi="宋体" w:cs="Arial"/>
          <w:b/>
          <w:color w:val="auto"/>
          <w:szCs w:val="21"/>
          <w:highlight w:val="none"/>
          <w:u w:val="single"/>
        </w:rPr>
        <w:t>228</w:t>
      </w:r>
      <w:r>
        <w:rPr>
          <w:rFonts w:ascii="宋体" w:hAnsi="宋体" w:cs="Arial"/>
          <w:color w:val="auto"/>
          <w:szCs w:val="21"/>
          <w:highlight w:val="none"/>
        </w:rPr>
        <w:t>万元。</w:t>
      </w:r>
    </w:p>
    <w:p>
      <w:pPr>
        <w:ind w:firstLine="420" w:firstLineChars="200"/>
        <w:jc w:val="left"/>
        <w:rPr>
          <w:rFonts w:ascii="宋体" w:hAnsi="宋体" w:cs="宋体"/>
          <w:b/>
          <w:bCs/>
          <w:color w:val="auto"/>
          <w:szCs w:val="21"/>
          <w:highlight w:val="none"/>
        </w:rPr>
      </w:pPr>
      <w:r>
        <w:rPr>
          <w:rFonts w:ascii="宋体" w:hAnsi="宋体" w:cs="Arial"/>
          <w:color w:val="auto"/>
          <w:szCs w:val="21"/>
          <w:highlight w:val="none"/>
        </w:rPr>
        <w:t>2.3 招标范围：</w:t>
      </w:r>
      <w:r>
        <w:rPr>
          <w:rFonts w:hint="eastAsia" w:ascii="宋体" w:hAnsi="宋体" w:cs="宋体"/>
          <w:b/>
          <w:bCs/>
          <w:color w:val="auto"/>
          <w:szCs w:val="21"/>
          <w:highlight w:val="none"/>
        </w:rPr>
        <w:t>绍兴市妇幼保健院（绍兴市儿童医院）建设项目医疗辐射防护项目，①放射科位于门急诊医技楼一层，设有DR室、CT室、MRI室、造影室以及设备间；②体检中心放射科位于妇科住院楼二层，设有骨密度、DR、CT、钼靶以及控制室；③NICU放射科位于妇科住院楼三层，设有1间X线室(防护)；④发热门诊CT室、移动X射线；⑤手术室的DSA房间等招标图范围内房间。详见招标文件  “技术标准和要求”。</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招标人提供的防辐射系统设备采购及安装的防辐射图纸中的所有工程内容，包括防辐射工程施工图的进一步深化设计、材料供货、运输、卸货、保管、施工、安装、调试、检测、防辐射标识标记等并最终通过验收，同时负责技术服务与培训，提交相关技术资料以及质保期内的维修保养等，并提供磁屏蔽第三方性能检测，放射第三方环评、控评、机房性能检测、放射设备性能检测，及辐射安全许可、放射诊疗许可变更等手续及相关费用。</w:t>
      </w:r>
    </w:p>
    <w:p>
      <w:pPr>
        <w:pStyle w:val="9"/>
        <w:ind w:firstLine="422" w:firstLineChars="200"/>
        <w:rPr>
          <w:rFonts w:ascii="宋体" w:hAnsi="宋体" w:cs="宋体"/>
          <w:b/>
          <w:bCs/>
          <w:color w:val="auto"/>
          <w:sz w:val="21"/>
          <w:szCs w:val="21"/>
          <w:highlight w:val="none"/>
        </w:rPr>
      </w:pPr>
      <w:r>
        <w:rPr>
          <w:rFonts w:hint="eastAsia" w:ascii="宋体" w:hAnsi="宋体" w:cs="宋体"/>
          <w:b/>
          <w:bCs/>
          <w:color w:val="auto"/>
          <w:sz w:val="21"/>
          <w:szCs w:val="21"/>
          <w:highlight w:val="none"/>
        </w:rPr>
        <w:t>总承包单位负责：按图纸施工，总包施工至结构层，移交防火门、井道防火门及其钥匙；</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防辐射专业承包商负责：①放射防护区域范围内的防护墙体、防护顶棚以及防护门、铅玻璃观察窗、房间内装饰；②机房内工作插座、照明、弱电等布置和等电位联接；③根据机房设备线路布局图设置地面暗槽等防护设施均由防护专业单位施工；其他专业由其他相关单位完成。④对图纸进行二次深化工作，要求二次深化图加盖相应资质的章，经深圳市建筑设计研究总院审核认可并盖章。</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中标人需对图纸进行二次深化工作（中标单位在中标之前，所发生的设计变更,设计院未修改到位的，需由中标单位负责深化），要求二次深化图加盖相应资质的章，经深圳市建筑设计研究总院（及其医疗专项分包单位）审核认可并盖章。中标单位二次深化后总费用不能超过中标价，且优化方案必须经过业主认可方能最终实施（如有图纸、清单不明确或缺项的内容须无条件按业主要求进行设计和施工，并最终通过验收）。</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4</w:t>
      </w:r>
      <w:r>
        <w:rPr>
          <w:rFonts w:ascii="宋体" w:hAnsi="宋体" w:cs="Arial"/>
          <w:color w:val="auto"/>
          <w:szCs w:val="21"/>
          <w:highlight w:val="none"/>
        </w:rPr>
        <w:t>计划工期：</w:t>
      </w:r>
      <w:r>
        <w:rPr>
          <w:rFonts w:hint="eastAsia" w:ascii="宋体" w:hAnsi="宋体"/>
          <w:color w:val="auto"/>
          <w:highlight w:val="none"/>
        </w:rPr>
        <w:t>以招标人发出的开工指令后210日历天，具体应与工程施工总进度计划同步（</w:t>
      </w:r>
      <w:r>
        <w:rPr>
          <w:rFonts w:hint="eastAsia"/>
          <w:color w:val="auto"/>
          <w:highlight w:val="none"/>
        </w:rPr>
        <w:t>根据医院设备安装进度，完成该工程并在30个工作日内出具相关检测报告</w:t>
      </w:r>
      <w:r>
        <w:rPr>
          <w:rFonts w:hint="eastAsia" w:ascii="宋体" w:hAnsi="宋体"/>
          <w:color w:val="auto"/>
          <w:highlight w:val="none"/>
        </w:rPr>
        <w:t>）</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u w:val="single"/>
        </w:rPr>
      </w:pPr>
      <w:r>
        <w:rPr>
          <w:rFonts w:ascii="宋体" w:hAnsi="宋体" w:cs="Arial"/>
          <w:color w:val="auto"/>
          <w:szCs w:val="21"/>
          <w:highlight w:val="none"/>
        </w:rPr>
        <w:t>2.</w:t>
      </w:r>
      <w:r>
        <w:rPr>
          <w:rFonts w:hint="eastAsia" w:ascii="宋体" w:hAnsi="宋体" w:cs="Arial"/>
          <w:color w:val="auto"/>
          <w:szCs w:val="21"/>
          <w:highlight w:val="none"/>
        </w:rPr>
        <w:t>5</w:t>
      </w:r>
      <w:r>
        <w:rPr>
          <w:rFonts w:ascii="宋体" w:hAnsi="宋体" w:cs="Arial"/>
          <w:color w:val="auto"/>
          <w:szCs w:val="21"/>
          <w:highlight w:val="none"/>
        </w:rPr>
        <w:t xml:space="preserve"> 质量要求：</w:t>
      </w:r>
      <w:r>
        <w:rPr>
          <w:rFonts w:hint="eastAsia" w:ascii="宋体" w:hAnsi="宋体"/>
          <w:color w:val="auto"/>
          <w:highlight w:val="none"/>
        </w:rPr>
        <w:t>合格。配合总承包单位争创钱江杯、鲁班奖。</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6</w:t>
      </w:r>
      <w:r>
        <w:rPr>
          <w:rFonts w:ascii="宋体" w:hAnsi="宋体" w:cs="Arial"/>
          <w:color w:val="auto"/>
          <w:szCs w:val="21"/>
          <w:highlight w:val="none"/>
        </w:rPr>
        <w:t>标段划分：</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7</w:t>
      </w:r>
      <w:r>
        <w:rPr>
          <w:rFonts w:ascii="宋体" w:hAnsi="宋体" w:cs="Arial"/>
          <w:color w:val="auto"/>
          <w:szCs w:val="21"/>
          <w:highlight w:val="none"/>
        </w:rPr>
        <w:t>资格审查方式：</w:t>
      </w:r>
      <w:r>
        <w:rPr>
          <w:rFonts w:hint="eastAsia" w:ascii="宋体" w:hAnsi="宋体" w:cs="宋体"/>
          <w:b/>
          <w:iCs/>
          <w:color w:val="auto"/>
          <w:szCs w:val="21"/>
          <w:highlight w:val="none"/>
          <w:u w:val="single"/>
        </w:rPr>
        <w:t>资格后审</w:t>
      </w:r>
      <w:r>
        <w:rPr>
          <w:rFonts w:ascii="宋体" w:hAnsi="宋体" w:cs="Arial"/>
          <w:color w:val="auto"/>
          <w:szCs w:val="21"/>
          <w:highlight w:val="none"/>
        </w:rPr>
        <w:t xml:space="preserve">。  </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 xml:space="preserve">3.投标人资格要求 </w:t>
      </w:r>
    </w:p>
    <w:p>
      <w:pPr>
        <w:widowControl/>
        <w:spacing w:line="340" w:lineRule="exact"/>
        <w:rPr>
          <w:rFonts w:ascii="宋体" w:hAnsi="宋体" w:cs="Arial"/>
          <w:color w:val="auto"/>
          <w:szCs w:val="21"/>
          <w:highlight w:val="none"/>
        </w:rPr>
      </w:pPr>
      <w:r>
        <w:rPr>
          <w:rFonts w:ascii="宋体" w:hAnsi="宋体" w:cs="Arial"/>
          <w:color w:val="auto"/>
          <w:szCs w:val="21"/>
          <w:highlight w:val="none"/>
        </w:rPr>
        <w:t>3.1 本次招标要求投标人</w:t>
      </w:r>
      <w:r>
        <w:rPr>
          <w:rFonts w:hint="eastAsia" w:ascii="宋体" w:hAnsi="宋体" w:cs="宋体"/>
          <w:b/>
          <w:iCs/>
          <w:color w:val="auto"/>
          <w:szCs w:val="21"/>
          <w:highlight w:val="none"/>
          <w:u w:val="single"/>
        </w:rPr>
        <w:t>建筑装修装饰工程专业承包二级及以上资质，且具有企业安全生产许可证。</w:t>
      </w:r>
    </w:p>
    <w:p>
      <w:pPr>
        <w:pStyle w:val="5"/>
        <w:spacing w:before="0" w:after="0" w:line="340" w:lineRule="exact"/>
        <w:ind w:firstLine="422" w:firstLineChars="200"/>
        <w:rPr>
          <w:rFonts w:ascii="宋体" w:hAnsi="宋体" w:eastAsia="宋体" w:cs="宋体"/>
          <w:bCs w:val="0"/>
          <w:iCs/>
          <w:color w:val="auto"/>
          <w:sz w:val="21"/>
          <w:szCs w:val="21"/>
          <w:highlight w:val="none"/>
          <w:u w:val="single"/>
        </w:rPr>
      </w:pPr>
      <w:r>
        <w:rPr>
          <w:rFonts w:hint="eastAsia" w:ascii="宋体" w:hAnsi="宋体" w:eastAsia="宋体" w:cs="宋体"/>
          <w:bCs w:val="0"/>
          <w:iCs/>
          <w:color w:val="auto"/>
          <w:sz w:val="21"/>
          <w:szCs w:val="21"/>
          <w:highlight w:val="none"/>
          <w:u w:val="single"/>
        </w:rPr>
        <w:t>项目负责人资格要求：具有建筑工程专业注册建造师二级及以上注册证书，具有安全生产考核合格证（B证），且无在建工程，拟派项目负责人须为投标人在职职工（在职职工不包括离、退休返聘人员），以提供缴费期限包含2021年0</w:t>
      </w:r>
      <w:r>
        <w:rPr>
          <w:rFonts w:hint="eastAsia" w:ascii="宋体" w:hAnsi="宋体" w:eastAsia="宋体" w:cs="宋体"/>
          <w:bCs w:val="0"/>
          <w:iCs/>
          <w:color w:val="auto"/>
          <w:sz w:val="21"/>
          <w:szCs w:val="21"/>
          <w:highlight w:val="none"/>
          <w:u w:val="single"/>
          <w:lang w:val="en-US" w:eastAsia="zh-CN"/>
        </w:rPr>
        <w:t>8</w:t>
      </w:r>
      <w:r>
        <w:rPr>
          <w:rFonts w:hint="eastAsia" w:ascii="宋体" w:hAnsi="宋体" w:eastAsia="宋体" w:cs="宋体"/>
          <w:bCs w:val="0"/>
          <w:iCs/>
          <w:color w:val="auto"/>
          <w:sz w:val="21"/>
          <w:szCs w:val="21"/>
          <w:highlight w:val="none"/>
          <w:u w:val="single"/>
        </w:rPr>
        <w:t>月至2021年</w:t>
      </w:r>
      <w:r>
        <w:rPr>
          <w:rFonts w:hint="eastAsia" w:ascii="宋体" w:hAnsi="宋体" w:eastAsia="宋体" w:cs="宋体"/>
          <w:bCs w:val="0"/>
          <w:iCs/>
          <w:color w:val="auto"/>
          <w:sz w:val="21"/>
          <w:szCs w:val="21"/>
          <w:highlight w:val="none"/>
          <w:u w:val="single"/>
          <w:lang w:val="en-US" w:eastAsia="zh-CN"/>
        </w:rPr>
        <w:t>10</w:t>
      </w:r>
      <w:r>
        <w:rPr>
          <w:rFonts w:hint="eastAsia" w:ascii="宋体" w:hAnsi="宋体" w:eastAsia="宋体" w:cs="宋体"/>
          <w:bCs w:val="0"/>
          <w:iCs/>
          <w:color w:val="auto"/>
          <w:sz w:val="21"/>
          <w:szCs w:val="21"/>
          <w:highlight w:val="none"/>
          <w:u w:val="single"/>
        </w:rPr>
        <w:t>月的投标人所属社保机构养老保险交纳清单或证明为准【缴费单位和投标单位名称必须一致，并加盖社保缴费证明专用章（或电子专用章）。</w:t>
      </w:r>
    </w:p>
    <w:p>
      <w:pPr>
        <w:widowControl/>
        <w:spacing w:line="340" w:lineRule="exact"/>
        <w:rPr>
          <w:rFonts w:ascii="宋体" w:hAnsi="宋体" w:cs="Arial"/>
          <w:color w:val="auto"/>
          <w:szCs w:val="21"/>
          <w:highlight w:val="none"/>
        </w:rPr>
      </w:pPr>
      <w:r>
        <w:rPr>
          <w:rFonts w:ascii="宋体" w:hAnsi="宋体" w:cs="Arial"/>
          <w:color w:val="auto"/>
          <w:szCs w:val="21"/>
          <w:highlight w:val="none"/>
        </w:rPr>
        <w:t>3.2主要设备、材料要求：</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3.3其他要求：</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3.3.1</w:t>
      </w:r>
      <w:r>
        <w:rPr>
          <w:rFonts w:hint="eastAsia" w:ascii="宋体" w:hAnsi="宋体" w:cs="Arial"/>
          <w:color w:val="auto"/>
          <w:szCs w:val="21"/>
          <w:highlight w:val="none"/>
        </w:rPr>
        <w:t>企业</w:t>
      </w:r>
      <w:r>
        <w:rPr>
          <w:rFonts w:ascii="宋体" w:hAnsi="宋体" w:cs="Arial"/>
          <w:color w:val="auto"/>
          <w:szCs w:val="21"/>
          <w:highlight w:val="none"/>
        </w:rPr>
        <w:t>具有</w:t>
      </w:r>
      <w:r>
        <w:rPr>
          <w:rFonts w:hint="eastAsia" w:ascii="宋体" w:hAnsi="宋体" w:cs="Arial"/>
          <w:color w:val="auto"/>
          <w:szCs w:val="21"/>
          <w:highlight w:val="none"/>
        </w:rPr>
        <w:t>绍兴市公共资源交易中心工程建设项目</w:t>
      </w:r>
      <w:r>
        <w:rPr>
          <w:rFonts w:hint="eastAsia" w:ascii="宋体" w:hAnsi="宋体" w:cs="Arial"/>
          <w:b/>
          <w:color w:val="auto"/>
          <w:szCs w:val="21"/>
          <w:highlight w:val="none"/>
          <w:u w:val="single"/>
        </w:rPr>
        <w:t>2021</w:t>
      </w:r>
      <w:r>
        <w:rPr>
          <w:rFonts w:hint="eastAsia" w:ascii="宋体" w:hAnsi="宋体" w:cs="宋体"/>
          <w:bCs/>
          <w:color w:val="auto"/>
          <w:szCs w:val="21"/>
          <w:highlight w:val="none"/>
        </w:rPr>
        <w:t>年度登记</w:t>
      </w:r>
      <w:r>
        <w:rPr>
          <w:rFonts w:ascii="宋体" w:hAnsi="宋体" w:cs="Arial"/>
          <w:color w:val="auto"/>
          <w:szCs w:val="21"/>
          <w:highlight w:val="none"/>
        </w:rPr>
        <w:t>资格</w:t>
      </w:r>
      <w:r>
        <w:rPr>
          <w:rFonts w:hint="eastAsia" w:ascii="宋体" w:hAnsi="宋体" w:cs="Arial"/>
          <w:color w:val="auto"/>
          <w:szCs w:val="21"/>
          <w:highlight w:val="none"/>
        </w:rPr>
        <w:t>并在有效期内。</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3.3.2</w:t>
      </w:r>
      <w:r>
        <w:rPr>
          <w:rFonts w:ascii="宋体" w:hAnsi="宋体" w:cs="Arial"/>
          <w:color w:val="auto"/>
          <w:szCs w:val="21"/>
          <w:highlight w:val="none"/>
        </w:rPr>
        <w:t>企业</w:t>
      </w:r>
      <w:r>
        <w:rPr>
          <w:rFonts w:hint="eastAsia" w:ascii="宋体" w:hAnsi="宋体" w:cs="Arial"/>
          <w:color w:val="auto"/>
          <w:szCs w:val="21"/>
          <w:highlight w:val="none"/>
        </w:rPr>
        <w:t>需要</w:t>
      </w:r>
      <w:r>
        <w:rPr>
          <w:rFonts w:hint="eastAsia" w:ascii="宋体" w:hAnsi="宋体"/>
          <w:b/>
          <w:color w:val="auto"/>
          <w:szCs w:val="21"/>
          <w:highlight w:val="none"/>
          <w:u w:val="single"/>
        </w:rPr>
        <w:t>经浙江省住建厅备案（省内企业不作要求）（有效期内）</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3</w:t>
      </w:r>
      <w:r>
        <w:rPr>
          <w:rFonts w:ascii="宋体" w:hAnsi="宋体" w:cs="Arial"/>
          <w:color w:val="auto"/>
          <w:szCs w:val="21"/>
          <w:highlight w:val="none"/>
        </w:rPr>
        <w:t>企业在</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年</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日前与</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签订劳动者工资保障金管理协议。</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4</w:t>
      </w:r>
      <w:r>
        <w:rPr>
          <w:rFonts w:ascii="宋体" w:hAnsi="宋体" w:cs="Arial"/>
          <w:color w:val="auto"/>
          <w:szCs w:val="21"/>
          <w:highlight w:val="none"/>
        </w:rPr>
        <w:t>企业和项目负责人</w:t>
      </w:r>
      <w:r>
        <w:rPr>
          <w:rFonts w:hint="eastAsia" w:ascii="宋体" w:hAnsi="宋体" w:cs="Arial"/>
          <w:color w:val="auto"/>
          <w:szCs w:val="21"/>
          <w:highlight w:val="none"/>
        </w:rPr>
        <w:t>近</w:t>
      </w:r>
      <w:r>
        <w:rPr>
          <w:rFonts w:hint="eastAsia" w:ascii="宋体" w:hAnsi="宋体" w:cs="Arial"/>
          <w:color w:val="auto"/>
          <w:szCs w:val="21"/>
          <w:highlight w:val="none"/>
          <w:u w:val="single"/>
        </w:rPr>
        <w:t xml:space="preserve"> </w:t>
      </w:r>
      <w:r>
        <w:rPr>
          <w:rFonts w:hint="eastAsia" w:ascii="宋体" w:hAnsi="宋体" w:cs="Arial"/>
          <w:b/>
          <w:bCs/>
          <w:color w:val="auto"/>
          <w:szCs w:val="21"/>
          <w:highlight w:val="none"/>
          <w:u w:val="single"/>
        </w:rPr>
        <w:t xml:space="preserve"> 五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年</w:t>
      </w:r>
      <w:r>
        <w:rPr>
          <w:rFonts w:ascii="宋体" w:hAnsi="宋体" w:cs="Arial"/>
          <w:color w:val="auto"/>
          <w:szCs w:val="21"/>
          <w:highlight w:val="none"/>
        </w:rPr>
        <w:t>无行贿犯罪记录</w:t>
      </w:r>
      <w:r>
        <w:rPr>
          <w:rFonts w:hint="eastAsia" w:ascii="宋体" w:hAnsi="宋体" w:cs="Arial"/>
          <w:color w:val="auto"/>
          <w:szCs w:val="21"/>
          <w:highlight w:val="none"/>
        </w:rPr>
        <w:t>（投标人提供承诺书）。</w:t>
      </w:r>
    </w:p>
    <w:p>
      <w:pPr>
        <w:widowControl/>
        <w:spacing w:line="340" w:lineRule="exact"/>
        <w:rPr>
          <w:rFonts w:ascii="宋体" w:hAnsi="宋体" w:cs="Arial"/>
          <w:color w:val="auto"/>
          <w:szCs w:val="21"/>
          <w:highlight w:val="none"/>
        </w:rPr>
      </w:pPr>
      <w:r>
        <w:rPr>
          <w:rFonts w:ascii="宋体" w:hAnsi="宋体" w:cs="Arial"/>
          <w:color w:val="auto"/>
          <w:szCs w:val="21"/>
          <w:highlight w:val="none"/>
        </w:rPr>
        <w:t>3.4 本次招标</w:t>
      </w:r>
      <w:r>
        <w:rPr>
          <w:rFonts w:hint="eastAsia" w:ascii="宋体" w:hAnsi="宋体" w:cs="Arial"/>
          <w:b/>
          <w:color w:val="auto"/>
          <w:szCs w:val="21"/>
          <w:highlight w:val="none"/>
          <w:u w:val="single"/>
        </w:rPr>
        <w:t>不接受</w:t>
      </w:r>
      <w:r>
        <w:rPr>
          <w:rFonts w:ascii="宋体" w:hAnsi="宋体" w:cs="Arial"/>
          <w:color w:val="auto"/>
          <w:szCs w:val="21"/>
          <w:highlight w:val="none"/>
        </w:rPr>
        <w:t>联合体投标。联合体投标的，应满足下列要求：</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宋体"/>
          <w:i/>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3.5 各投标人均可就上述标段中的</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（具体数量）个标段投标。</w:t>
      </w:r>
    </w:p>
    <w:p>
      <w:pPr>
        <w:widowControl/>
        <w:spacing w:line="330" w:lineRule="exact"/>
        <w:rPr>
          <w:rFonts w:ascii="宋体" w:hAnsi="宋体" w:cs="Arial"/>
          <w:color w:val="auto"/>
          <w:szCs w:val="21"/>
          <w:highlight w:val="none"/>
        </w:rPr>
      </w:pPr>
      <w:r>
        <w:rPr>
          <w:rFonts w:hint="eastAsia" w:ascii="宋体" w:hAnsi="宋体" w:cs="Arial"/>
          <w:color w:val="auto"/>
          <w:szCs w:val="21"/>
          <w:highlight w:val="none"/>
        </w:rPr>
        <w:t>4.招标文件获取</w:t>
      </w:r>
    </w:p>
    <w:p>
      <w:pPr>
        <w:widowControl/>
        <w:spacing w:line="340" w:lineRule="exact"/>
        <w:jc w:val="left"/>
        <w:rPr>
          <w:rFonts w:ascii="宋体" w:hAnsi="宋体" w:cs="Arial"/>
          <w:color w:val="auto"/>
          <w:szCs w:val="21"/>
          <w:highlight w:val="none"/>
        </w:rPr>
      </w:pPr>
      <w:r>
        <w:rPr>
          <w:rFonts w:ascii="宋体" w:hAnsi="宋体" w:cs="Arial"/>
          <w:color w:val="auto"/>
          <w:szCs w:val="21"/>
          <w:highlight w:val="none"/>
        </w:rPr>
        <w:t>4.1 凡有意参加投标者，请于</w:t>
      </w:r>
      <w:r>
        <w:rPr>
          <w:rFonts w:hint="eastAsia" w:ascii="宋体" w:hAnsi="宋体" w:cs="宋体"/>
          <w:b/>
          <w:color w:val="auto"/>
          <w:szCs w:val="21"/>
          <w:highlight w:val="none"/>
          <w:u w:val="single"/>
        </w:rPr>
        <w:t>2021</w:t>
      </w:r>
      <w:r>
        <w:rPr>
          <w:rFonts w:ascii="宋体" w:hAnsi="宋体" w:cs="Arial"/>
          <w:color w:val="auto"/>
          <w:szCs w:val="21"/>
          <w:highlight w:val="none"/>
        </w:rPr>
        <w:t>年</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8:30</w:t>
      </w:r>
      <w:r>
        <w:rPr>
          <w:rFonts w:ascii="宋体" w:hAnsi="宋体" w:cs="Arial"/>
          <w:color w:val="auto"/>
          <w:szCs w:val="21"/>
          <w:highlight w:val="none"/>
        </w:rPr>
        <w:t>时至</w:t>
      </w:r>
      <w:r>
        <w:rPr>
          <w:rFonts w:hint="eastAsia" w:ascii="宋体" w:hAnsi="宋体" w:cs="宋体"/>
          <w:b/>
          <w:color w:val="auto"/>
          <w:szCs w:val="21"/>
          <w:highlight w:val="none"/>
          <w:u w:val="single"/>
        </w:rPr>
        <w:t>2021</w:t>
      </w:r>
      <w:r>
        <w:rPr>
          <w:rFonts w:ascii="宋体" w:hAnsi="宋体" w:cs="Arial"/>
          <w:color w:val="auto"/>
          <w:szCs w:val="21"/>
          <w:highlight w:val="none"/>
        </w:rPr>
        <w:t>年</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17:</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rPr>
        <w:t>0</w:t>
      </w:r>
      <w:r>
        <w:rPr>
          <w:rFonts w:ascii="宋体" w:hAnsi="宋体" w:cs="Arial"/>
          <w:color w:val="auto"/>
          <w:szCs w:val="21"/>
          <w:highlight w:val="none"/>
        </w:rPr>
        <w:t>时在绍兴市公共资源交易中心</w:t>
      </w:r>
      <w:r>
        <w:rPr>
          <w:rFonts w:hint="eastAsia" w:ascii="宋体" w:hAnsi="宋体" w:cs="Arial"/>
          <w:color w:val="auto"/>
          <w:szCs w:val="21"/>
          <w:highlight w:val="none"/>
        </w:rPr>
        <w:t>新版电子招投标交易平台（</w:t>
      </w:r>
      <w:r>
        <w:rPr>
          <w:rFonts w:ascii="宋体" w:hAnsi="宋体" w:cs="Arial"/>
          <w:color w:val="auto"/>
          <w:szCs w:val="21"/>
          <w:highlight w:val="none"/>
          <w:u w:val="single"/>
        </w:rPr>
        <w:t>http://p.ggb.sx.gov.cn:6081/TPBidder/</w:t>
      </w:r>
      <w:r>
        <w:rPr>
          <w:rFonts w:hint="eastAsia" w:ascii="宋体" w:hAnsi="宋体" w:cs="Arial"/>
          <w:color w:val="auto"/>
          <w:szCs w:val="21"/>
          <w:highlight w:val="none"/>
        </w:rPr>
        <w:t>）自行下载招标文件，截止期后交易平台不再提供下载服务；</w:t>
      </w:r>
      <w:r>
        <w:rPr>
          <w:rFonts w:ascii="宋体" w:hAnsi="宋体" w:cs="Arial"/>
          <w:color w:val="auto"/>
          <w:szCs w:val="21"/>
          <w:highlight w:val="none"/>
        </w:rPr>
        <w:t>未在规定时间内获取招标文件的，不接受其投标</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4.2 招标文件每套售价</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元，售后不退。图纸押金</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元，在退还图纸时退还（不计利息）。</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5.投标保证金</w:t>
      </w:r>
    </w:p>
    <w:p>
      <w:pPr>
        <w:widowControl/>
        <w:spacing w:line="360" w:lineRule="exact"/>
        <w:ind w:firstLine="420" w:firstLineChars="200"/>
        <w:rPr>
          <w:rFonts w:ascii="宋体" w:hAnsi="宋体" w:cs="仿宋"/>
          <w:color w:val="auto"/>
          <w:szCs w:val="21"/>
          <w:highlight w:val="none"/>
        </w:rPr>
      </w:pPr>
      <w:r>
        <w:rPr>
          <w:rFonts w:ascii="宋体" w:hAnsi="宋体" w:cs="Arial"/>
          <w:color w:val="auto"/>
          <w:szCs w:val="21"/>
          <w:highlight w:val="none"/>
        </w:rPr>
        <w:t>本工程需缴纳投标保证金</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肆</w:t>
      </w:r>
      <w:r>
        <w:rPr>
          <w:rFonts w:hint="eastAsia" w:ascii="宋体" w:hAnsi="宋体" w:cs="Arial"/>
          <w:color w:val="auto"/>
          <w:szCs w:val="21"/>
          <w:highlight w:val="none"/>
          <w:u w:val="single"/>
        </w:rPr>
        <w:t xml:space="preserve"> </w:t>
      </w:r>
      <w:r>
        <w:rPr>
          <w:rFonts w:ascii="宋体" w:hAnsi="宋体" w:cs="Arial"/>
          <w:color w:val="auto"/>
          <w:szCs w:val="21"/>
          <w:highlight w:val="none"/>
        </w:rPr>
        <w:t>万元,</w:t>
      </w:r>
      <w:r>
        <w:rPr>
          <w:rFonts w:hint="eastAsia" w:ascii="宋体" w:hAnsi="宋体"/>
          <w:color w:val="auto"/>
          <w:szCs w:val="21"/>
          <w:highlight w:val="none"/>
        </w:rPr>
        <w:t xml:space="preserve"> 投标保证金在投标人自行获取招标文件后，在</w:t>
      </w:r>
      <w:r>
        <w:rPr>
          <w:rFonts w:hint="eastAsia" w:ascii="宋体" w:hAnsi="宋体" w:cs="宋体"/>
          <w:color w:val="auto"/>
          <w:szCs w:val="21"/>
          <w:highlight w:val="none"/>
          <w:u w:val="single"/>
        </w:rPr>
        <w:t>2021</w:t>
      </w:r>
      <w:r>
        <w:rPr>
          <w:rFonts w:hint="eastAsia" w:ascii="宋体" w:hAnsi="宋体" w:cs="仿宋"/>
          <w:color w:val="auto"/>
          <w:szCs w:val="21"/>
          <w:highlight w:val="none"/>
        </w:rPr>
        <w:t>年</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月</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日</w:t>
      </w:r>
      <w:r>
        <w:rPr>
          <w:rFonts w:hint="eastAsia" w:ascii="宋体" w:hAnsi="宋体" w:cs="宋体"/>
          <w:color w:val="auto"/>
          <w:szCs w:val="21"/>
          <w:highlight w:val="none"/>
          <w:u w:val="single"/>
        </w:rPr>
        <w:t>17:</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rPr>
        <w:t>0</w:t>
      </w:r>
      <w:r>
        <w:rPr>
          <w:rFonts w:hint="eastAsia" w:ascii="宋体" w:hAnsi="宋体" w:cs="仿宋"/>
          <w:color w:val="auto"/>
          <w:szCs w:val="21"/>
          <w:highlight w:val="none"/>
        </w:rPr>
        <w:t>时前缴纳。缴纳方式为：</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b/>
          <w:color w:val="auto"/>
          <w:sz w:val="21"/>
          <w:szCs w:val="21"/>
          <w:highlight w:val="none"/>
          <w:u w:val="single"/>
          <w:lang w:val="en-US" w:eastAsia="zh-CN"/>
        </w:rPr>
        <w:t xml:space="preserve">                </w:t>
      </w:r>
      <w:r>
        <w:rPr>
          <w:rFonts w:hint="eastAsia" w:ascii="宋体" w:hAnsi="宋体" w:cs="仿宋"/>
          <w:color w:val="auto"/>
          <w:szCs w:val="21"/>
          <w:highlight w:val="none"/>
        </w:rPr>
        <w:t>；账户二：开户单位名称：绍兴市公共资源交易中心保证金专户，开户行:中信银行绍兴城东支行；账号：</w:t>
      </w:r>
      <w:r>
        <w:rPr>
          <w:rFonts w:hint="eastAsia" w:ascii="宋体" w:hAnsi="宋体" w:cs="宋体"/>
          <w:b/>
          <w:color w:val="auto"/>
          <w:sz w:val="21"/>
          <w:szCs w:val="21"/>
          <w:highlight w:val="none"/>
          <w:u w:val="single"/>
          <w:lang w:val="en-US" w:eastAsia="zh-CN"/>
        </w:rPr>
        <w:t xml:space="preserve">                  </w:t>
      </w:r>
      <w:r>
        <w:rPr>
          <w:rFonts w:hint="eastAsia" w:ascii="宋体" w:hAnsi="宋体" w:cs="宋体"/>
          <w:b/>
          <w:color w:val="auto"/>
          <w:szCs w:val="21"/>
          <w:highlight w:val="none"/>
          <w:u w:val="single"/>
        </w:rPr>
        <w:t xml:space="preserve"> </w:t>
      </w:r>
      <w:r>
        <w:rPr>
          <w:rFonts w:hint="eastAsia" w:ascii="宋体" w:hAnsi="宋体" w:cs="仿宋"/>
          <w:color w:val="auto"/>
          <w:szCs w:val="21"/>
          <w:highlight w:val="none"/>
        </w:rPr>
        <w:t>；投标人可自主选择以上账户之一缴纳投标保证金。</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2、招标人接受绍兴市招标投标协会出具的“投标保证金联保证明”作为投标保证金缴纳凭证，投标人不用另行提供。</w:t>
      </w:r>
    </w:p>
    <w:p>
      <w:pPr>
        <w:widowControl/>
        <w:spacing w:line="340" w:lineRule="exact"/>
        <w:ind w:firstLine="420" w:firstLineChars="200"/>
        <w:rPr>
          <w:rFonts w:ascii="宋体" w:hAnsi="宋体"/>
          <w:bCs/>
          <w:color w:val="auto"/>
          <w:spacing w:val="-2"/>
          <w:szCs w:val="21"/>
          <w:highlight w:val="none"/>
        </w:rPr>
      </w:pPr>
      <w:r>
        <w:rPr>
          <w:rFonts w:hint="eastAsia" w:ascii="宋体" w:hAnsi="宋体" w:cs="仿宋"/>
          <w:color w:val="auto"/>
          <w:szCs w:val="21"/>
          <w:highlight w:val="none"/>
        </w:rPr>
        <w:t>3、招标人接受投标保证金电子保险保函。投标人自行在电子招投标交易平台（</w:t>
      </w:r>
      <w:r>
        <w:rPr>
          <w:rFonts w:hint="eastAsia"/>
          <w:color w:val="auto"/>
          <w:highlight w:val="none"/>
        </w:rPr>
        <w:fldChar w:fldCharType="begin"/>
      </w:r>
      <w:r>
        <w:rPr>
          <w:color w:val="auto"/>
          <w:highlight w:val="none"/>
        </w:rPr>
        <w:instrText xml:space="preserve"> HYPERLINK "http://p.ggb.sx.gov.cn:6081/TPBidder/" </w:instrText>
      </w:r>
      <w:r>
        <w:rPr>
          <w:rFonts w:hint="eastAsia"/>
          <w:color w:val="auto"/>
          <w:highlight w:val="none"/>
        </w:rPr>
        <w:fldChar w:fldCharType="separate"/>
      </w:r>
      <w:r>
        <w:rPr>
          <w:rStyle w:val="39"/>
          <w:rFonts w:hint="eastAsia" w:ascii="宋体" w:hAnsi="宋体"/>
          <w:color w:val="auto"/>
          <w:szCs w:val="21"/>
          <w:highlight w:val="none"/>
        </w:rPr>
        <w:t>http://p.ggb.sx.gov.cn:6081/TPBidder/</w:t>
      </w:r>
      <w:r>
        <w:rPr>
          <w:rStyle w:val="39"/>
          <w:rFonts w:hint="eastAsia" w:ascii="宋体" w:hAnsi="宋体"/>
          <w:color w:val="auto"/>
          <w:szCs w:val="21"/>
          <w:highlight w:val="none"/>
        </w:rPr>
        <w:fldChar w:fldCharType="end"/>
      </w:r>
      <w:r>
        <w:rPr>
          <w:rFonts w:hint="eastAsia" w:ascii="宋体" w:hAnsi="宋体" w:cs="仿宋"/>
          <w:color w:val="auto"/>
          <w:szCs w:val="21"/>
          <w:highlight w:val="none"/>
        </w:rPr>
        <w:t>）中自主选择办理。保险保函费用必须从投标人企业</w:t>
      </w:r>
      <w:r>
        <w:rPr>
          <w:rFonts w:hint="eastAsia" w:ascii="宋体" w:hAnsi="宋体" w:cs="仿宋"/>
          <w:color w:val="auto"/>
          <w:szCs w:val="21"/>
          <w:highlight w:val="none"/>
          <w:shd w:val="clear" w:color="auto" w:fill="FFFFFF"/>
        </w:rPr>
        <w:t>基本账户转出，并在投标保证金缴纳截止时间前</w:t>
      </w:r>
      <w:r>
        <w:rPr>
          <w:rFonts w:hint="eastAsia" w:ascii="宋体" w:hAnsi="宋体" w:cs="仿宋"/>
          <w:color w:val="auto"/>
          <w:szCs w:val="21"/>
          <w:highlight w:val="none"/>
        </w:rPr>
        <w:t>办妥保险保函手续</w:t>
      </w:r>
      <w:r>
        <w:rPr>
          <w:rFonts w:ascii="宋体" w:hAnsi="宋体"/>
          <w:bCs/>
          <w:color w:val="auto"/>
          <w:spacing w:val="-2"/>
          <w:szCs w:val="21"/>
          <w:highlight w:val="none"/>
        </w:rPr>
        <w:t>。</w:t>
      </w:r>
    </w:p>
    <w:p>
      <w:pPr>
        <w:widowControl/>
        <w:spacing w:line="340" w:lineRule="exact"/>
        <w:rPr>
          <w:rFonts w:ascii="宋体" w:hAnsi="宋体" w:cs="Arial"/>
          <w:b/>
          <w:color w:val="auto"/>
          <w:szCs w:val="21"/>
          <w:highlight w:val="none"/>
        </w:rPr>
      </w:pPr>
      <w:r>
        <w:rPr>
          <w:rFonts w:ascii="宋体" w:hAnsi="宋体" w:cs="Arial"/>
          <w:b/>
          <w:color w:val="auto"/>
          <w:szCs w:val="21"/>
          <w:highlight w:val="none"/>
        </w:rPr>
        <w:t>6.其他有关内容</w:t>
      </w:r>
    </w:p>
    <w:p>
      <w:pPr>
        <w:widowControl/>
        <w:spacing w:line="340" w:lineRule="exact"/>
        <w:rPr>
          <w:rFonts w:ascii="宋体" w:hAnsi="宋体" w:cs="Arial"/>
          <w:color w:val="auto"/>
          <w:szCs w:val="21"/>
          <w:highlight w:val="none"/>
        </w:rPr>
      </w:pPr>
      <w:r>
        <w:rPr>
          <w:rFonts w:ascii="宋体" w:hAnsi="宋体" w:cs="Arial"/>
          <w:color w:val="auto"/>
          <w:szCs w:val="21"/>
          <w:highlight w:val="none"/>
        </w:rPr>
        <w:t>6.1评标入围方法：</w:t>
      </w:r>
      <w:r>
        <w:rPr>
          <w:rFonts w:hint="eastAsia" w:ascii="宋体" w:hAnsi="宋体" w:cs="Arial"/>
          <w:b/>
          <w:iCs/>
          <w:color w:val="auto"/>
          <w:szCs w:val="21"/>
          <w:highlight w:val="none"/>
          <w:u w:val="single"/>
        </w:rPr>
        <w:t>全部入围</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6.2评标方法：</w:t>
      </w:r>
      <w:r>
        <w:rPr>
          <w:rFonts w:hint="eastAsia" w:ascii="宋体" w:hAnsi="宋体" w:cs="Arial"/>
          <w:b/>
          <w:iCs/>
          <w:color w:val="auto"/>
          <w:szCs w:val="21"/>
          <w:highlight w:val="none"/>
          <w:u w:val="single"/>
        </w:rPr>
        <w:t>综合评估法</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6.3中标方式：</w:t>
      </w:r>
      <w:r>
        <w:rPr>
          <w:rFonts w:hint="eastAsia" w:ascii="宋体" w:hAnsi="宋体" w:cs="Arial"/>
          <w:b/>
          <w:iCs/>
          <w:color w:val="auto"/>
          <w:szCs w:val="21"/>
          <w:highlight w:val="none"/>
          <w:u w:val="single"/>
        </w:rPr>
        <w:t>最高分中标</w:t>
      </w:r>
      <w:r>
        <w:rPr>
          <w:rFonts w:ascii="宋体" w:hAnsi="宋体" w:cs="Arial"/>
          <w:color w:val="auto"/>
          <w:szCs w:val="21"/>
          <w:highlight w:val="none"/>
        </w:rPr>
        <w:t>。</w:t>
      </w:r>
    </w:p>
    <w:p>
      <w:pPr>
        <w:widowControl/>
        <w:spacing w:line="340" w:lineRule="exact"/>
        <w:rPr>
          <w:rFonts w:ascii="宋体" w:hAnsi="宋体" w:cs="Arial"/>
          <w:color w:val="auto"/>
          <w:szCs w:val="21"/>
          <w:highlight w:val="none"/>
          <w:u w:val="single"/>
        </w:rPr>
      </w:pPr>
      <w:r>
        <w:rPr>
          <w:rFonts w:ascii="宋体" w:hAnsi="宋体" w:cs="Arial"/>
          <w:color w:val="auto"/>
          <w:szCs w:val="21"/>
          <w:highlight w:val="none"/>
        </w:rPr>
        <w:t>6.</w:t>
      </w:r>
      <w:r>
        <w:rPr>
          <w:rFonts w:hint="eastAsia" w:ascii="宋体" w:hAnsi="宋体" w:cs="Arial"/>
          <w:color w:val="auto"/>
          <w:szCs w:val="21"/>
          <w:highlight w:val="none"/>
        </w:rPr>
        <w:t>4投标文件的递交</w:t>
      </w:r>
      <w:r>
        <w:rPr>
          <w:rFonts w:ascii="宋体" w:hAnsi="宋体" w:cs="Arial"/>
          <w:color w:val="auto"/>
          <w:szCs w:val="21"/>
          <w:highlight w:val="none"/>
        </w:rPr>
        <w:t>：</w:t>
      </w:r>
      <w:r>
        <w:rPr>
          <w:rFonts w:hint="eastAsia" w:ascii="宋体" w:hAnsi="宋体" w:cs="Arial"/>
          <w:color w:val="auto"/>
          <w:szCs w:val="21"/>
          <w:highlight w:val="none"/>
        </w:rPr>
        <w:t>投标文件递交的截止时间为</w:t>
      </w:r>
      <w:r>
        <w:rPr>
          <w:rFonts w:hint="eastAsia" w:ascii="宋体" w:hAnsi="宋体" w:cs="Arial"/>
          <w:b/>
          <w:color w:val="auto"/>
          <w:szCs w:val="21"/>
          <w:highlight w:val="none"/>
          <w:u w:val="single"/>
        </w:rPr>
        <w:t>2021</w:t>
      </w:r>
      <w:r>
        <w:rPr>
          <w:rFonts w:hint="eastAsia"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月</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日</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时，</w:t>
      </w:r>
      <w:r>
        <w:rPr>
          <w:rFonts w:hint="eastAsia"/>
          <w:color w:val="auto"/>
          <w:spacing w:val="-12"/>
          <w:szCs w:val="21"/>
          <w:highlight w:val="none"/>
        </w:rPr>
        <w:t>地点为</w:t>
      </w:r>
      <w:r>
        <w:rPr>
          <w:rFonts w:hint="eastAsia" w:ascii="宋体" w:hAnsi="宋体" w:cs="Arial"/>
          <w:color w:val="auto"/>
          <w:szCs w:val="21"/>
          <w:highlight w:val="none"/>
          <w:u w:val="single"/>
        </w:rPr>
        <w:t>绍兴市公共资源交易中心四楼指定的开标室。</w:t>
      </w:r>
    </w:p>
    <w:p>
      <w:pPr>
        <w:pStyle w:val="25"/>
        <w:shd w:val="clear" w:color="auto" w:fill="FFFFFF"/>
        <w:spacing w:before="0" w:beforeAutospacing="0" w:after="0" w:afterAutospacing="0" w:line="340" w:lineRule="exact"/>
        <w:rPr>
          <w:rFonts w:ascii="宋体" w:hAnsi="宋体" w:cs="仿宋"/>
          <w:color w:val="auto"/>
          <w:sz w:val="21"/>
          <w:szCs w:val="21"/>
          <w:highlight w:val="none"/>
        </w:rPr>
      </w:pPr>
      <w:r>
        <w:rPr>
          <w:rFonts w:ascii="宋体" w:hAnsi="宋体" w:cs="仿宋"/>
          <w:color w:val="auto"/>
          <w:sz w:val="21"/>
          <w:szCs w:val="21"/>
          <w:highlight w:val="none"/>
        </w:rPr>
        <w:t>6.5</w:t>
      </w:r>
      <w:r>
        <w:rPr>
          <w:rFonts w:hint="eastAsia" w:ascii="宋体" w:hAnsi="宋体" w:cs="仿宋"/>
          <w:color w:val="auto"/>
          <w:sz w:val="21"/>
          <w:szCs w:val="21"/>
          <w:highlight w:val="none"/>
        </w:rPr>
        <w:t>本项目采用“不见面”开标方式，不强制要求投标人参加现场开标会。</w:t>
      </w:r>
    </w:p>
    <w:p>
      <w:pPr>
        <w:pStyle w:val="25"/>
        <w:shd w:val="clear" w:color="auto" w:fill="FFFFFF"/>
        <w:spacing w:before="0" w:beforeAutospacing="0" w:after="0" w:afterAutospacing="0" w:line="340" w:lineRule="exact"/>
        <w:rPr>
          <w:rFonts w:ascii="宋体" w:hAnsi="宋体" w:cs="仿宋"/>
          <w:color w:val="auto"/>
          <w:sz w:val="21"/>
          <w:szCs w:val="21"/>
          <w:highlight w:val="none"/>
        </w:rPr>
      </w:pPr>
      <w:r>
        <w:rPr>
          <w:rFonts w:ascii="宋体" w:hAnsi="宋体" w:eastAsia="微软雅黑" w:cs="仿宋"/>
          <w:color w:val="auto"/>
          <w:sz w:val="21"/>
          <w:szCs w:val="21"/>
          <w:highlight w:val="none"/>
          <w:u w:val="single"/>
          <w:shd w:val="clear" w:color="auto" w:fill="FFFFFF"/>
        </w:rPr>
        <w:t>6.6</w:t>
      </w:r>
      <w:r>
        <w:rPr>
          <w:rFonts w:hint="eastAsia" w:ascii="宋体" w:hAnsi="宋体" w:cs="仿宋"/>
          <w:color w:val="auto"/>
          <w:sz w:val="21"/>
          <w:szCs w:val="21"/>
          <w:highlight w:val="none"/>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color w:val="auto"/>
          <w:sz w:val="21"/>
          <w:szCs w:val="21"/>
          <w:highlight w:val="none"/>
          <w:u w:val="single"/>
          <w:shd w:val="clear" w:color="auto" w:fill="FFFFFF"/>
        </w:rPr>
        <w:t>1</w:t>
      </w:r>
      <w:r>
        <w:rPr>
          <w:rFonts w:hint="eastAsia" w:ascii="宋体" w:hAnsi="宋体" w:cs="仿宋"/>
          <w:color w:val="auto"/>
          <w:sz w:val="21"/>
          <w:szCs w:val="21"/>
          <w:highlight w:val="none"/>
          <w:u w:val="single"/>
          <w:shd w:val="clear" w:color="auto" w:fill="FFFFFF"/>
        </w:rPr>
        <w:t>个工作日。</w:t>
      </w:r>
    </w:p>
    <w:p>
      <w:pPr>
        <w:widowControl/>
        <w:spacing w:line="340" w:lineRule="exact"/>
        <w:rPr>
          <w:rFonts w:ascii="宋体" w:hAnsi="宋体" w:cs="Arial"/>
          <w:color w:val="auto"/>
          <w:szCs w:val="21"/>
          <w:highlight w:val="none"/>
        </w:rPr>
      </w:pPr>
      <w:r>
        <w:rPr>
          <w:rFonts w:hint="eastAsia" w:ascii="宋体" w:hAnsi="宋体" w:cs="Arial"/>
          <w:b/>
          <w:bCs/>
          <w:color w:val="auto"/>
          <w:szCs w:val="21"/>
          <w:highlight w:val="none"/>
        </w:rPr>
        <w:t xml:space="preserve">7.发布公告的媒介 </w:t>
      </w:r>
      <w:r>
        <w:rPr>
          <w:rFonts w:hint="eastAsia" w:ascii="宋体" w:hAnsi="宋体" w:cs="Arial"/>
          <w:color w:val="auto"/>
          <w:szCs w:val="21"/>
          <w:highlight w:val="none"/>
        </w:rPr>
        <w:t xml:space="preserve">   </w:t>
      </w:r>
    </w:p>
    <w:p>
      <w:pPr>
        <w:widowControl/>
        <w:spacing w:line="340" w:lineRule="exact"/>
        <w:ind w:firstLine="420" w:firstLineChars="200"/>
        <w:rPr>
          <w:rFonts w:ascii="宋体" w:hAnsi="宋体" w:cs="Arial"/>
          <w:color w:val="auto"/>
          <w:szCs w:val="21"/>
          <w:highlight w:val="none"/>
        </w:rPr>
      </w:pPr>
      <w:r>
        <w:rPr>
          <w:rFonts w:ascii="宋体" w:hAnsi="宋体" w:cs="Arial"/>
          <w:color w:val="auto"/>
          <w:szCs w:val="21"/>
          <w:highlight w:val="none"/>
        </w:rPr>
        <w:t xml:space="preserve">本次招标公告同时在 </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（发布公告的媒介名称）上发布。</w:t>
      </w:r>
    </w:p>
    <w:p>
      <w:pPr>
        <w:widowControl/>
        <w:spacing w:line="340" w:lineRule="exact"/>
        <w:rPr>
          <w:rFonts w:ascii="宋体" w:hAnsi="宋体" w:cs="Arial"/>
          <w:b/>
          <w:color w:val="auto"/>
          <w:szCs w:val="21"/>
          <w:highlight w:val="none"/>
        </w:rPr>
      </w:pPr>
      <w:r>
        <w:rPr>
          <w:rFonts w:hint="eastAsia" w:ascii="宋体" w:hAnsi="宋体" w:cs="Arial"/>
          <w:b/>
          <w:color w:val="auto"/>
          <w:szCs w:val="21"/>
          <w:highlight w:val="none"/>
        </w:rPr>
        <w:t>8.</w:t>
      </w:r>
      <w:r>
        <w:rPr>
          <w:rFonts w:ascii="宋体" w:hAnsi="宋体" w:cs="Arial"/>
          <w:b/>
          <w:color w:val="auto"/>
          <w:szCs w:val="21"/>
          <w:highlight w:val="none"/>
        </w:rPr>
        <w:t>若本公告相关内容与正式发出的招标文件不一致，以正式发出的招标文件为准。</w:t>
      </w:r>
    </w:p>
    <w:p>
      <w:pPr>
        <w:widowControl/>
        <w:tabs>
          <w:tab w:val="left" w:pos="2694"/>
        </w:tabs>
        <w:spacing w:line="340" w:lineRule="exact"/>
        <w:rPr>
          <w:rFonts w:ascii="宋体" w:hAnsi="宋体" w:cs="Arial"/>
          <w:color w:val="auto"/>
          <w:szCs w:val="21"/>
          <w:highlight w:val="none"/>
        </w:rPr>
      </w:pPr>
      <w:r>
        <w:rPr>
          <w:rFonts w:hint="eastAsia" w:ascii="宋体" w:hAnsi="宋体" w:cs="Arial"/>
          <w:color w:val="auto"/>
          <w:szCs w:val="21"/>
          <w:highlight w:val="none"/>
        </w:rPr>
        <w:t xml:space="preserve">9.联系方式 </w:t>
      </w:r>
    </w:p>
    <w:p>
      <w:pPr>
        <w:widowControl/>
        <w:tabs>
          <w:tab w:val="left" w:pos="2694"/>
        </w:tabs>
        <w:spacing w:line="400" w:lineRule="exact"/>
        <w:ind w:right="-134" w:rightChars="-64"/>
        <w:rPr>
          <w:rFonts w:ascii="宋体" w:hAnsi="宋体" w:cs="Arial"/>
          <w:color w:val="auto"/>
          <w:szCs w:val="21"/>
          <w:highlight w:val="none"/>
        </w:rPr>
      </w:pPr>
      <w:r>
        <w:rPr>
          <w:rFonts w:ascii="宋体" w:hAnsi="宋体" w:cs="Arial"/>
          <w:color w:val="auto"/>
          <w:szCs w:val="21"/>
          <w:highlight w:val="none"/>
        </w:rPr>
        <w:t>招标人：</w:t>
      </w:r>
      <w:r>
        <w:rPr>
          <w:rFonts w:hint="eastAsia" w:ascii="宋体" w:hAnsi="宋体" w:cs="宋体"/>
          <w:color w:val="auto"/>
          <w:szCs w:val="21"/>
          <w:highlight w:val="none"/>
          <w:u w:val="single"/>
        </w:rPr>
        <w:t>浙江精工钢结构集团有限公司</w:t>
      </w:r>
      <w:r>
        <w:rPr>
          <w:rFonts w:hint="eastAsia" w:ascii="宋体" w:hAnsi="宋体" w:cs="Arial"/>
          <w:b/>
          <w:i/>
          <w:color w:val="auto"/>
          <w:szCs w:val="21"/>
          <w:highlight w:val="none"/>
        </w:rPr>
        <w:t xml:space="preserve">         </w:t>
      </w: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400" w:lineRule="exact"/>
        <w:rPr>
          <w:rFonts w:ascii="宋体" w:hAnsi="宋体" w:cs="Arial"/>
          <w:color w:val="auto"/>
          <w:szCs w:val="21"/>
          <w:highlight w:val="none"/>
        </w:rPr>
      </w:pPr>
      <w:r>
        <w:rPr>
          <w:rFonts w:ascii="宋体" w:hAnsi="宋体" w:cs="Arial"/>
          <w:color w:val="auto"/>
          <w:szCs w:val="21"/>
          <w:highlight w:val="none"/>
        </w:rPr>
        <w:t>地  址：</w:t>
      </w:r>
      <w:r>
        <w:rPr>
          <w:rFonts w:hint="eastAsia" w:ascii="宋体" w:hAnsi="宋体" w:cs="宋体"/>
          <w:color w:val="auto"/>
          <w:szCs w:val="21"/>
          <w:highlight w:val="none"/>
          <w:u w:val="single"/>
        </w:rPr>
        <w:t>绍兴市柯桥区柯桥经济开发区鉴湖路</w:t>
      </w:r>
      <w:r>
        <w:rPr>
          <w:rFonts w:hint="eastAsia" w:ascii="宋体" w:hAnsi="宋体" w:cs="Arial"/>
          <w:color w:val="auto"/>
          <w:szCs w:val="21"/>
          <w:highlight w:val="none"/>
        </w:rPr>
        <w:t xml:space="preserve">   </w:t>
      </w:r>
      <w:r>
        <w:rPr>
          <w:rFonts w:ascii="宋体" w:hAnsi="宋体" w:cs="Arial"/>
          <w:color w:val="auto"/>
          <w:szCs w:val="21"/>
          <w:highlight w:val="none"/>
        </w:rPr>
        <w:t>地 址：</w:t>
      </w:r>
      <w:r>
        <w:rPr>
          <w:rFonts w:hint="eastAsia" w:ascii="宋体" w:hAnsi="宋体" w:cs="宋体"/>
          <w:color w:val="auto"/>
          <w:szCs w:val="21"/>
          <w:highlight w:val="none"/>
          <w:u w:val="single"/>
        </w:rPr>
        <w:t>绍兴市解放大道111号中石化大楼7楼</w:t>
      </w:r>
    </w:p>
    <w:p>
      <w:pPr>
        <w:widowControl/>
        <w:tabs>
          <w:tab w:val="left" w:pos="2694"/>
        </w:tabs>
        <w:spacing w:line="400" w:lineRule="exact"/>
        <w:rPr>
          <w:rFonts w:ascii="宋体" w:hAnsi="宋体" w:cs="Arial"/>
          <w:color w:val="auto"/>
          <w:szCs w:val="21"/>
          <w:highlight w:val="none"/>
        </w:rPr>
      </w:pPr>
      <w:r>
        <w:rPr>
          <w:rFonts w:ascii="宋体" w:hAnsi="宋体" w:cs="Arial"/>
          <w:color w:val="auto"/>
          <w:szCs w:val="21"/>
          <w:highlight w:val="none"/>
        </w:rPr>
        <w:t xml:space="preserve">联系人： </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王晓文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联 系 人：</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张雅美</w:t>
      </w:r>
    </w:p>
    <w:p>
      <w:pPr>
        <w:widowControl/>
        <w:spacing w:line="400" w:lineRule="exact"/>
        <w:rPr>
          <w:rFonts w:ascii="宋体" w:hAnsi="宋体" w:cs="宋体"/>
          <w:color w:val="auto"/>
          <w:szCs w:val="21"/>
          <w:highlight w:val="none"/>
          <w:u w:val="single"/>
        </w:rPr>
      </w:pP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  13971064493   </w:t>
      </w:r>
      <w:r>
        <w:rPr>
          <w:rFonts w:hint="eastAsia" w:ascii="宋体" w:hAnsi="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ascii="宋体" w:hAnsi="宋体" w:cs="宋体"/>
          <w:color w:val="auto"/>
          <w:szCs w:val="21"/>
          <w:highlight w:val="none"/>
          <w:u w:val="single"/>
        </w:rPr>
        <w:t>0575-85209901</w:t>
      </w:r>
      <w:r>
        <w:rPr>
          <w:rFonts w:hint="eastAsia" w:ascii="宋体" w:hAnsi="宋体" w:cs="宋体"/>
          <w:color w:val="auto"/>
          <w:szCs w:val="21"/>
          <w:highlight w:val="none"/>
          <w:u w:val="single"/>
        </w:rPr>
        <w:t xml:space="preserve">、13957571013    </w:t>
      </w:r>
    </w:p>
    <w:p>
      <w:pPr>
        <w:widowControl/>
        <w:spacing w:line="400" w:lineRule="exact"/>
        <w:rPr>
          <w:rFonts w:ascii="宋体" w:hAnsi="宋体" w:cs="宋体"/>
          <w:b/>
          <w:color w:val="auto"/>
          <w:szCs w:val="21"/>
          <w:highlight w:val="none"/>
          <w:u w:val="single"/>
        </w:rPr>
      </w:pPr>
    </w:p>
    <w:p>
      <w:pPr>
        <w:widowControl/>
        <w:spacing w:line="400" w:lineRule="exact"/>
        <w:rPr>
          <w:rFonts w:ascii="宋体" w:hAnsi="宋体" w:cs="Arial"/>
          <w:color w:val="auto"/>
          <w:szCs w:val="21"/>
          <w:highlight w:val="none"/>
        </w:rPr>
      </w:pPr>
    </w:p>
    <w:p>
      <w:pPr>
        <w:widowControl/>
        <w:spacing w:line="400" w:lineRule="exact"/>
        <w:ind w:left="4139" w:leftChars="1971"/>
        <w:jc w:val="right"/>
        <w:rPr>
          <w:rFonts w:ascii="宋体" w:hAnsi="宋体" w:cs="Arial"/>
          <w:b/>
          <w:i/>
          <w:color w:val="auto"/>
          <w:szCs w:val="21"/>
          <w:highlight w:val="none"/>
          <w:u w:val="single"/>
        </w:rPr>
      </w:pPr>
      <w:r>
        <w:rPr>
          <w:rFonts w:ascii="宋体" w:hAnsi="宋体" w:cs="Arial"/>
          <w:color w:val="auto"/>
          <w:szCs w:val="21"/>
          <w:highlight w:val="none"/>
        </w:rPr>
        <w:t>招标人：</w:t>
      </w:r>
      <w:r>
        <w:rPr>
          <w:rFonts w:hint="eastAsia"/>
          <w:color w:val="auto"/>
          <w:szCs w:val="21"/>
          <w:highlight w:val="none"/>
          <w:u w:val="single"/>
        </w:rPr>
        <w:t>浙江精工钢结构集团有限公司</w:t>
      </w:r>
    </w:p>
    <w:p>
      <w:pPr>
        <w:widowControl/>
        <w:spacing w:line="400" w:lineRule="exact"/>
        <w:ind w:left="4139" w:leftChars="1971"/>
        <w:jc w:val="right"/>
        <w:rPr>
          <w:rFonts w:ascii="宋体" w:hAnsi="宋体" w:cs="Arial"/>
          <w:color w:val="auto"/>
          <w:szCs w:val="21"/>
          <w:highlight w:val="none"/>
        </w:rPr>
      </w:pP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40" w:lineRule="exact"/>
        <w:ind w:right="-134" w:rightChars="-64"/>
        <w:jc w:val="right"/>
        <w:rPr>
          <w:rFonts w:ascii="宋体" w:hAnsi="宋体" w:cs="Arial"/>
          <w:color w:val="auto"/>
          <w:szCs w:val="21"/>
          <w:highlight w:val="none"/>
        </w:rPr>
      </w:pPr>
      <w:r>
        <w:rPr>
          <w:rFonts w:hint="eastAsia" w:ascii="宋体" w:hAnsi="宋体" w:cs="Arial"/>
          <w:color w:val="auto"/>
          <w:szCs w:val="21"/>
          <w:highlight w:val="none"/>
          <w:u w:val="single"/>
        </w:rPr>
        <w:t>2021</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jc w:val="righ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u w:val="single"/>
        </w:rPr>
      </w:pPr>
      <w:r>
        <w:rPr>
          <w:rFonts w:hint="eastAsia" w:ascii="宋体" w:hAnsi="宋体" w:cs="Arial"/>
          <w:color w:val="auto"/>
          <w:szCs w:val="21"/>
          <w:highlight w:val="none"/>
        </w:rPr>
        <w:t>招标管理机构意见：                           绍兴市公共资源交易中心意见：</w:t>
      </w:r>
    </w:p>
    <w:p>
      <w:pPr>
        <w:widowControl/>
        <w:spacing w:line="360" w:lineRule="exact"/>
        <w:ind w:firstLine="210" w:firstLineChars="100"/>
        <w:rPr>
          <w:rFonts w:ascii="宋体" w:hAnsi="宋体" w:cs="Arial"/>
          <w:color w:val="auto"/>
          <w:szCs w:val="21"/>
          <w:highlight w:val="none"/>
        </w:rPr>
      </w:pPr>
      <w:r>
        <w:rPr>
          <w:rFonts w:hint="eastAsia" w:ascii="宋体" w:hAnsi="宋体" w:cs="Arial"/>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Arial"/>
          <w:color w:val="auto"/>
          <w:szCs w:val="21"/>
          <w:highlight w:val="none"/>
        </w:rPr>
        <w:t xml:space="preserve">                          </w:t>
      </w:r>
      <w:r>
        <w:rPr>
          <w:rFonts w:hint="eastAsia" w:ascii="宋体" w:hAnsi="宋体" w:cs="Arial"/>
          <w:i/>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备注：1、委托中介机构代理的，尚需提供工程建设项目招标代理业务承接情况表。</w:t>
      </w:r>
    </w:p>
    <w:p>
      <w:pPr>
        <w:spacing w:line="360" w:lineRule="exact"/>
        <w:ind w:firstLine="630" w:firstLineChars="300"/>
        <w:rPr>
          <w:rFonts w:ascii="宋体" w:hAnsi="宋体"/>
          <w:color w:val="auto"/>
          <w:szCs w:val="21"/>
          <w:highlight w:val="none"/>
        </w:rPr>
      </w:pPr>
      <w:r>
        <w:rPr>
          <w:rFonts w:hint="eastAsia" w:ascii="宋体" w:hAnsi="宋体"/>
          <w:color w:val="auto"/>
          <w:szCs w:val="21"/>
          <w:highlight w:val="none"/>
        </w:rPr>
        <w:t>2、本表一式三份，招标人、招投标管理机构、中心各一份。</w:t>
      </w:r>
    </w:p>
    <w:p>
      <w:pPr>
        <w:pStyle w:val="2"/>
        <w:rPr>
          <w:color w:val="auto"/>
          <w:highlight w:val="none"/>
        </w:rPr>
      </w:pPr>
      <w:r>
        <w:rPr>
          <w:rFonts w:hint="eastAsia" w:ascii="宋体" w:hAnsi="宋体"/>
          <w:color w:val="auto"/>
          <w:kern w:val="0"/>
          <w:szCs w:val="21"/>
          <w:highlight w:val="none"/>
        </w:rPr>
        <w:br w:type="page"/>
      </w:r>
      <w:bookmarkStart w:id="1" w:name="_Toc21875"/>
      <w:r>
        <w:rPr>
          <w:rFonts w:hint="eastAsia"/>
          <w:color w:val="auto"/>
          <w:highlight w:val="none"/>
        </w:rPr>
        <w:t>第二章</w:t>
      </w:r>
      <w:r>
        <w:rPr>
          <w:color w:val="auto"/>
          <w:highlight w:val="none"/>
        </w:rPr>
        <w:t xml:space="preserve"> </w:t>
      </w:r>
      <w:r>
        <w:rPr>
          <w:rFonts w:hint="eastAsia"/>
          <w:color w:val="auto"/>
          <w:highlight w:val="none"/>
        </w:rPr>
        <w:t>投标人须知</w:t>
      </w:r>
      <w:bookmarkEnd w:id="1"/>
      <w:r>
        <w:rPr>
          <w:rFonts w:hint="eastAsia"/>
          <w:color w:val="auto"/>
          <w:highlight w:val="none"/>
        </w:rPr>
        <w:t>前附表</w:t>
      </w:r>
    </w:p>
    <w:tbl>
      <w:tblPr>
        <w:tblStyle w:val="29"/>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条款号</w:t>
            </w:r>
          </w:p>
        </w:tc>
        <w:tc>
          <w:tcPr>
            <w:tcW w:w="156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条款名称</w:t>
            </w:r>
          </w:p>
        </w:tc>
        <w:tc>
          <w:tcPr>
            <w:tcW w:w="7447"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招标人</w:t>
            </w:r>
          </w:p>
        </w:tc>
        <w:tc>
          <w:tcPr>
            <w:tcW w:w="7447" w:type="dxa"/>
          </w:tcPr>
          <w:p>
            <w:pPr>
              <w:pStyle w:val="57"/>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名称：浙江精工钢结构集团有限公司</w:t>
            </w:r>
          </w:p>
          <w:p>
            <w:pPr>
              <w:pStyle w:val="57"/>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地址：绍兴市柯桥区柯桥经济开发区鉴湖路</w:t>
            </w:r>
          </w:p>
          <w:p>
            <w:pPr>
              <w:rPr>
                <w:rFonts w:ascii="宋体" w:hAnsi="宋体" w:cs="宋体"/>
                <w:color w:val="auto"/>
                <w:sz w:val="20"/>
                <w:szCs w:val="20"/>
                <w:highlight w:val="none"/>
              </w:rPr>
            </w:pPr>
            <w:r>
              <w:rPr>
                <w:rFonts w:hint="eastAsia" w:ascii="宋体" w:hAnsi="宋体" w:cs="宋体"/>
                <w:color w:val="auto"/>
                <w:sz w:val="20"/>
                <w:szCs w:val="20"/>
                <w:highlight w:val="none"/>
              </w:rPr>
              <w:t>联系人：王晓文  电话：13971064493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招标代理机构</w:t>
            </w:r>
          </w:p>
        </w:tc>
        <w:tc>
          <w:tcPr>
            <w:tcW w:w="7447" w:type="dxa"/>
          </w:tcPr>
          <w:p>
            <w:pPr>
              <w:pStyle w:val="57"/>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名称：浙江明业项目管理有限公司</w:t>
            </w:r>
          </w:p>
          <w:p>
            <w:pPr>
              <w:pStyle w:val="57"/>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地址：绍兴市解放大道111号中石化大楼7楼</w:t>
            </w:r>
          </w:p>
          <w:p>
            <w:pPr>
              <w:pStyle w:val="57"/>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联系人：张雅美  电话：0575-85209901、</w:t>
            </w:r>
            <w:r>
              <w:rPr>
                <w:rFonts w:hint="eastAsia" w:hAnsi="宋体" w:cs="宋体"/>
                <w:color w:val="auto"/>
                <w:szCs w:val="20"/>
                <w:highlight w:val="none"/>
                <w:u w:val="single"/>
              </w:rPr>
              <w:t>13957571013</w:t>
            </w:r>
          </w:p>
          <w:p>
            <w:pPr>
              <w:rPr>
                <w:rFonts w:ascii="宋体" w:hAnsi="宋体" w:cs="宋体"/>
                <w:color w:val="auto"/>
                <w:sz w:val="20"/>
                <w:szCs w:val="20"/>
                <w:highlight w:val="none"/>
              </w:rPr>
            </w:pPr>
            <w:r>
              <w:rPr>
                <w:rFonts w:hint="eastAsia" w:ascii="宋体" w:hAnsi="宋体" w:cs="宋体"/>
                <w:color w:val="auto"/>
                <w:sz w:val="20"/>
                <w:szCs w:val="20"/>
                <w:highlight w:val="none"/>
              </w:rPr>
              <w:t>电子邮箱：229330322@qq.com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项目名称</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绍兴市妇幼保健院（绍兴市儿童医院）建设项目医疗辐射防护项目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建设地点</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出资比例</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资金落实情况</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招标范围</w:t>
            </w:r>
          </w:p>
        </w:tc>
        <w:tc>
          <w:tcPr>
            <w:tcW w:w="7447" w:type="dxa"/>
          </w:tcPr>
          <w:p>
            <w:pPr>
              <w:pStyle w:val="57"/>
              <w:numPr>
                <w:ilvl w:val="255"/>
                <w:numId w:val="0"/>
              </w:numPr>
              <w:adjustRightInd w:val="0"/>
              <w:snapToGrid w:val="0"/>
              <w:spacing w:line="0" w:lineRule="atLeast"/>
              <w:rPr>
                <w:rFonts w:hAnsi="宋体" w:cs="宋体"/>
                <w:color w:val="auto"/>
                <w:szCs w:val="20"/>
                <w:highlight w:val="none"/>
              </w:rPr>
            </w:pPr>
            <w:r>
              <w:rPr>
                <w:rFonts w:hint="eastAsia" w:hAnsi="宋体" w:cs="宋体"/>
                <w:color w:val="auto"/>
                <w:szCs w:val="20"/>
                <w:highlight w:val="none"/>
              </w:rPr>
              <w:t xml:space="preserve">1、本次招标项目的招标范围: </w:t>
            </w:r>
            <w:r>
              <w:rPr>
                <w:rFonts w:hint="eastAsia" w:hAnsi="宋体" w:cs="宋体"/>
                <w:b/>
                <w:bCs/>
                <w:color w:val="auto"/>
                <w:szCs w:val="20"/>
                <w:highlight w:val="none"/>
              </w:rPr>
              <w:t>绍兴市妇幼保健院（绍兴市儿童医院）建设项目医疗辐射防护项目，①放射科位于门急诊医技楼一层，设有DR室、CT室、MRI室、造影室以及设备间；②体检中心放射科位于妇科住院楼二层，设有骨密度、DR、CT、钼靶以及控制室；③NICU放射科位于妇科住院楼三层，设有1间X线室(防护)；④发热门诊CT室、移动X射线；⑤手术室的DSA房间等招标图范围内房间。详见招标文件  “技术标准和要求”</w:t>
            </w:r>
            <w:r>
              <w:rPr>
                <w:rFonts w:hint="eastAsia" w:hAnsi="宋体" w:cs="宋体"/>
                <w:color w:val="auto"/>
                <w:szCs w:val="20"/>
                <w:highlight w:val="none"/>
              </w:rPr>
              <w:t>。</w:t>
            </w:r>
          </w:p>
          <w:p>
            <w:pPr>
              <w:pStyle w:val="57"/>
              <w:numPr>
                <w:ilvl w:val="0"/>
                <w:numId w:val="1"/>
              </w:numPr>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 xml:space="preserve">本次招标内容: </w:t>
            </w:r>
            <w:r>
              <w:rPr>
                <w:rFonts w:hint="eastAsia" w:hAnsi="宋体" w:cs="宋体"/>
                <w:b/>
                <w:bCs/>
                <w:color w:val="auto"/>
                <w:szCs w:val="20"/>
                <w:highlight w:val="none"/>
              </w:rPr>
              <w:t>招标人提供的防辐射系统设备采购及安装的防辐射图纸中的所有工程内容，包括防辐射工程施工图的进一步深化设计、材料供货、运输、卸货、保管、施工、安装、调试、检测、</w:t>
            </w:r>
            <w:r>
              <w:rPr>
                <w:rFonts w:hint="eastAsia" w:hAnsi="宋体" w:cs="宋体"/>
                <w:b/>
                <w:bCs/>
                <w:color w:val="auto"/>
                <w:szCs w:val="21"/>
                <w:highlight w:val="none"/>
              </w:rPr>
              <w:t>防辐射标识标记等</w:t>
            </w:r>
            <w:r>
              <w:rPr>
                <w:rFonts w:hint="eastAsia" w:hAnsi="宋体" w:cs="宋体"/>
                <w:b/>
                <w:bCs/>
                <w:color w:val="auto"/>
                <w:szCs w:val="20"/>
                <w:highlight w:val="none"/>
              </w:rPr>
              <w:t>并最终通过验收，同时负责技术服务与培训，提交相关技术资料以及质保期内的维修保养等，并提供磁屏蔽第三方性能检测，放射第三方环评、控评、机房性能检测、放射设备性能检测，及辐射安全许可、放射诊疗许可变更等手续及相关费用</w:t>
            </w:r>
            <w:r>
              <w:rPr>
                <w:rFonts w:hint="eastAsia" w:hAnsi="宋体" w:cs="宋体"/>
                <w:color w:val="auto"/>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工期要求</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以招标人发出的开工指令后210日历天，具体应与工程施工总进度计划同步（根据医院设备安装进度，完成该工程并在30个工作日内出具相关检测报告）。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质量要求</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合格。配合总承包单位争创钱江杯、鲁班奖。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投标资格条件、要求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1.4.2</w:t>
            </w:r>
          </w:p>
        </w:tc>
        <w:tc>
          <w:tcPr>
            <w:tcW w:w="1560" w:type="dxa"/>
            <w:vAlign w:val="center"/>
          </w:tcPr>
          <w:p>
            <w:pPr>
              <w:pStyle w:val="57"/>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是否接受联合体投标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1.9.1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踏勘现场</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投标预备会</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投标人提出问题的截止时间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2021年  月   日    </w:t>
            </w:r>
            <w:r>
              <w:rPr>
                <w:color w:val="auto"/>
                <w:highlight w:val="none"/>
              </w:rPr>
              <w:fldChar w:fldCharType="begin"/>
            </w:r>
            <w:r>
              <w:rPr>
                <w:color w:val="auto"/>
                <w:highlight w:val="none"/>
              </w:rPr>
              <w:instrText xml:space="preserve"> HYPERLINK "mailto:时前（北京时间），请将要求澄清内容加盖单位公章后将扫描件、WORD电子版发到229330322@qq.com。" </w:instrText>
            </w:r>
            <w:r>
              <w:rPr>
                <w:color w:val="auto"/>
                <w:highlight w:val="none"/>
              </w:rPr>
              <w:fldChar w:fldCharType="separate"/>
            </w:r>
            <w:r>
              <w:rPr>
                <w:rFonts w:hint="eastAsia" w:ascii="宋体" w:hAnsi="宋体" w:cs="宋体"/>
                <w:color w:val="auto"/>
                <w:sz w:val="20"/>
                <w:szCs w:val="20"/>
                <w:highlight w:val="none"/>
              </w:rPr>
              <w:t>时前（北京时间），请将要求澄清内容加盖单位公章后将扫描件、WORD电子版发到229330322@qq.com。</w:t>
            </w:r>
            <w:r>
              <w:rPr>
                <w:rFonts w:hint="eastAsia" w:ascii="宋体" w:hAnsi="宋体" w:cs="宋体"/>
                <w:color w:val="auto"/>
                <w:sz w:val="20"/>
                <w:szCs w:val="20"/>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招标文件的澄清、补充、修改的时间以及澄清、补充、修改文件的下载网址</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澄清、补充、修改的内容影响投标文件编制的，招标人将在投标截止时间15日前，以电子文件形式上传至交易平台供投标人下载，不足15天的，招标人将顺延递交投标文件的截止时间。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澄清、补充、修改的内容不影响投标文件编制的，将在投标文件递交截止时间7天前，以上款相同的形式发布。</w:t>
            </w:r>
          </w:p>
          <w:p>
            <w:pPr>
              <w:rPr>
                <w:rFonts w:ascii="宋体" w:hAnsi="宋体" w:cs="宋体"/>
                <w:color w:val="auto"/>
                <w:sz w:val="20"/>
                <w:szCs w:val="20"/>
                <w:highlight w:val="none"/>
                <w:lang w:bidi="ar"/>
              </w:rPr>
            </w:pPr>
            <w:r>
              <w:rPr>
                <w:rFonts w:hint="eastAsia" w:ascii="宋体" w:hAnsi="宋体" w:cs="宋体"/>
                <w:color w:val="auto"/>
                <w:sz w:val="20"/>
                <w:szCs w:val="20"/>
                <w:highlight w:val="none"/>
              </w:rPr>
              <w:t>下载网址： 绍兴公共资源交易网</w:t>
            </w:r>
            <w:r>
              <w:rPr>
                <w:rFonts w:hint="eastAsia" w:ascii="宋体" w:hAnsi="宋体" w:cs="宋体"/>
                <w:color w:val="auto"/>
                <w:sz w:val="20"/>
                <w:szCs w:val="20"/>
                <w:highlight w:val="none"/>
              </w:rPr>
              <w:fldChar w:fldCharType="begin"/>
            </w:r>
            <w:r>
              <w:rPr>
                <w:rFonts w:hint="eastAsia" w:ascii="宋体" w:hAnsi="宋体" w:cs="宋体"/>
                <w:color w:val="auto"/>
                <w:sz w:val="20"/>
                <w:szCs w:val="20"/>
                <w:highlight w:val="none"/>
              </w:rPr>
              <w:instrText xml:space="preserve"> HYPERLINK "http://www.zmctc.com/" \h </w:instrText>
            </w:r>
            <w:r>
              <w:rPr>
                <w:rFonts w:hint="eastAsia" w:ascii="宋体" w:hAnsi="宋体" w:cs="宋体"/>
                <w:color w:val="auto"/>
                <w:sz w:val="20"/>
                <w:szCs w:val="20"/>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投标人须使用用户名和密码登录交易平台后下载相关文件。</w:t>
            </w:r>
          </w:p>
          <w:p>
            <w:pPr>
              <w:rPr>
                <w:rFonts w:ascii="宋体" w:hAnsi="宋体" w:cs="宋体"/>
                <w:color w:val="auto"/>
                <w:sz w:val="20"/>
                <w:szCs w:val="20"/>
                <w:highlight w:val="none"/>
              </w:rPr>
            </w:pPr>
            <w:r>
              <w:rPr>
                <w:rFonts w:hint="eastAsia" w:ascii="宋体" w:hAnsi="宋体" w:cs="宋体"/>
                <w:color w:val="auto"/>
                <w:sz w:val="20"/>
                <w:szCs w:val="20"/>
                <w:highlight w:val="none"/>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投标人确认收到澄清、补充、修改文件的时间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招标工程是否允许分包</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偏离</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Cs w:val="21"/>
                <w:highlight w:val="none"/>
              </w:rPr>
              <w:t>参照技术标评分标准。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构成招标文件的其他资料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货物清单、施工图纸、招标补充文件等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投标人要求澄清招标文件的截止时间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同招标公告中获取招标文件截止日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投标人确认收到招标文件澄清的时间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投标人确认收到招标文件修改的时间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构成投标文件的其他资料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最高投标限价或其计算方法</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本次招标最高投标限价为：228万元。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投标报价的其他要求</w:t>
            </w:r>
          </w:p>
        </w:tc>
        <w:tc>
          <w:tcPr>
            <w:tcW w:w="7447" w:type="dxa"/>
            <w:vAlign w:val="center"/>
          </w:tcPr>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 投标报价为投标人的投标文件中提出的各项支付金额的总和。</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 技术标中明确或招标文件、设计图纸确定的相应技术规范要求的费用应包括在投标报价中，否则视同投标优惠。</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4、 投标人应先到项目现场踏勘以充分了解现场位置、情况、道路、储存空间、装卸限制及任何其它足以影响报价的情况，任何因忽视或误解工地情况而导致的索赔或工期延长申请将不获批准；</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 投标人的投标报价包括并不限于按照本工程招标人提供的图纸、货物清单以及本项目技术要求所进行的进一步深化设计费、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俗称：交钥匙工程）并通过验收合格的所有的一切费用；包括投标人按照本次招标根据招标人提供的本工程图纸、货物清单以及本项目技术要求等进一步完成深化施工图纸设计工作，并承担深化设计费用及深化设计后增加工程的施工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6、 招标人不接受低于成本的投标报价，也不接受招标项目范围内的捐赠。</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7、投标人按照上述要求编制投标报价。一旦确认某一投标人中标，除合同规定的可调整内容外，中标人不得要求追加任何费用。</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8、除总承包人在其施工周期内免费提供工地内已有的并能独立使用的脚手架、机械设备等辅助设施外，投标人报价中还应包含本项目供货及安装时所需的各项措施费（如未单独列报的，将视作已包含在投标总价之中），否则视作优惠。同时须满足下列要求：</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①供应商进场后须与总包签订总包管理协议，服从总包管理要求。</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②供应商的安装进场时间不应晚于监理、业主审批的施工总进度计划进场时间。</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③供应商进场前，图纸须齐全，以免影响后续施工进度（供应商须对图纸进行深化设计）。</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④进入施工现场后，设备及材料堆放场地须按照总包要求进行布设，满足标准化工地要求。</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57"/>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57"/>
              <w:numPr>
                <w:ilvl w:val="0"/>
                <w:numId w:val="2"/>
              </w:numPr>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鉴于目前总包施工现状，室外脚手架搭建情况，请投标人自行考虑设备运输事宜并承担运输费用请充分考虑综合进入投标总价，中标后不予调整。并从安全角度出发，要求投标单位充分考虑在室外施工时的临边围护、安全防护等措施（如有），相关费用计入投标总价中，中标后不予调整。</w:t>
            </w:r>
          </w:p>
          <w:p>
            <w:pPr>
              <w:pStyle w:val="27"/>
              <w:ind w:firstLine="0" w:firstLineChars="0"/>
              <w:rPr>
                <w:rFonts w:ascii="宋体" w:hAnsi="宋体" w:cs="宋体"/>
                <w:color w:val="auto"/>
                <w:sz w:val="20"/>
                <w:highlight w:val="none"/>
              </w:rPr>
            </w:pPr>
            <w:r>
              <w:rPr>
                <w:rFonts w:hint="eastAsia" w:ascii="宋体" w:hAnsi="宋体" w:cs="宋体"/>
                <w:b/>
                <w:bCs/>
                <w:color w:val="auto"/>
                <w:sz w:val="20"/>
                <w:highlight w:val="none"/>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投标有效期</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投标保证金</w:t>
            </w:r>
          </w:p>
        </w:tc>
        <w:tc>
          <w:tcPr>
            <w:tcW w:w="7447" w:type="dxa"/>
            <w:vAlign w:val="center"/>
          </w:tcPr>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形式：见招标公告</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金额：见招标公告</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递交方式：见招标公告</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投标保证金不予退还的情形：</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1．投标人在投标有效期内撤销或修改其投标文件。</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2．中标人无正当理由不与招标人订立合同，或在签订合同时向招标人提出附加条件，或未按招标文件要求提交履约保证金的。</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3．经查实，投标人在投标过程中串通投标或弄虚作假的。</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4．拟派项目负责人在投标截止日有在其他在建合同工程上担任项目负责人的情形。</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w:t>
            </w:r>
            <w:bookmarkStart w:id="2" w:name="_Hlk82006863"/>
            <w:r>
              <w:rPr>
                <w:rFonts w:hint="eastAsia" w:hAnsi="宋体" w:cs="宋体"/>
                <w:color w:val="auto"/>
                <w:szCs w:val="20"/>
                <w:highlight w:val="none"/>
              </w:rPr>
              <w:t>．存在违反《招标投标法》第三十二条、第三十三条规定的违法情形的。</w:t>
            </w:r>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6．招标文件等材料约定的不予退还的其他情形。</w:t>
            </w:r>
            <w:bookmarkEnd w:id="2"/>
          </w:p>
          <w:p>
            <w:pPr>
              <w:pStyle w:val="57"/>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出现上述不予退还情形的，招标人告知交易中心登记后，平台将自动划转其投标保证金</w:t>
            </w:r>
            <w:r>
              <w:rPr>
                <w:rFonts w:hint="eastAsia" w:hAnsi="宋体" w:cs="宋体"/>
                <w:strike/>
                <w:color w:val="auto"/>
                <w:szCs w:val="20"/>
                <w:highlight w:val="none"/>
              </w:rPr>
              <w:t>及银行同期存款利息至</w:t>
            </w:r>
            <w:r>
              <w:rPr>
                <w:rFonts w:hint="eastAsia" w:hAnsi="宋体" w:cs="宋体"/>
                <w:color w:val="auto"/>
                <w:szCs w:val="20"/>
                <w:highlight w:val="none"/>
              </w:rPr>
              <w:t>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资格审查资料</w:t>
            </w:r>
          </w:p>
        </w:tc>
        <w:tc>
          <w:tcPr>
            <w:tcW w:w="7447" w:type="dxa"/>
            <w:vAlign w:val="center"/>
          </w:tcPr>
          <w:p>
            <w:pPr>
              <w:widowControl/>
              <w:jc w:val="left"/>
              <w:rPr>
                <w:rFonts w:ascii="宋体" w:hAnsi="宋体" w:cs="宋体"/>
                <w:b/>
                <w:iCs/>
                <w:color w:val="auto"/>
                <w:sz w:val="20"/>
                <w:szCs w:val="20"/>
                <w:highlight w:val="none"/>
                <w:u w:val="single"/>
                <w:lang w:bidi="ar"/>
              </w:rPr>
            </w:pPr>
            <w:r>
              <w:rPr>
                <w:rFonts w:hint="eastAsia" w:ascii="宋体" w:hAnsi="宋体" w:cs="宋体"/>
                <w:b/>
                <w:iCs/>
                <w:color w:val="auto"/>
                <w:sz w:val="20"/>
                <w:szCs w:val="20"/>
                <w:highlight w:val="none"/>
                <w:u w:val="single"/>
                <w:lang w:bidi="ar"/>
              </w:rPr>
              <w:t>1、企业法人营业执照复印件。</w:t>
            </w:r>
          </w:p>
          <w:p>
            <w:pPr>
              <w:widowControl/>
              <w:jc w:val="left"/>
              <w:rPr>
                <w:rFonts w:ascii="宋体" w:hAnsi="宋体" w:cs="宋体"/>
                <w:b/>
                <w:iCs/>
                <w:color w:val="auto"/>
                <w:sz w:val="20"/>
                <w:szCs w:val="20"/>
                <w:highlight w:val="none"/>
                <w:u w:val="single"/>
                <w:lang w:bidi="ar"/>
              </w:rPr>
            </w:pPr>
            <w:r>
              <w:rPr>
                <w:rFonts w:hint="eastAsia" w:ascii="宋体" w:hAnsi="宋体" w:cs="宋体"/>
                <w:b/>
                <w:iCs/>
                <w:color w:val="auto"/>
                <w:sz w:val="20"/>
                <w:szCs w:val="20"/>
                <w:highlight w:val="none"/>
                <w:u w:val="single"/>
                <w:lang w:bidi="ar"/>
              </w:rPr>
              <w:t>2、企业资质证书、安全生产许可证复印件。</w:t>
            </w:r>
          </w:p>
          <w:p>
            <w:pPr>
              <w:pStyle w:val="27"/>
              <w:ind w:firstLine="0" w:firstLineChars="0"/>
              <w:rPr>
                <w:rFonts w:ascii="宋体" w:hAnsi="宋体" w:cs="宋体"/>
                <w:b/>
                <w:iCs/>
                <w:color w:val="auto"/>
                <w:sz w:val="20"/>
                <w:highlight w:val="none"/>
                <w:u w:val="single"/>
                <w:lang w:bidi="ar"/>
              </w:rPr>
            </w:pPr>
            <w:r>
              <w:rPr>
                <w:rFonts w:hint="eastAsia" w:ascii="宋体" w:hAnsi="宋体" w:cs="宋体"/>
                <w:b/>
                <w:iCs/>
                <w:color w:val="auto"/>
                <w:sz w:val="20"/>
                <w:highlight w:val="none"/>
                <w:u w:val="single"/>
                <w:lang w:bidi="ar"/>
              </w:rPr>
              <w:t>3、浙江省外企业须提供浙江省住建厅核发的有效期内备案证明（浙江省内企业不作要求）。</w:t>
            </w:r>
          </w:p>
          <w:p>
            <w:pPr>
              <w:rPr>
                <w:rFonts w:ascii="宋体" w:hAnsi="宋体" w:cs="宋体"/>
                <w:b/>
                <w:iCs/>
                <w:color w:val="auto"/>
                <w:sz w:val="20"/>
                <w:szCs w:val="20"/>
                <w:highlight w:val="none"/>
                <w:u w:val="single"/>
                <w:lang w:bidi="ar"/>
              </w:rPr>
            </w:pPr>
            <w:r>
              <w:rPr>
                <w:rFonts w:hint="eastAsia" w:ascii="宋体" w:hAnsi="宋体" w:cs="宋体"/>
                <w:b/>
                <w:iCs/>
                <w:color w:val="auto"/>
                <w:sz w:val="20"/>
                <w:szCs w:val="20"/>
                <w:highlight w:val="none"/>
                <w:u w:val="single"/>
                <w:lang w:bidi="ar"/>
              </w:rPr>
              <w:t>4、项目负责人注册证书、安全生产考核合格证、社保证明复印件。</w:t>
            </w:r>
          </w:p>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5、承诺书（①承诺对资格审查资料所有提交的证明材料真实有效性负责，若发现其有伪造证书、业绩等行为的，同意招标人不接受其投标，其缴纳的投标保证金不予退还；②承诺企业和项目负责人近 5年内无行贿犯罪记录。）格式自拟，加盖投标人公章。</w:t>
            </w:r>
          </w:p>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6、投标人及其法定代表人控股的其他公司，不得同时参加同一标段投标。否则，均按否决投标处理。</w:t>
            </w:r>
          </w:p>
          <w:p>
            <w:pPr>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7、本次招标不接受联合体投标。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近年财务状况的年份要求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近年完成的类似项目的年份要求</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详见投标人资格要求和资信、技术评审标准。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近年发生的重大诉讼及仲裁情况的年份要求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3.6</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是否允许递交备选投标方案</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签字或盖章要求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纸质投标文件签字或盖章要求详见招标文件格式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3.7.4</w:t>
            </w:r>
          </w:p>
        </w:tc>
        <w:tc>
          <w:tcPr>
            <w:tcW w:w="1560" w:type="dxa"/>
            <w:vAlign w:val="center"/>
          </w:tcPr>
          <w:p>
            <w:pPr>
              <w:pStyle w:val="57"/>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投标文件份数</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一正陆副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装订要求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应装订成册，不得采用活页夹，并编制目录和页码。注：投标文件资格审查资料、技术标、商务标分别按招标文件格式要求统一装订成册。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bCs/>
                <w:iCs/>
                <w:color w:val="auto"/>
                <w:kern w:val="2"/>
                <w:sz w:val="20"/>
                <w:szCs w:val="20"/>
                <w:highlight w:val="none"/>
              </w:rPr>
              <w:t>投标文件的外包装和密封要求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b/>
                <w:iCs/>
                <w:color w:val="auto"/>
                <w:kern w:val="2"/>
                <w:sz w:val="20"/>
                <w:szCs w:val="20"/>
                <w:highlight w:val="none"/>
              </w:rPr>
              <w:t>投标文件的正本副本统一包装在一个密封袋内，</w:t>
            </w:r>
            <w:r>
              <w:rPr>
                <w:rFonts w:hint="eastAsia" w:ascii="宋体" w:hAnsi="宋体" w:cs="宋体"/>
                <w:color w:val="auto"/>
                <w:sz w:val="20"/>
                <w:szCs w:val="20"/>
                <w:highlight w:val="none"/>
              </w:rPr>
              <w:t>资格审查资料、技术标、商务标分别密封包装，</w:t>
            </w:r>
            <w:r>
              <w:rPr>
                <w:rFonts w:hint="eastAsia" w:ascii="宋体" w:hAnsi="宋体" w:cs="宋体"/>
                <w:b/>
                <w:iCs/>
                <w:color w:val="auto"/>
                <w:kern w:val="2"/>
                <w:sz w:val="20"/>
                <w:szCs w:val="20"/>
                <w:highlight w:val="none"/>
              </w:rPr>
              <w:t>并在密封袋封口处加盖单位章。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封套上写明</w:t>
            </w:r>
          </w:p>
        </w:tc>
        <w:tc>
          <w:tcPr>
            <w:tcW w:w="7447" w:type="dxa"/>
            <w:vAlign w:val="center"/>
          </w:tcPr>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招标人地址：</w:t>
            </w:r>
            <w:r>
              <w:rPr>
                <w:rFonts w:hint="eastAsia" w:ascii="宋体" w:hAnsi="宋体" w:cs="宋体"/>
                <w:b/>
                <w:color w:val="auto"/>
                <w:sz w:val="20"/>
                <w:szCs w:val="20"/>
                <w:highlight w:val="none"/>
                <w:u w:val="single"/>
              </w:rPr>
              <w:t>绍兴市柯桥区柯桥经济开发区鉴湖路</w:t>
            </w:r>
          </w:p>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招标人名称：</w:t>
            </w:r>
            <w:r>
              <w:rPr>
                <w:rFonts w:hint="eastAsia" w:ascii="宋体" w:hAnsi="宋体" w:cs="宋体"/>
                <w:b/>
                <w:color w:val="auto"/>
                <w:sz w:val="20"/>
                <w:szCs w:val="20"/>
                <w:highlight w:val="none"/>
                <w:u w:val="single"/>
              </w:rPr>
              <w:t>浙江精工钢结构集团有限公司</w:t>
            </w:r>
          </w:p>
          <w:p>
            <w:pPr>
              <w:jc w:val="left"/>
              <w:rPr>
                <w:rFonts w:ascii="宋体" w:hAnsi="宋体" w:cs="宋体"/>
                <w:color w:val="auto"/>
                <w:sz w:val="20"/>
                <w:szCs w:val="20"/>
                <w:highlight w:val="none"/>
              </w:rPr>
            </w:pPr>
            <w:r>
              <w:rPr>
                <w:rFonts w:hint="eastAsia" w:ascii="宋体" w:hAnsi="宋体" w:cs="宋体"/>
                <w:b/>
                <w:bCs/>
                <w:color w:val="auto"/>
                <w:sz w:val="20"/>
                <w:szCs w:val="20"/>
                <w:highlight w:val="none"/>
                <w:u w:val="single"/>
              </w:rPr>
              <w:t>绍兴市妇幼保健院（绍兴市儿童医院）建设项目医疗辐射防护项目</w:t>
            </w:r>
            <w:r>
              <w:rPr>
                <w:rFonts w:hint="eastAsia" w:ascii="宋体" w:hAnsi="宋体" w:cs="宋体"/>
                <w:color w:val="auto"/>
                <w:sz w:val="20"/>
                <w:szCs w:val="20"/>
                <w:highlight w:val="none"/>
              </w:rPr>
              <w:t>投标文件，在2021年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递交投标文件方式和地点</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本项目采用“不见面”开标方式，不强制要求投标人参加现场开标会。</w:t>
            </w:r>
          </w:p>
          <w:p>
            <w:pPr>
              <w:rPr>
                <w:rFonts w:ascii="宋体" w:hAnsi="宋体" w:cs="宋体"/>
                <w:color w:val="auto"/>
                <w:sz w:val="20"/>
                <w:szCs w:val="20"/>
                <w:highlight w:val="none"/>
              </w:rPr>
            </w:pPr>
            <w:r>
              <w:rPr>
                <w:rFonts w:hint="eastAsia" w:ascii="宋体" w:hAnsi="宋体" w:cs="宋体"/>
                <w:color w:val="auto"/>
                <w:sz w:val="20"/>
                <w:szCs w:val="20"/>
                <w:highlight w:val="none"/>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rFonts w:hint="eastAsia" w:ascii="宋体" w:hAnsi="宋体" w:cs="宋体"/>
                <w:color w:val="auto"/>
                <w:sz w:val="20"/>
                <w:szCs w:val="20"/>
                <w:highlight w:val="none"/>
              </w:rPr>
              <w:fldChar w:fldCharType="begin"/>
            </w:r>
            <w:r>
              <w:rPr>
                <w:rFonts w:hint="eastAsia" w:ascii="宋体" w:hAnsi="宋体" w:cs="宋体"/>
                <w:color w:val="auto"/>
                <w:sz w:val="20"/>
                <w:szCs w:val="20"/>
                <w:highlight w:val="none"/>
              </w:rPr>
              <w:instrText xml:space="preserve"> HYPERLINK "http://www.sxztb.gov.cn/sxweb/ReadAttachFile.aspx?AttachID=37f9b03b-ad6a-42af-b0e6-b5a96971394e" \t "_blank" </w:instrText>
            </w:r>
            <w:r>
              <w:rPr>
                <w:rFonts w:hint="eastAsia" w:ascii="宋体" w:hAnsi="宋体" w:cs="宋体"/>
                <w:color w:val="auto"/>
                <w:sz w:val="20"/>
                <w:szCs w:val="20"/>
                <w:highlight w:val="none"/>
              </w:rPr>
              <w:fldChar w:fldCharType="separate"/>
            </w:r>
            <w:r>
              <w:rPr>
                <w:rFonts w:hint="eastAsia" w:ascii="宋体" w:hAnsi="宋体" w:cs="宋体"/>
                <w:color w:val="auto"/>
                <w:sz w:val="20"/>
                <w:szCs w:val="20"/>
                <w:highlight w:val="none"/>
              </w:rPr>
              <w:t>绍兴市迪荡新城惠利街20号鼎盛时代大厦</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绍兴市公共资源交易中心四楼，收件人：陈振宇，电话0575-88307031，建议采用邮政EMS邮寄）。投标人在开标现场不需要书面签字确认等有关操作。</w:t>
            </w:r>
          </w:p>
          <w:p>
            <w:pPr>
              <w:rPr>
                <w:rFonts w:ascii="宋体" w:hAnsi="宋体" w:cs="宋体"/>
                <w:color w:val="auto"/>
                <w:sz w:val="20"/>
                <w:szCs w:val="20"/>
                <w:highlight w:val="none"/>
              </w:rPr>
            </w:pPr>
            <w:r>
              <w:rPr>
                <w:rFonts w:hint="eastAsia" w:ascii="宋体" w:hAnsi="宋体" w:cs="宋体"/>
                <w:color w:val="auto"/>
                <w:sz w:val="20"/>
                <w:szCs w:val="20"/>
                <w:highlight w:val="none"/>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是否退还投标文件</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投标文件的拒收情形</w:t>
            </w:r>
          </w:p>
        </w:tc>
        <w:tc>
          <w:tcPr>
            <w:tcW w:w="7447" w:type="dxa"/>
            <w:vAlign w:val="center"/>
          </w:tcPr>
          <w:p>
            <w:pPr>
              <w:pStyle w:val="57"/>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一、未密封的投标文件。</w:t>
            </w:r>
          </w:p>
          <w:p>
            <w:pPr>
              <w:rPr>
                <w:rFonts w:ascii="宋体" w:hAnsi="宋体" w:cs="宋体"/>
                <w:color w:val="auto"/>
                <w:sz w:val="20"/>
                <w:szCs w:val="20"/>
                <w:highlight w:val="none"/>
              </w:rPr>
            </w:pPr>
            <w:r>
              <w:rPr>
                <w:rFonts w:hint="eastAsia" w:ascii="宋体" w:hAnsi="宋体" w:cs="宋体"/>
                <w:color w:val="auto"/>
                <w:sz w:val="20"/>
                <w:szCs w:val="20"/>
                <w:highlight w:val="none"/>
              </w:rPr>
              <w:t>二、逾期送达的或者未送达指定地点的投标文件。</w:t>
            </w:r>
          </w:p>
          <w:p>
            <w:pPr>
              <w:pStyle w:val="57"/>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三、投标保证金未缴纳的。</w:t>
            </w:r>
          </w:p>
          <w:p>
            <w:pPr>
              <w:pStyle w:val="57"/>
              <w:adjustRightInd w:val="0"/>
              <w:snapToGrid w:val="0"/>
              <w:spacing w:line="0" w:lineRule="atLeast"/>
              <w:ind w:right="241" w:rightChars="115" w:firstLine="0" w:firstLineChars="0"/>
              <w:rPr>
                <w:rFonts w:hAnsi="宋体" w:cs="宋体"/>
                <w:strike/>
                <w:color w:val="auto"/>
                <w:szCs w:val="20"/>
                <w:highlight w:val="none"/>
              </w:rPr>
            </w:pPr>
            <w:r>
              <w:rPr>
                <w:rFonts w:hint="eastAsia" w:hAnsi="宋体" w:cs="宋体"/>
                <w:strike/>
                <w:color w:val="auto"/>
                <w:szCs w:val="20"/>
                <w:highlight w:val="none"/>
              </w:rPr>
              <w:t>四、未按规定缴纳招标文件工本费的。</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开标时间、开标地点、参加开标会议的要求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一、开标时间：同投标截止时间。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二、开标地点：绍兴市公共资源交易中心指定开标室。</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一、密封情况检查：</w:t>
            </w:r>
            <w:r>
              <w:rPr>
                <w:rFonts w:hint="eastAsia" w:ascii="宋体" w:hAnsi="宋体" w:cs="宋体"/>
                <w:color w:val="auto"/>
                <w:sz w:val="20"/>
                <w:szCs w:val="20"/>
                <w:highlight w:val="none"/>
                <w:lang w:bidi="ar"/>
              </w:rPr>
              <w:t>由公证处公证人员检查。</w:t>
            </w:r>
          </w:p>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二、开标顺序：</w:t>
            </w:r>
            <w:r>
              <w:rPr>
                <w:rFonts w:hint="eastAsia" w:ascii="宋体" w:hAnsi="宋体" w:cs="宋体"/>
                <w:color w:val="auto"/>
                <w:sz w:val="20"/>
                <w:szCs w:val="20"/>
                <w:highlight w:val="none"/>
                <w:lang w:bidi="ar"/>
              </w:rPr>
              <w:t>按获取招标文件顺序依次开标。</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（为确保开评标现场的疫情防控安全，到现场参与开评标的各类人员应出示健康码。为减少人员聚集程度及滞留时间，招标人、招标代理工作人员原则上不超过三人，投标人不需在开标现场。）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评标委员会的组建</w:t>
            </w:r>
          </w:p>
        </w:tc>
        <w:tc>
          <w:tcPr>
            <w:tcW w:w="7447" w:type="dxa"/>
            <w:vAlign w:val="center"/>
          </w:tcPr>
          <w:p>
            <w:pPr>
              <w:shd w:val="clear" w:color="auto" w:fill="FFFFFF"/>
              <w:spacing w:line="288" w:lineRule="auto"/>
              <w:rPr>
                <w:rFonts w:ascii="宋体" w:hAnsi="宋体" w:cs="宋体"/>
                <w:color w:val="auto"/>
                <w:sz w:val="20"/>
                <w:szCs w:val="20"/>
                <w:highlight w:val="none"/>
              </w:rPr>
            </w:pPr>
            <w:r>
              <w:rPr>
                <w:rFonts w:hint="eastAsia" w:ascii="宋体" w:hAnsi="宋体" w:cs="宋体"/>
                <w:color w:val="auto"/>
                <w:sz w:val="20"/>
                <w:szCs w:val="20"/>
                <w:highlight w:val="none"/>
              </w:rPr>
              <w:t>评标委员会构成：</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评标专家确定方式：</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评标方法</w:t>
            </w:r>
          </w:p>
        </w:tc>
        <w:tc>
          <w:tcPr>
            <w:tcW w:w="7447" w:type="dxa"/>
            <w:vAlign w:val="center"/>
          </w:tcPr>
          <w:p>
            <w:pPr>
              <w:jc w:val="left"/>
              <w:rPr>
                <w:rFonts w:ascii="宋体" w:hAnsi="宋体" w:cs="宋体"/>
                <w:color w:val="auto"/>
                <w:sz w:val="20"/>
                <w:szCs w:val="20"/>
                <w:highlight w:val="none"/>
              </w:rPr>
            </w:pP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cs="宋体"/>
                <w:color w:val="auto"/>
                <w:sz w:val="20"/>
                <w:szCs w:val="20"/>
                <w:highlight w:val="none"/>
              </w:rPr>
              <w:t>综合评估法</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中标候选人公示</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在 中 标 公 示 前 ， 招 标 人 通 过 中 国 裁 判 文 书 网 （ https ： </w:t>
            </w:r>
          </w:p>
          <w:p>
            <w:pPr>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 3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是否授权评标委员会确定中标人</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履约保证金</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履约保证金的形式：现金、银行保函、保险公司保函或融资担保公司保函。</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8.2</w:t>
            </w:r>
          </w:p>
        </w:tc>
        <w:tc>
          <w:tcPr>
            <w:tcW w:w="1560" w:type="dxa"/>
            <w:vAlign w:val="center"/>
          </w:tcPr>
          <w:p>
            <w:pPr>
              <w:pStyle w:val="57"/>
              <w:adjustRightInd w:val="0"/>
              <w:snapToGrid w:val="0"/>
              <w:spacing w:line="0" w:lineRule="atLeast"/>
              <w:ind w:firstLine="0" w:firstLineChars="0"/>
              <w:jc w:val="center"/>
              <w:rPr>
                <w:rFonts w:hAnsi="宋体" w:cs="宋体"/>
                <w:color w:val="auto"/>
                <w:szCs w:val="20"/>
                <w:highlight w:val="none"/>
              </w:rPr>
            </w:pPr>
            <w:r>
              <w:rPr>
                <w:rFonts w:hint="eastAsia" w:hAnsi="宋体" w:cs="宋体"/>
                <w:color w:val="auto"/>
                <w:szCs w:val="20"/>
                <w:highlight w:val="none"/>
              </w:rPr>
              <w:t>不再招标的情形</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10.1</w:t>
            </w:r>
          </w:p>
        </w:tc>
        <w:tc>
          <w:tcPr>
            <w:tcW w:w="1560" w:type="dxa"/>
            <w:vAlign w:val="center"/>
          </w:tcPr>
          <w:p>
            <w:pPr>
              <w:spacing w:line="240" w:lineRule="exact"/>
              <w:jc w:val="center"/>
              <w:rPr>
                <w:rFonts w:ascii="宋体" w:hAnsi="宋体" w:cs="宋体"/>
                <w:color w:val="auto"/>
                <w:sz w:val="20"/>
                <w:szCs w:val="20"/>
                <w:highlight w:val="none"/>
              </w:rPr>
            </w:pPr>
            <w:r>
              <w:rPr>
                <w:rFonts w:hint="eastAsia" w:ascii="宋体" w:hAnsi="宋体" w:cs="宋体"/>
                <w:color w:val="auto"/>
                <w:sz w:val="20"/>
                <w:szCs w:val="20"/>
                <w:highlight w:val="none"/>
              </w:rPr>
              <w:t>否决投标的情形</w:t>
            </w:r>
          </w:p>
        </w:tc>
        <w:tc>
          <w:tcPr>
            <w:tcW w:w="7447" w:type="dxa"/>
            <w:vAlign w:val="center"/>
          </w:tcPr>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二、投标文件存在以下情形之一的，由评标委员会审核并经过询标程序，其投标文件将被否决：</w:t>
            </w:r>
          </w:p>
          <w:p>
            <w:pPr>
              <w:spacing w:line="280" w:lineRule="exact"/>
              <w:ind w:firstLine="280"/>
              <w:rPr>
                <w:rFonts w:ascii="宋体" w:hAnsi="宋体" w:cs="宋体"/>
                <w:b/>
                <w:bCs/>
                <w:color w:val="auto"/>
                <w:sz w:val="20"/>
                <w:szCs w:val="20"/>
                <w:highlight w:val="none"/>
              </w:rPr>
            </w:pPr>
            <w:r>
              <w:rPr>
                <w:rFonts w:hint="eastAsia" w:ascii="宋体" w:hAnsi="宋体" w:cs="宋体"/>
                <w:b/>
                <w:bCs/>
                <w:color w:val="auto"/>
                <w:sz w:val="20"/>
                <w:szCs w:val="20"/>
                <w:highlight w:val="none"/>
              </w:rPr>
              <w:t>（一）资格审查符合性内容</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1.投标品牌的资质、业绩、人员、设备等条件未满足招标文件实质性响应要求的（以投标人须知前附表3.5中“资格审查资料”内容为准）；</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2.未按招标文件的要求加盖单位印章，或投标人的法定代表人（或其委托代理人）未按招标文件要求签字或盖章的，或委托代理人签字盖章但无有效的委托授权书的；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3.投标人存在招标文件投标人须知1.4.3规定的不得存在的情形之一的；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载明的交货期不响应招标文件要求的；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5.投标人不以自己的名义或未按招标文件要求提供投标保证金，或提供的投标保证金有缺陷而不能接受的；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6.投标报价高于招标文件设定的最高投标限价的；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7.改变招标人提供的货物清单内容的（货物名称、单位、数量）；</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8. 投标人及其法定代表人控股的其他公司，不得同时参加同一标段投标。否则，均按否决投标处理；</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9.投标人在开标会议前系统中确定的项目负责人与投标文件中项目负责人不一致的；</w:t>
            </w:r>
          </w:p>
          <w:p>
            <w:pPr>
              <w:spacing w:line="280" w:lineRule="exact"/>
              <w:ind w:firstLine="280"/>
              <w:jc w:val="left"/>
              <w:rPr>
                <w:rFonts w:ascii="宋体" w:hAnsi="宋体" w:cs="宋体"/>
                <w:color w:val="auto"/>
                <w:sz w:val="20"/>
                <w:szCs w:val="20"/>
                <w:highlight w:val="none"/>
              </w:rPr>
            </w:pPr>
            <w:r>
              <w:rPr>
                <w:rFonts w:hint="eastAsia" w:ascii="宋体" w:hAnsi="宋体" w:cs="宋体"/>
                <w:color w:val="auto"/>
                <w:sz w:val="20"/>
                <w:szCs w:val="20"/>
                <w:highlight w:val="none"/>
              </w:rPr>
              <w:t>10.存在法律、法规、规章规定的其它无效投标情况的。</w:t>
            </w:r>
          </w:p>
          <w:p>
            <w:pPr>
              <w:spacing w:line="280" w:lineRule="exact"/>
              <w:ind w:firstLine="280"/>
              <w:rPr>
                <w:rFonts w:ascii="宋体" w:hAnsi="宋体" w:cs="宋体"/>
                <w:b/>
                <w:bCs/>
                <w:color w:val="auto"/>
                <w:sz w:val="20"/>
                <w:szCs w:val="20"/>
                <w:highlight w:val="none"/>
              </w:rPr>
            </w:pPr>
            <w:r>
              <w:rPr>
                <w:rFonts w:hint="eastAsia" w:ascii="宋体" w:hAnsi="宋体" w:cs="宋体"/>
                <w:b/>
                <w:bCs/>
                <w:color w:val="auto"/>
                <w:sz w:val="20"/>
                <w:szCs w:val="20"/>
                <w:highlight w:val="none"/>
              </w:rPr>
              <w:t>（二）商务标符合性内容</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1.同一投标人提交两个以上不同的投标文件或者投标报价的；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2.报价评审时，投标人拒绝按以下条款修正的：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3.评标委员会认为投标人需要修正的投标内容；</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载明的投标报价或其它关键内容字迹模糊或无法辨认的；</w:t>
            </w:r>
          </w:p>
          <w:p>
            <w:pPr>
              <w:spacing w:line="280" w:lineRule="exact"/>
              <w:ind w:firstLine="280"/>
              <w:rPr>
                <w:rFonts w:ascii="宋体" w:hAnsi="宋体" w:cs="宋体"/>
                <w:b/>
                <w:bCs/>
                <w:color w:val="auto"/>
                <w:sz w:val="20"/>
                <w:szCs w:val="20"/>
                <w:highlight w:val="none"/>
                <w:shd w:val="clear" w:color="auto" w:fill="FFFFFF"/>
              </w:rPr>
            </w:pPr>
            <w:r>
              <w:rPr>
                <w:rFonts w:hint="eastAsia" w:ascii="宋体" w:hAnsi="宋体" w:cs="宋体"/>
                <w:b/>
                <w:bCs/>
                <w:color w:val="auto"/>
                <w:sz w:val="20"/>
                <w:szCs w:val="20"/>
                <w:highlight w:val="none"/>
                <w:shd w:val="clear" w:color="auto" w:fill="FFFFFF"/>
              </w:rPr>
              <w:t>（三）技术标符合性内容</w:t>
            </w:r>
          </w:p>
          <w:p>
            <w:pPr>
              <w:spacing w:line="280" w:lineRule="exact"/>
              <w:ind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1.采用的验收标准和方法、主要技术指标达不到国家强制性标准的或要求的；</w:t>
            </w:r>
          </w:p>
          <w:p>
            <w:pPr>
              <w:spacing w:line="280" w:lineRule="exact"/>
              <w:ind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 xml:space="preserve">2.不符合以下技术规格、标准或性能指标的（招标人认为需要增加的，无则删除本条）： 见招标文件货物清单和第六章相关条款内容；            </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除本条规定以外，招标文件中其他条款均不得作为否决投标文件的依据。</w:t>
            </w:r>
          </w:p>
          <w:p>
            <w:pPr>
              <w:rPr>
                <w:rFonts w:ascii="宋体" w:hAnsi="宋体" w:cs="宋体"/>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异议与投诉</w:t>
            </w:r>
          </w:p>
        </w:tc>
        <w:tc>
          <w:tcPr>
            <w:tcW w:w="7447" w:type="dxa"/>
            <w:vAlign w:val="center"/>
          </w:tcPr>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一、异议</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（四）对招标文件、评标结果的异议，提出和答复的形式只采用书面形式。</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二、投诉</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ind w:firstLine="400" w:firstLineChars="200"/>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定标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招标人补充的其他内容</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本招标项目由</w:t>
            </w:r>
            <w:r>
              <w:rPr>
                <w:rFonts w:hint="eastAsia" w:ascii="宋体" w:hAnsi="宋体" w:cs="宋体"/>
                <w:b/>
                <w:bCs/>
                <w:color w:val="auto"/>
                <w:sz w:val="20"/>
                <w:szCs w:val="20"/>
                <w:highlight w:val="none"/>
                <w:u w:val="single"/>
                <w:shd w:val="clear" w:color="auto" w:fill="FFFFFF"/>
              </w:rPr>
              <w:t>绍兴市越城区公管办</w:t>
            </w:r>
            <w:r>
              <w:rPr>
                <w:rFonts w:hint="eastAsia" w:ascii="宋体" w:hAnsi="宋体" w:cs="宋体"/>
                <w:color w:val="auto"/>
                <w:sz w:val="20"/>
                <w:szCs w:val="20"/>
                <w:highlight w:val="none"/>
                <w:shd w:val="clear" w:color="auto" w:fill="FFFFFF"/>
              </w:rPr>
              <w:t>参与监督，并请</w:t>
            </w:r>
            <w:r>
              <w:rPr>
                <w:rFonts w:hint="eastAsia" w:ascii="宋体" w:hAnsi="宋体" w:cs="宋体"/>
                <w:b/>
                <w:bCs/>
                <w:color w:val="auto"/>
                <w:sz w:val="20"/>
                <w:szCs w:val="20"/>
                <w:highlight w:val="none"/>
                <w:u w:val="single"/>
                <w:shd w:val="clear" w:color="auto" w:fill="FFFFFF"/>
              </w:rPr>
              <w:t>绍兴市国信公证处</w:t>
            </w:r>
            <w:r>
              <w:rPr>
                <w:rFonts w:hint="eastAsia" w:ascii="宋体" w:hAnsi="宋体" w:cs="宋体"/>
                <w:color w:val="auto"/>
                <w:sz w:val="20"/>
                <w:szCs w:val="20"/>
                <w:highlight w:val="none"/>
                <w:shd w:val="clear" w:color="auto" w:fill="FFFFFF"/>
              </w:rPr>
              <w:t>予以公证。</w:t>
            </w:r>
          </w:p>
        </w:tc>
      </w:tr>
    </w:tbl>
    <w:p>
      <w:pPr>
        <w:rPr>
          <w:color w:val="auto"/>
          <w:highlight w:val="none"/>
        </w:rPr>
      </w:pPr>
    </w:p>
    <w:p>
      <w:pPr>
        <w:pStyle w:val="2"/>
        <w:rPr>
          <w:color w:val="auto"/>
          <w:highlight w:val="none"/>
        </w:rPr>
      </w:pPr>
      <w:bookmarkStart w:id="3" w:name="_Toc29615"/>
      <w:r>
        <w:rPr>
          <w:rFonts w:hint="eastAsia"/>
          <w:color w:val="auto"/>
          <w:highlight w:val="none"/>
        </w:rPr>
        <w:br w:type="page"/>
      </w:r>
      <w:r>
        <w:rPr>
          <w:rFonts w:hint="eastAsia"/>
          <w:color w:val="auto"/>
          <w:highlight w:val="none"/>
        </w:rPr>
        <w:t>第二章</w:t>
      </w:r>
      <w:r>
        <w:rPr>
          <w:color w:val="auto"/>
          <w:highlight w:val="none"/>
        </w:rPr>
        <w:t xml:space="preserve"> </w:t>
      </w:r>
      <w:r>
        <w:rPr>
          <w:rFonts w:hint="eastAsia"/>
          <w:color w:val="auto"/>
          <w:highlight w:val="none"/>
        </w:rPr>
        <w:t>投标人须知</w:t>
      </w:r>
      <w:bookmarkEnd w:id="3"/>
    </w:p>
    <w:p>
      <w:pPr>
        <w:pStyle w:val="45"/>
        <w:spacing w:line="440" w:lineRule="exact"/>
        <w:rPr>
          <w:rFonts w:asciiTheme="minorEastAsia" w:hAnsiTheme="minorEastAsia" w:eastAsiaTheme="minorEastAsia" w:cstheme="minorEastAsia"/>
          <w:color w:val="auto"/>
          <w:sz w:val="24"/>
          <w:szCs w:val="24"/>
          <w:highlight w:val="none"/>
        </w:rPr>
      </w:pPr>
      <w:bookmarkStart w:id="4" w:name="_Toc392345909"/>
      <w:bookmarkStart w:id="5" w:name="_Toc11269"/>
      <w:r>
        <w:rPr>
          <w:rFonts w:hint="eastAsia" w:asciiTheme="minorEastAsia" w:hAnsiTheme="minorEastAsia" w:eastAsiaTheme="minorEastAsia" w:cstheme="minorEastAsia"/>
          <w:color w:val="auto"/>
          <w:sz w:val="24"/>
          <w:szCs w:val="24"/>
          <w:highlight w:val="none"/>
        </w:rPr>
        <w:t>1. 总则</w:t>
      </w:r>
      <w:bookmarkEnd w:id="4"/>
      <w:bookmarkEnd w:id="5"/>
    </w:p>
    <w:p>
      <w:pPr>
        <w:pStyle w:val="46"/>
        <w:spacing w:line="440" w:lineRule="exact"/>
        <w:rPr>
          <w:rFonts w:asciiTheme="minorEastAsia" w:hAnsiTheme="minorEastAsia" w:eastAsiaTheme="minorEastAsia" w:cstheme="minorEastAsia"/>
          <w:b/>
          <w:color w:val="auto"/>
          <w:szCs w:val="24"/>
          <w:highlight w:val="none"/>
        </w:rPr>
      </w:pPr>
      <w:bookmarkStart w:id="6" w:name="_Toc152042306"/>
      <w:bookmarkStart w:id="7" w:name="_Toc392345910"/>
      <w:bookmarkStart w:id="8" w:name="_Toc9106"/>
      <w:bookmarkStart w:id="9" w:name="_Toc152045530"/>
      <w:bookmarkStart w:id="10" w:name="_Toc144974498"/>
      <w:bookmarkStart w:id="11" w:name="_Toc229646712"/>
      <w:r>
        <w:rPr>
          <w:rFonts w:hint="eastAsia" w:asciiTheme="minorEastAsia" w:hAnsiTheme="minorEastAsia" w:eastAsiaTheme="minorEastAsia" w:cstheme="minorEastAsia"/>
          <w:b/>
          <w:color w:val="auto"/>
          <w:szCs w:val="24"/>
          <w:highlight w:val="none"/>
        </w:rPr>
        <w:t>1.1 项目概况</w:t>
      </w:r>
      <w:bookmarkEnd w:id="6"/>
      <w:bookmarkEnd w:id="7"/>
      <w:bookmarkEnd w:id="8"/>
      <w:bookmarkEnd w:id="9"/>
      <w:bookmarkEnd w:id="10"/>
      <w:bookmarkEnd w:id="1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 本招标项目招标人：见投标人须知前附表。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 本招标项目招标代理机构：见投标人须知前附表。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 本招标项目名称：见投标人须知前附表。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1.1.5 本招标项目建设地点：见投标人须知前附表。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12" w:name="_Toc152045531"/>
      <w:bookmarkStart w:id="13" w:name="_Toc3629"/>
      <w:bookmarkStart w:id="14" w:name="_Toc229646713"/>
      <w:bookmarkStart w:id="15" w:name="_Toc152042307"/>
      <w:bookmarkStart w:id="16" w:name="_Toc392345911"/>
      <w:bookmarkStart w:id="17" w:name="_Toc144974499"/>
      <w:r>
        <w:rPr>
          <w:rFonts w:hint="eastAsia" w:asciiTheme="minorEastAsia" w:hAnsiTheme="minorEastAsia" w:eastAsiaTheme="minorEastAsia" w:cstheme="minorEastAsia"/>
          <w:b/>
          <w:color w:val="auto"/>
          <w:szCs w:val="24"/>
          <w:highlight w:val="none"/>
        </w:rPr>
        <w:t>1.2 资金来源和落实情况</w:t>
      </w:r>
      <w:bookmarkEnd w:id="12"/>
      <w:bookmarkEnd w:id="13"/>
      <w:bookmarkEnd w:id="14"/>
      <w:bookmarkEnd w:id="15"/>
      <w:bookmarkEnd w:id="16"/>
      <w:bookmarkEnd w:id="1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本招标项目的资金来源及出资比例：见投标人须知前附表。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1.2.2本招标项目的资金落实情况：见投标人须知前附表。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18" w:name="_Toc392345912"/>
      <w:bookmarkStart w:id="19" w:name="_Toc152042308"/>
      <w:bookmarkStart w:id="20" w:name="_Toc152045532"/>
      <w:bookmarkStart w:id="21" w:name="_Toc229646714"/>
      <w:bookmarkStart w:id="22" w:name="_Toc460"/>
      <w:bookmarkStart w:id="23" w:name="_Toc144974500"/>
      <w:r>
        <w:rPr>
          <w:rFonts w:hint="eastAsia" w:asciiTheme="minorEastAsia" w:hAnsiTheme="minorEastAsia" w:eastAsiaTheme="minorEastAsia" w:cstheme="minorEastAsia"/>
          <w:b/>
          <w:color w:val="auto"/>
          <w:szCs w:val="24"/>
          <w:highlight w:val="none"/>
        </w:rPr>
        <w:t>1.3 招标范围及计划服务期</w:t>
      </w:r>
      <w:bookmarkEnd w:id="18"/>
      <w:bookmarkEnd w:id="19"/>
      <w:bookmarkEnd w:id="20"/>
      <w:bookmarkEnd w:id="21"/>
      <w:bookmarkEnd w:id="22"/>
      <w:bookmarkEnd w:id="2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本次招标范围：见投标人须知前附表。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本招标项目的计划服务期：见投标人须知前附表。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24" w:name="_Toc152042310"/>
      <w:bookmarkStart w:id="25" w:name="_Toc392345913"/>
      <w:bookmarkStart w:id="26" w:name="_Toc144974502"/>
      <w:bookmarkStart w:id="27" w:name="_Toc229646715"/>
      <w:bookmarkStart w:id="28" w:name="_Toc152045534"/>
      <w:bookmarkStart w:id="29" w:name="_Toc22287"/>
      <w:r>
        <w:rPr>
          <w:rFonts w:hint="eastAsia" w:asciiTheme="minorEastAsia" w:hAnsiTheme="minorEastAsia" w:eastAsiaTheme="minorEastAsia" w:cstheme="minorEastAsia"/>
          <w:b/>
          <w:color w:val="auto"/>
          <w:szCs w:val="24"/>
          <w:highlight w:val="none"/>
        </w:rPr>
        <w:t>1.4 投标人资格要求</w:t>
      </w:r>
      <w:bookmarkEnd w:id="24"/>
      <w:bookmarkEnd w:id="25"/>
      <w:bookmarkEnd w:id="26"/>
      <w:bookmarkEnd w:id="27"/>
      <w:bookmarkEnd w:id="28"/>
      <w:bookmarkEnd w:id="2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1.4.1投标人应具备承担本标段服务的资格条件、要求。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（1）资质条件：见投标人须知前附表；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（2）业绩要求：见投标人须知前附表；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（3）信誉要求：见投标人须知前附表；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（4）其他要求：见投标人须知前附表。</w:t>
      </w:r>
    </w:p>
    <w:p>
      <w:pPr>
        <w:ind w:firstLine="480" w:firstLineChars="200"/>
        <w:rPr>
          <w:rFonts w:asciiTheme="minorEastAsia" w:hAnsiTheme="minorEastAsia" w:eastAsiaTheme="minorEastAsia" w:cstheme="minorEastAsia"/>
          <w:strike/>
          <w:color w:val="auto"/>
          <w:sz w:val="24"/>
          <w:szCs w:val="24"/>
          <w:highlight w:val="none"/>
        </w:rPr>
      </w:pPr>
      <w:bookmarkStart w:id="30" w:name="_Toc152045535"/>
      <w:bookmarkStart w:id="31" w:name="_Toc144974503"/>
      <w:bookmarkStart w:id="32" w:name="_Toc229646716"/>
      <w:bookmarkStart w:id="33" w:name="_Toc152042311"/>
      <w:r>
        <w:rPr>
          <w:rFonts w:hint="eastAsia" w:asciiTheme="minorEastAsia" w:hAnsiTheme="minorEastAsia" w:eastAsiaTheme="minorEastAsia" w:cstheme="minorEastAsia"/>
          <w:strike/>
          <w:color w:val="auto"/>
          <w:sz w:val="24"/>
          <w:szCs w:val="24"/>
          <w:highlight w:val="none"/>
        </w:rPr>
        <w:t>1.4.2投标人须知前附表规定接受联合体投标的，除应符合本章第1.4.1项和投标人须知前附表的要求外，还应遵守以下规定：</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（1）联合体各方应按招标文件提供的格式签订联合体协议书，明确联合体牵头人和各方权利义务；</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（2）由同一专业的单位组成的联合体，按照资质等级较低的单位确定资质等级；</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（3）联合体各方不得再以自己名次单独或参加其他联合体在同一标段中投标。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1.4.3投标人不得存在下列情形之一：</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（1）为招标人不具有独立法人资格的附属机构（单位）；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（2）为本标段的代建人；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（3）为本标段提供招标代理服务的；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（4）单位负责人为同一人或者存在控股、管理关系的不同单位，同时参加本标段投标的；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（5）投标人及其法定代表人控股的其他公司，同时参加本标段投标的；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（6）与招标人存在利害关系可能影响招标公正性的法人、其他组织或者个人参加投标的；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（7）被责令停业的；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（8）被暂停或取消投标资格的；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（9）财产被接管或冻结的。</w:t>
      </w:r>
    </w:p>
    <w:p>
      <w:pPr>
        <w:pStyle w:val="46"/>
        <w:spacing w:line="440" w:lineRule="exact"/>
        <w:rPr>
          <w:rFonts w:asciiTheme="minorEastAsia" w:hAnsiTheme="minorEastAsia" w:eastAsiaTheme="minorEastAsia" w:cstheme="minorEastAsia"/>
          <w:b/>
          <w:color w:val="auto"/>
          <w:szCs w:val="24"/>
          <w:highlight w:val="none"/>
        </w:rPr>
      </w:pPr>
      <w:bookmarkStart w:id="34" w:name="_Toc10130"/>
      <w:bookmarkStart w:id="35" w:name="_Toc392345914"/>
      <w:r>
        <w:rPr>
          <w:rFonts w:hint="eastAsia" w:asciiTheme="minorEastAsia" w:hAnsiTheme="minorEastAsia" w:eastAsiaTheme="minorEastAsia" w:cstheme="minorEastAsia"/>
          <w:b/>
          <w:color w:val="auto"/>
          <w:szCs w:val="24"/>
          <w:highlight w:val="none"/>
        </w:rPr>
        <w:t>1.5 费用承担</w:t>
      </w:r>
      <w:bookmarkEnd w:id="30"/>
      <w:bookmarkEnd w:id="31"/>
      <w:bookmarkEnd w:id="32"/>
      <w:bookmarkEnd w:id="33"/>
      <w:bookmarkEnd w:id="34"/>
      <w:bookmarkEnd w:id="3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投标人准备和参加投标活动发生的费用自理。</w:t>
      </w:r>
    </w:p>
    <w:p>
      <w:pPr>
        <w:pStyle w:val="46"/>
        <w:spacing w:line="440" w:lineRule="exact"/>
        <w:rPr>
          <w:rFonts w:asciiTheme="minorEastAsia" w:hAnsiTheme="minorEastAsia" w:eastAsiaTheme="minorEastAsia" w:cstheme="minorEastAsia"/>
          <w:b/>
          <w:color w:val="auto"/>
          <w:szCs w:val="24"/>
          <w:highlight w:val="none"/>
        </w:rPr>
      </w:pPr>
      <w:bookmarkStart w:id="36" w:name="_Toc319408072"/>
      <w:bookmarkStart w:id="37" w:name="_Toc152045536"/>
      <w:bookmarkStart w:id="38" w:name="_Toc152042312"/>
      <w:bookmarkStart w:id="39" w:name="_Toc319407837"/>
      <w:bookmarkStart w:id="40" w:name="_Toc322615398"/>
      <w:bookmarkStart w:id="41" w:name="_Toc25357"/>
      <w:bookmarkStart w:id="42" w:name="_Toc245036603"/>
      <w:bookmarkStart w:id="43" w:name="_Toc323711750"/>
      <w:bookmarkStart w:id="44" w:name="_Toc144974504"/>
      <w:bookmarkStart w:id="45" w:name="_Toc392345915"/>
      <w:bookmarkStart w:id="46" w:name="_Toc152042318"/>
      <w:bookmarkStart w:id="47" w:name="_Toc152045542"/>
      <w:bookmarkStart w:id="48" w:name="_Toc144974510"/>
      <w:bookmarkStart w:id="49" w:name="_Toc229646724"/>
      <w:r>
        <w:rPr>
          <w:rFonts w:hint="eastAsia" w:asciiTheme="minorEastAsia" w:hAnsiTheme="minorEastAsia" w:eastAsiaTheme="minorEastAsia" w:cstheme="minorEastAsia"/>
          <w:b/>
          <w:color w:val="auto"/>
          <w:szCs w:val="24"/>
          <w:highlight w:val="none"/>
        </w:rPr>
        <w:t>1.6 保密</w:t>
      </w:r>
      <w:bookmarkEnd w:id="36"/>
      <w:bookmarkEnd w:id="37"/>
      <w:bookmarkEnd w:id="38"/>
      <w:bookmarkEnd w:id="39"/>
      <w:bookmarkEnd w:id="40"/>
      <w:bookmarkEnd w:id="41"/>
      <w:bookmarkEnd w:id="42"/>
      <w:bookmarkEnd w:id="43"/>
      <w:bookmarkEnd w:id="44"/>
      <w:bookmarkEnd w:id="4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参与招标投标活动的各方应对招标文件和投标文件中的商业和技术等秘密保密，违者应对由此造成的后果承担法律责任。 </w:t>
      </w:r>
    </w:p>
    <w:p>
      <w:pPr>
        <w:pStyle w:val="46"/>
        <w:spacing w:line="440" w:lineRule="exact"/>
        <w:rPr>
          <w:rFonts w:asciiTheme="minorEastAsia" w:hAnsiTheme="minorEastAsia" w:eastAsiaTheme="minorEastAsia" w:cstheme="minorEastAsia"/>
          <w:b/>
          <w:color w:val="auto"/>
          <w:szCs w:val="24"/>
          <w:highlight w:val="none"/>
        </w:rPr>
      </w:pPr>
      <w:bookmarkStart w:id="50" w:name="_Toc144974505"/>
      <w:bookmarkStart w:id="51" w:name="_Toc152045537"/>
      <w:bookmarkStart w:id="52" w:name="_Toc392345916"/>
      <w:bookmarkStart w:id="53" w:name="_Toc322615399"/>
      <w:bookmarkStart w:id="54" w:name="_Toc319407838"/>
      <w:bookmarkStart w:id="55" w:name="_Toc4033"/>
      <w:bookmarkStart w:id="56" w:name="_Toc319408073"/>
      <w:bookmarkStart w:id="57" w:name="_Toc152042313"/>
      <w:bookmarkStart w:id="58" w:name="_Toc323711751"/>
      <w:bookmarkStart w:id="59" w:name="_Toc245036604"/>
      <w:r>
        <w:rPr>
          <w:rFonts w:hint="eastAsia" w:asciiTheme="minorEastAsia" w:hAnsiTheme="minorEastAsia" w:eastAsiaTheme="minorEastAsia" w:cstheme="minorEastAsia"/>
          <w:b/>
          <w:color w:val="auto"/>
          <w:szCs w:val="24"/>
          <w:highlight w:val="none"/>
        </w:rPr>
        <w:t>1.7 语言</w:t>
      </w:r>
      <w:bookmarkEnd w:id="50"/>
      <w:r>
        <w:rPr>
          <w:rFonts w:hint="eastAsia" w:asciiTheme="minorEastAsia" w:hAnsiTheme="minorEastAsia" w:eastAsiaTheme="minorEastAsia" w:cstheme="minorEastAsia"/>
          <w:b/>
          <w:color w:val="auto"/>
          <w:szCs w:val="24"/>
          <w:highlight w:val="none"/>
        </w:rPr>
        <w:t>文字</w:t>
      </w:r>
      <w:bookmarkEnd w:id="51"/>
      <w:bookmarkEnd w:id="52"/>
      <w:bookmarkEnd w:id="53"/>
      <w:bookmarkEnd w:id="54"/>
      <w:bookmarkEnd w:id="55"/>
      <w:bookmarkEnd w:id="56"/>
      <w:bookmarkEnd w:id="57"/>
      <w:bookmarkEnd w:id="58"/>
      <w:bookmarkEnd w:id="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除专用术语外，与招标投标有关的语言均使用中文。必要时专用术语应附有中文注释。</w:t>
      </w:r>
    </w:p>
    <w:p>
      <w:pPr>
        <w:pStyle w:val="46"/>
        <w:spacing w:line="440" w:lineRule="exact"/>
        <w:rPr>
          <w:rFonts w:asciiTheme="minorEastAsia" w:hAnsiTheme="minorEastAsia" w:eastAsiaTheme="minorEastAsia" w:cstheme="minorEastAsia"/>
          <w:b/>
          <w:color w:val="auto"/>
          <w:szCs w:val="24"/>
          <w:highlight w:val="none"/>
        </w:rPr>
      </w:pPr>
      <w:bookmarkStart w:id="60" w:name="_Toc323711752"/>
      <w:bookmarkStart w:id="61" w:name="_Toc31144"/>
      <w:bookmarkStart w:id="62" w:name="_Toc392345917"/>
      <w:bookmarkStart w:id="63" w:name="_Toc319407839"/>
      <w:bookmarkStart w:id="64" w:name="_Toc322615400"/>
      <w:bookmarkStart w:id="65" w:name="_Toc144974506"/>
      <w:bookmarkStart w:id="66" w:name="_Toc152042314"/>
      <w:bookmarkStart w:id="67" w:name="_Toc319408074"/>
      <w:bookmarkStart w:id="68" w:name="_Toc245036605"/>
      <w:bookmarkStart w:id="69" w:name="_Toc152045538"/>
      <w:r>
        <w:rPr>
          <w:rFonts w:hint="eastAsia" w:asciiTheme="minorEastAsia" w:hAnsiTheme="minorEastAsia" w:eastAsiaTheme="minorEastAsia" w:cstheme="minorEastAsia"/>
          <w:b/>
          <w:color w:val="auto"/>
          <w:szCs w:val="24"/>
          <w:highlight w:val="none"/>
        </w:rPr>
        <w:t>1.8 计量单位</w:t>
      </w:r>
      <w:bookmarkEnd w:id="60"/>
      <w:bookmarkEnd w:id="61"/>
      <w:bookmarkEnd w:id="62"/>
      <w:bookmarkEnd w:id="63"/>
      <w:bookmarkEnd w:id="64"/>
      <w:bookmarkEnd w:id="65"/>
      <w:bookmarkEnd w:id="66"/>
      <w:bookmarkEnd w:id="67"/>
      <w:bookmarkEnd w:id="68"/>
      <w:bookmarkEnd w:id="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所有计量均采用中华人民共和国法定计量单位。</w:t>
      </w:r>
    </w:p>
    <w:p>
      <w:pPr>
        <w:pStyle w:val="46"/>
        <w:spacing w:line="440" w:lineRule="exact"/>
        <w:rPr>
          <w:rFonts w:asciiTheme="minorEastAsia" w:hAnsiTheme="minorEastAsia" w:eastAsiaTheme="minorEastAsia" w:cstheme="minorEastAsia"/>
          <w:b/>
          <w:color w:val="auto"/>
          <w:szCs w:val="24"/>
          <w:highlight w:val="none"/>
        </w:rPr>
      </w:pPr>
      <w:bookmarkStart w:id="70" w:name="_Toc319408075"/>
      <w:bookmarkStart w:id="71" w:name="_Toc152045539"/>
      <w:bookmarkStart w:id="72" w:name="_Toc245036606"/>
      <w:bookmarkStart w:id="73" w:name="_Toc322615401"/>
      <w:bookmarkStart w:id="74" w:name="_Toc152042315"/>
      <w:bookmarkStart w:id="75" w:name="_Toc323711753"/>
      <w:bookmarkStart w:id="76" w:name="_Toc926"/>
      <w:bookmarkStart w:id="77" w:name="_Toc392345918"/>
      <w:bookmarkStart w:id="78" w:name="_Toc319407840"/>
      <w:bookmarkStart w:id="79" w:name="_Toc144974507"/>
      <w:r>
        <w:rPr>
          <w:rFonts w:hint="eastAsia" w:asciiTheme="minorEastAsia" w:hAnsiTheme="minorEastAsia" w:eastAsiaTheme="minorEastAsia" w:cstheme="minorEastAsia"/>
          <w:b/>
          <w:color w:val="auto"/>
          <w:szCs w:val="24"/>
          <w:highlight w:val="none"/>
        </w:rPr>
        <w:t>1.9 踏勘现场</w:t>
      </w:r>
      <w:bookmarkEnd w:id="70"/>
      <w:bookmarkEnd w:id="71"/>
      <w:bookmarkEnd w:id="72"/>
      <w:bookmarkEnd w:id="73"/>
      <w:bookmarkEnd w:id="74"/>
      <w:bookmarkEnd w:id="75"/>
      <w:bookmarkEnd w:id="76"/>
      <w:bookmarkEnd w:id="77"/>
      <w:bookmarkEnd w:id="78"/>
      <w:bookmarkEnd w:id="7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 投标人须知前附表规定组织踏勘现场的，招标人按投标人须知前附表规定的时间、地点组织投标人踏勘项目现场。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 投标人踏勘现场发生的费用自理。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 除招标人的原因外，投标人自行负责在踏勘现场中所发生的人员伤亡和财产损失。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1.9.4 招标人在踏勘现场中介绍的工程场地和相关的周边环境情况，供投标人在编制投标文件时参考，招标人不对投标人据此作出的判断和决策负责。</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1.9.5 招标人提供的本工程的相关参考资料，并不构成合同文件的组成部分，投标人应对上述资料的解释、推论和应用负责，招标人不对投标人据此作出的判断和决策承担任何责任。</w:t>
      </w:r>
    </w:p>
    <w:p>
      <w:pPr>
        <w:pStyle w:val="46"/>
        <w:spacing w:line="440" w:lineRule="exact"/>
        <w:rPr>
          <w:rFonts w:asciiTheme="minorEastAsia" w:hAnsiTheme="minorEastAsia" w:eastAsiaTheme="minorEastAsia" w:cstheme="minorEastAsia"/>
          <w:b/>
          <w:color w:val="auto"/>
          <w:szCs w:val="24"/>
          <w:highlight w:val="none"/>
        </w:rPr>
      </w:pPr>
      <w:bookmarkStart w:id="80" w:name="_Toc152045540"/>
      <w:bookmarkStart w:id="81" w:name="_Toc319407841"/>
      <w:bookmarkStart w:id="82" w:name="_Toc152042316"/>
      <w:bookmarkStart w:id="83" w:name="_Toc392345919"/>
      <w:bookmarkStart w:id="84" w:name="_Toc323711754"/>
      <w:bookmarkStart w:id="85" w:name="_Toc319408076"/>
      <w:bookmarkStart w:id="86" w:name="_Toc245036607"/>
      <w:bookmarkStart w:id="87" w:name="_Toc144974508"/>
      <w:bookmarkStart w:id="88" w:name="_Toc322615402"/>
      <w:bookmarkStart w:id="89" w:name="_Toc1967"/>
      <w:r>
        <w:rPr>
          <w:rFonts w:hint="eastAsia" w:asciiTheme="minorEastAsia" w:hAnsiTheme="minorEastAsia" w:eastAsiaTheme="minorEastAsia" w:cstheme="minorEastAsia"/>
          <w:b/>
          <w:color w:val="auto"/>
          <w:szCs w:val="24"/>
          <w:highlight w:val="none"/>
        </w:rPr>
        <w:t xml:space="preserve">1.10 </w:t>
      </w:r>
      <w:bookmarkEnd w:id="80"/>
      <w:bookmarkEnd w:id="81"/>
      <w:bookmarkEnd w:id="82"/>
      <w:bookmarkEnd w:id="83"/>
      <w:bookmarkEnd w:id="84"/>
      <w:bookmarkEnd w:id="85"/>
      <w:bookmarkEnd w:id="86"/>
      <w:bookmarkEnd w:id="87"/>
      <w:bookmarkEnd w:id="88"/>
      <w:r>
        <w:rPr>
          <w:rFonts w:hint="eastAsia" w:asciiTheme="minorEastAsia" w:hAnsiTheme="minorEastAsia" w:eastAsiaTheme="minorEastAsia" w:cstheme="minorEastAsia"/>
          <w:b/>
          <w:color w:val="auto"/>
          <w:szCs w:val="24"/>
          <w:highlight w:val="none"/>
        </w:rPr>
        <w:t>投标预备会</w:t>
      </w:r>
      <w:bookmarkEnd w:id="8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1.10.1投标人须知前附表规定召开投标预备会的，招标人按投标人须知前附表规定的时间和地点召开投标预备会，澄清投标人提出的问题。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1.10.2投标人应在投标人须知前附表规定的时间前，以电子邮件的形式（可匿名）将提出的问题发至招标人的电子邮箱。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1.10.4上传疑问邮箱，下载澄清、修改、补充文件网址见投标人须知前附表。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90" w:name="_Toc27344"/>
      <w:r>
        <w:rPr>
          <w:rFonts w:hint="eastAsia" w:asciiTheme="minorEastAsia" w:hAnsiTheme="minorEastAsia" w:eastAsiaTheme="minorEastAsia" w:cstheme="minorEastAsia"/>
          <w:b/>
          <w:color w:val="auto"/>
          <w:szCs w:val="24"/>
          <w:highlight w:val="none"/>
        </w:rPr>
        <w:t>1.11分包</w:t>
      </w:r>
      <w:bookmarkEnd w:id="9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投标人拟在中标后将中标项目的部分非主体、非关键性工作进行分包的，应符合投标人须知前附表规定的分包内容、分包金额和资质要求等限制性条件。</w:t>
      </w:r>
    </w:p>
    <w:p>
      <w:pPr>
        <w:pStyle w:val="46"/>
        <w:spacing w:line="440" w:lineRule="exact"/>
        <w:rPr>
          <w:rFonts w:asciiTheme="minorEastAsia" w:hAnsiTheme="minorEastAsia" w:eastAsiaTheme="minorEastAsia" w:cstheme="minorEastAsia"/>
          <w:b/>
          <w:color w:val="auto"/>
          <w:szCs w:val="24"/>
          <w:highlight w:val="none"/>
        </w:rPr>
      </w:pPr>
      <w:bookmarkStart w:id="91" w:name="_Toc13279"/>
      <w:r>
        <w:rPr>
          <w:rFonts w:hint="eastAsia" w:asciiTheme="minorEastAsia" w:hAnsiTheme="minorEastAsia" w:eastAsiaTheme="minorEastAsia" w:cstheme="minorEastAsia"/>
          <w:b/>
          <w:color w:val="auto"/>
          <w:szCs w:val="24"/>
          <w:highlight w:val="none"/>
        </w:rPr>
        <w:t>1.12偏离</w:t>
      </w:r>
      <w:bookmarkEnd w:id="9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投标人须知前附表允许投标文件偏离招标文件某些要求的，偏离应当符合招标文件规定的偏离范围和幅度。</w:t>
      </w:r>
    </w:p>
    <w:bookmarkEnd w:id="46"/>
    <w:bookmarkEnd w:id="47"/>
    <w:bookmarkEnd w:id="48"/>
    <w:bookmarkEnd w:id="49"/>
    <w:p>
      <w:pPr>
        <w:pStyle w:val="45"/>
        <w:spacing w:line="440" w:lineRule="exact"/>
        <w:rPr>
          <w:rFonts w:asciiTheme="minorEastAsia" w:hAnsiTheme="minorEastAsia" w:eastAsiaTheme="minorEastAsia" w:cstheme="minorEastAsia"/>
          <w:color w:val="auto"/>
          <w:sz w:val="24"/>
          <w:szCs w:val="24"/>
          <w:highlight w:val="none"/>
        </w:rPr>
      </w:pPr>
      <w:bookmarkStart w:id="92" w:name="_Toc323711757"/>
      <w:bookmarkStart w:id="93" w:name="_Toc17"/>
      <w:bookmarkStart w:id="94" w:name="_Toc392345920"/>
      <w:bookmarkStart w:id="95" w:name="_Toc245036610"/>
      <w:bookmarkStart w:id="96" w:name="_Toc152042322"/>
      <w:bookmarkStart w:id="97" w:name="_Toc152045546"/>
      <w:bookmarkStart w:id="98" w:name="_Toc144974514"/>
      <w:bookmarkStart w:id="99" w:name="_Toc229646728"/>
      <w:bookmarkStart w:id="100" w:name="_Toc144974516"/>
      <w:bookmarkStart w:id="101" w:name="_Toc229646730"/>
      <w:bookmarkStart w:id="102" w:name="_Toc152045548"/>
      <w:bookmarkStart w:id="103" w:name="_Toc152042324"/>
      <w:r>
        <w:rPr>
          <w:rFonts w:hint="eastAsia" w:asciiTheme="minorEastAsia" w:hAnsiTheme="minorEastAsia" w:eastAsiaTheme="minorEastAsia" w:cstheme="minorEastAsia"/>
          <w:color w:val="auto"/>
          <w:sz w:val="24"/>
          <w:szCs w:val="24"/>
          <w:highlight w:val="none"/>
        </w:rPr>
        <w:t>2. 招标文件</w:t>
      </w:r>
      <w:bookmarkEnd w:id="92"/>
      <w:bookmarkEnd w:id="93"/>
      <w:bookmarkEnd w:id="94"/>
      <w:bookmarkEnd w:id="95"/>
    </w:p>
    <w:p>
      <w:pPr>
        <w:pStyle w:val="46"/>
        <w:spacing w:line="440" w:lineRule="exact"/>
        <w:rPr>
          <w:rFonts w:asciiTheme="minorEastAsia" w:hAnsiTheme="minorEastAsia" w:eastAsiaTheme="minorEastAsia" w:cstheme="minorEastAsia"/>
          <w:b/>
          <w:color w:val="auto"/>
          <w:szCs w:val="24"/>
          <w:highlight w:val="none"/>
        </w:rPr>
      </w:pPr>
      <w:bookmarkStart w:id="104" w:name="_Toc144974511"/>
      <w:bookmarkStart w:id="105" w:name="_Toc152045543"/>
      <w:bookmarkStart w:id="106" w:name="_Toc152042319"/>
      <w:bookmarkStart w:id="107" w:name="_Toc323711758"/>
      <w:bookmarkStart w:id="108" w:name="_Toc245036611"/>
      <w:bookmarkStart w:id="109" w:name="_Toc319408080"/>
      <w:bookmarkStart w:id="110" w:name="_Toc392345921"/>
      <w:bookmarkStart w:id="111" w:name="_Toc322615406"/>
      <w:bookmarkStart w:id="112" w:name="_Toc26955"/>
      <w:bookmarkStart w:id="113" w:name="_Toc319407845"/>
      <w:r>
        <w:rPr>
          <w:rFonts w:hint="eastAsia" w:asciiTheme="minorEastAsia" w:hAnsiTheme="minorEastAsia" w:eastAsiaTheme="minorEastAsia" w:cstheme="minorEastAsia"/>
          <w:b/>
          <w:color w:val="auto"/>
          <w:szCs w:val="24"/>
          <w:highlight w:val="none"/>
        </w:rPr>
        <w:t>2.1 招标文件的组成</w:t>
      </w:r>
      <w:bookmarkEnd w:id="104"/>
      <w:bookmarkEnd w:id="105"/>
      <w:bookmarkEnd w:id="106"/>
      <w:bookmarkEnd w:id="107"/>
      <w:bookmarkEnd w:id="108"/>
      <w:bookmarkEnd w:id="109"/>
      <w:bookmarkEnd w:id="110"/>
      <w:bookmarkEnd w:id="111"/>
      <w:bookmarkEnd w:id="112"/>
      <w:bookmarkEnd w:id="11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本招标文件包括：</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（1）招标公告；</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（2）投标人须知；</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（3）评标办法；</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（4）合同条款及格式；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（5）招标内容和技术要求； </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（6）投标文件格式；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（7）投标人须知前附表规定的其他材料。</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根据本章第1.10款、第2.2款对招标文件所作的澄清、修改，构成招标文件的组成部分。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招标文件、招标文件的澄清或修改等在同一内容的表述上不一致时，以最后发出的书面文件为准。</w:t>
      </w:r>
    </w:p>
    <w:p>
      <w:pPr>
        <w:pStyle w:val="46"/>
        <w:spacing w:line="440" w:lineRule="exact"/>
        <w:rPr>
          <w:rFonts w:asciiTheme="minorEastAsia" w:hAnsiTheme="minorEastAsia" w:eastAsiaTheme="minorEastAsia" w:cstheme="minorEastAsia"/>
          <w:b/>
          <w:color w:val="auto"/>
          <w:szCs w:val="24"/>
          <w:highlight w:val="none"/>
        </w:rPr>
      </w:pPr>
      <w:bookmarkStart w:id="114" w:name="_Toc319407846"/>
      <w:bookmarkStart w:id="115" w:name="_Toc152045544"/>
      <w:bookmarkStart w:id="116" w:name="_Toc392345922"/>
      <w:bookmarkStart w:id="117" w:name="_Toc323711759"/>
      <w:bookmarkStart w:id="118" w:name="_Toc322615407"/>
      <w:bookmarkStart w:id="119" w:name="_Toc152042320"/>
      <w:bookmarkStart w:id="120" w:name="_Toc245036612"/>
      <w:bookmarkStart w:id="121" w:name="_Toc14430"/>
      <w:bookmarkStart w:id="122" w:name="_Toc144974512"/>
      <w:bookmarkStart w:id="123" w:name="_Toc319408081"/>
      <w:r>
        <w:rPr>
          <w:rFonts w:hint="eastAsia" w:asciiTheme="minorEastAsia" w:hAnsiTheme="minorEastAsia" w:eastAsiaTheme="minorEastAsia" w:cstheme="minorEastAsia"/>
          <w:b/>
          <w:color w:val="auto"/>
          <w:szCs w:val="24"/>
          <w:highlight w:val="none"/>
        </w:rPr>
        <w:t>2.2 招标文件的澄清</w:t>
      </w:r>
      <w:bookmarkEnd w:id="114"/>
      <w:bookmarkEnd w:id="115"/>
      <w:bookmarkEnd w:id="116"/>
      <w:bookmarkEnd w:id="117"/>
      <w:bookmarkEnd w:id="118"/>
      <w:bookmarkEnd w:id="119"/>
      <w:bookmarkEnd w:id="120"/>
      <w:bookmarkEnd w:id="121"/>
      <w:bookmarkEnd w:id="122"/>
      <w:bookmarkEnd w:id="123"/>
      <w:r>
        <w:rPr>
          <w:rFonts w:hint="eastAsia" w:asciiTheme="minorEastAsia" w:hAnsiTheme="minorEastAsia" w:eastAsiaTheme="minorEastAsia" w:cstheme="minorEastAsia"/>
          <w:b/>
          <w:color w:val="auto"/>
          <w:sz w:val="24"/>
          <w:szCs w:val="24"/>
          <w:highlight w:val="none"/>
        </w:rPr>
        <w:t>和修改</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2.2.1 投标人应仔细阅读和检查招标文件的全部内容。如发现缺页或附件不全，应及时向招标人提出，以便补齐。如有疑问，应在投标人须知前附表规定的时间</w:t>
      </w:r>
      <w:r>
        <w:rPr>
          <w:rFonts w:hint="eastAsia" w:ascii="宋体" w:hAnsi="宋体" w:cs="Times New Roman"/>
          <w:color w:val="auto"/>
          <w:sz w:val="24"/>
          <w:szCs w:val="24"/>
          <w:highlight w:val="none"/>
        </w:rPr>
        <w:t>、形式提交</w:t>
      </w:r>
      <w:r>
        <w:rPr>
          <w:rFonts w:hint="eastAsia" w:ascii="宋体" w:hAnsi="宋体"/>
          <w:color w:val="auto"/>
          <w:sz w:val="24"/>
          <w:szCs w:val="24"/>
          <w:highlight w:val="none"/>
        </w:rPr>
        <w:t>，要求招标人对招标文件予以澄清。</w:t>
      </w:r>
    </w:p>
    <w:p>
      <w:pPr>
        <w:spacing w:line="360" w:lineRule="exact"/>
        <w:ind w:firstLine="480" w:firstLineChars="200"/>
        <w:rPr>
          <w:rFonts w:hint="eastAsia" w:ascii="宋体" w:hAnsi="宋体"/>
          <w:color w:val="auto"/>
          <w:sz w:val="24"/>
          <w:szCs w:val="24"/>
          <w:highlight w:val="none"/>
        </w:rPr>
      </w:pPr>
      <w:r>
        <w:rPr>
          <w:rFonts w:hint="eastAsia" w:ascii="宋体" w:hAnsi="宋体"/>
          <w:color w:val="auto"/>
          <w:sz w:val="24"/>
          <w:szCs w:val="24"/>
          <w:highlight w:val="none"/>
        </w:rPr>
        <w:t xml:space="preserve">2.2.2 </w:t>
      </w:r>
      <w:r>
        <w:rPr>
          <w:rFonts w:hint="eastAsia" w:ascii="宋体" w:hAnsi="宋体" w:cs="Times New Roman"/>
          <w:color w:val="auto"/>
          <w:sz w:val="24"/>
          <w:szCs w:val="24"/>
          <w:highlight w:val="none"/>
        </w:rPr>
        <w:t>招标人可以对已发出的招标文件进行必要的澄清或修改。澄清或修改的内容可能影响投标文件编制的，招标人应当在投标截止时间至少15日前通过绍兴公共资源交易服务平台进行发布，但不指明澄清问题的来源；不足15日的，招标人应当顺延提交投标文件的截止时间</w:t>
      </w:r>
      <w:r>
        <w:rPr>
          <w:rFonts w:hint="eastAsia" w:ascii="宋体" w:hAnsi="宋体"/>
          <w:color w:val="auto"/>
          <w:sz w:val="24"/>
          <w:szCs w:val="24"/>
          <w:highlight w:val="none"/>
        </w:rPr>
        <w:t>。</w:t>
      </w:r>
    </w:p>
    <w:p>
      <w:pPr>
        <w:spacing w:line="360" w:lineRule="exact"/>
        <w:ind w:firstLine="480" w:firstLineChars="200"/>
        <w:rPr>
          <w:rFonts w:hint="eastAsia" w:ascii="宋体" w:hAnsi="宋体"/>
          <w:color w:val="auto"/>
          <w:sz w:val="24"/>
          <w:szCs w:val="24"/>
          <w:highlight w:val="none"/>
        </w:rPr>
      </w:pPr>
      <w:r>
        <w:rPr>
          <w:rFonts w:hint="eastAsia" w:ascii="宋体" w:hAnsi="宋体" w:eastAsia="宋体" w:cs="Times New Roman"/>
          <w:color w:val="auto"/>
          <w:sz w:val="24"/>
          <w:szCs w:val="24"/>
          <w:highlight w:val="none"/>
        </w:rPr>
        <w:t>2.2.3 投标人确认收到招标文件澄清和修改内容的时间：见投标人须知前附表</w:t>
      </w:r>
      <w:bookmarkStart w:id="124" w:name="_Toc392345924"/>
      <w:bookmarkStart w:id="125" w:name="_Toc3662"/>
      <w:r>
        <w:rPr>
          <w:rFonts w:hint="eastAsia" w:ascii="宋体" w:hAnsi="宋体"/>
          <w:color w:val="auto"/>
          <w:sz w:val="24"/>
          <w:szCs w:val="24"/>
          <w:highlight w:val="none"/>
        </w:rPr>
        <w:t>。</w:t>
      </w:r>
    </w:p>
    <w:p>
      <w:pPr>
        <w:pStyle w:val="45"/>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投标文件</w:t>
      </w:r>
      <w:bookmarkEnd w:id="96"/>
      <w:bookmarkEnd w:id="97"/>
      <w:bookmarkEnd w:id="98"/>
      <w:bookmarkEnd w:id="99"/>
      <w:bookmarkEnd w:id="124"/>
      <w:bookmarkEnd w:id="125"/>
    </w:p>
    <w:p>
      <w:pPr>
        <w:pStyle w:val="46"/>
        <w:spacing w:line="440" w:lineRule="exact"/>
        <w:rPr>
          <w:rFonts w:asciiTheme="minorEastAsia" w:hAnsiTheme="minorEastAsia" w:eastAsiaTheme="minorEastAsia" w:cstheme="minorEastAsia"/>
          <w:b/>
          <w:color w:val="auto"/>
          <w:szCs w:val="24"/>
          <w:highlight w:val="none"/>
        </w:rPr>
      </w:pPr>
      <w:bookmarkStart w:id="126" w:name="_Toc22707"/>
      <w:bookmarkStart w:id="127" w:name="_Toc152045547"/>
      <w:bookmarkStart w:id="128" w:name="_Toc144974515"/>
      <w:bookmarkStart w:id="129" w:name="_Toc392345925"/>
      <w:bookmarkStart w:id="130" w:name="_Toc152042323"/>
      <w:bookmarkStart w:id="131" w:name="_Toc229646729"/>
      <w:r>
        <w:rPr>
          <w:rFonts w:hint="eastAsia" w:asciiTheme="minorEastAsia" w:hAnsiTheme="minorEastAsia" w:eastAsiaTheme="minorEastAsia" w:cstheme="minorEastAsia"/>
          <w:b/>
          <w:color w:val="auto"/>
          <w:szCs w:val="24"/>
          <w:highlight w:val="none"/>
        </w:rPr>
        <w:t>3.1 投标文件的组成</w:t>
      </w:r>
      <w:bookmarkEnd w:id="126"/>
      <w:bookmarkEnd w:id="127"/>
      <w:bookmarkEnd w:id="128"/>
      <w:bookmarkEnd w:id="129"/>
      <w:bookmarkEnd w:id="130"/>
      <w:bookmarkEnd w:id="131"/>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3.1.1商务标部分</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7"/>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4）商务条款偏离表（格式自拟）</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7"/>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u w:val="single"/>
        </w:rPr>
        <w:t>（</w:t>
      </w:r>
      <w:r>
        <w:rPr>
          <w:rFonts w:hint="eastAsia" w:asciiTheme="minorEastAsia" w:hAnsiTheme="minorEastAsia" w:eastAsiaTheme="minorEastAsia" w:cstheme="minorEastAsia"/>
          <w:i/>
          <w:color w:val="auto"/>
          <w:sz w:val="24"/>
          <w:szCs w:val="24"/>
          <w:highlight w:val="none"/>
        </w:rPr>
        <w:t>招标人需要增加的其他商务内容）</w:t>
      </w:r>
      <w:r>
        <w:rPr>
          <w:rFonts w:hint="eastAsia" w:asciiTheme="minorEastAsia" w:hAnsiTheme="minorEastAsia" w:eastAsiaTheme="minorEastAsia" w:cstheme="minorEastAsia"/>
          <w:color w:val="auto"/>
          <w:sz w:val="24"/>
          <w:szCs w:val="24"/>
          <w:highlight w:val="none"/>
        </w:rPr>
        <w:t>。</w:t>
      </w:r>
    </w:p>
    <w:p>
      <w:pPr>
        <w:pStyle w:val="7"/>
        <w:ind w:firstLine="360" w:firstLineChars="1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3.1.2技术标部分</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☑（1）货物说明一览表（格式自拟）</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☑（2）技术响应表（格式自拟）</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☑（3）主要配置说明一览表（格式自拟）</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☑（4）技术规格偏离表（格式自拟）</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☑（5）投标方案图纸、产品详细技术规格书</w:t>
      </w:r>
      <w:r>
        <w:rPr>
          <w:rFonts w:hint="eastAsia" w:asciiTheme="minorEastAsia" w:hAnsiTheme="minorEastAsia" w:eastAsiaTheme="minorEastAsia" w:cstheme="minorEastAsia"/>
          <w:strike/>
          <w:color w:val="auto"/>
          <w:sz w:val="24"/>
          <w:szCs w:val="24"/>
          <w:highlight w:val="none"/>
        </w:rPr>
        <w:t>及所投产品的样本</w:t>
      </w:r>
      <w:r>
        <w:rPr>
          <w:rFonts w:hint="eastAsia" w:asciiTheme="minorEastAsia" w:hAnsiTheme="minorEastAsia" w:eastAsiaTheme="minorEastAsia" w:cstheme="minorEastAsia"/>
          <w:color w:val="auto"/>
          <w:sz w:val="24"/>
          <w:szCs w:val="24"/>
          <w:highlight w:val="none"/>
        </w:rPr>
        <w:t>及本招标文件中规定的其它必须提供的文件及资料。</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☑（6）产品的主要技术、结构、性能、特点和质量水平的详细描述</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☑（7）产品制造、安装、验收标准</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☑（8）主要工艺装备和主要检测设施的拥有情况和现状</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☑（9）质量手册或关于质量管理、质量体系、质量控制、质量保证的详细介绍</w:t>
      </w:r>
    </w:p>
    <w:p>
      <w:pPr>
        <w:pStyle w:val="7"/>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 产品的技术服务和售后服务的内容和措施</w:t>
      </w:r>
    </w:p>
    <w:p>
      <w:pPr>
        <w:pStyle w:val="7"/>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（招标人需要增加的其他技术内容）</w:t>
      </w:r>
      <w:r>
        <w:rPr>
          <w:rFonts w:hint="eastAsia" w:asciiTheme="minorEastAsia" w:hAnsiTheme="minorEastAsia" w:eastAsiaTheme="minorEastAsia" w:cstheme="minorEastAsia"/>
          <w:color w:val="auto"/>
          <w:sz w:val="24"/>
          <w:szCs w:val="24"/>
          <w:highlight w:val="none"/>
        </w:rPr>
        <w:t>。</w:t>
      </w:r>
    </w:p>
    <w:p>
      <w:pPr>
        <w:widowControl/>
        <w:ind w:firstLine="482"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注：未尽事宜请各投标单位按技术部分评分标准制作</w:t>
      </w:r>
      <w:r>
        <w:rPr>
          <w:rFonts w:asciiTheme="minorEastAsia" w:hAnsiTheme="minorEastAsia" w:eastAsiaTheme="minorEastAsia" w:cstheme="minorEastAsia"/>
          <w:b/>
          <w:color w:val="auto"/>
          <w:sz w:val="24"/>
          <w:szCs w:val="24"/>
          <w:highlight w:val="none"/>
        </w:rPr>
        <w:t>(重要)！</w:t>
      </w:r>
    </w:p>
    <w:p>
      <w:pPr>
        <w:pStyle w:val="7"/>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3.1.3资格审查资料</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详见投标人须知前附表第</w:t>
      </w:r>
      <w:r>
        <w:rPr>
          <w:rFonts w:asciiTheme="minorEastAsia" w:hAnsiTheme="minorEastAsia" w:eastAsiaTheme="minorEastAsia" w:cstheme="minorEastAsia"/>
          <w:color w:val="auto"/>
          <w:sz w:val="24"/>
          <w:szCs w:val="24"/>
          <w:highlight w:val="none"/>
          <w:lang w:bidi="ar"/>
        </w:rPr>
        <w:t xml:space="preserve"> 3.5 </w:t>
      </w:r>
      <w:r>
        <w:rPr>
          <w:rFonts w:hint="eastAsia" w:asciiTheme="minorEastAsia" w:hAnsiTheme="minorEastAsia" w:eastAsiaTheme="minorEastAsia" w:cstheme="minorEastAsia"/>
          <w:color w:val="auto"/>
          <w:sz w:val="24"/>
          <w:szCs w:val="24"/>
          <w:highlight w:val="none"/>
          <w:lang w:bidi="ar"/>
        </w:rPr>
        <w:t>条款。</w:t>
      </w:r>
    </w:p>
    <w:p>
      <w:pPr>
        <w:pStyle w:val="46"/>
        <w:spacing w:line="440" w:lineRule="exact"/>
        <w:rPr>
          <w:rFonts w:asciiTheme="minorEastAsia" w:hAnsiTheme="minorEastAsia" w:eastAsiaTheme="minorEastAsia" w:cstheme="minorEastAsia"/>
          <w:b/>
          <w:color w:val="auto"/>
          <w:szCs w:val="24"/>
          <w:highlight w:val="none"/>
        </w:rPr>
      </w:pPr>
      <w:bookmarkStart w:id="132" w:name="_Toc5081"/>
      <w:bookmarkStart w:id="133" w:name="_Toc392345926"/>
      <w:r>
        <w:rPr>
          <w:rFonts w:hint="eastAsia" w:asciiTheme="minorEastAsia" w:hAnsiTheme="minorEastAsia" w:eastAsiaTheme="minorEastAsia" w:cstheme="minorEastAsia"/>
          <w:b/>
          <w:color w:val="auto"/>
          <w:szCs w:val="24"/>
          <w:highlight w:val="none"/>
        </w:rPr>
        <w:t>3.2 投标报价</w:t>
      </w:r>
      <w:bookmarkEnd w:id="100"/>
      <w:bookmarkEnd w:id="101"/>
      <w:bookmarkEnd w:id="102"/>
      <w:bookmarkEnd w:id="103"/>
      <w:bookmarkEnd w:id="132"/>
      <w:bookmarkEnd w:id="133"/>
    </w:p>
    <w:p>
      <w:pPr>
        <w:ind w:firstLine="480" w:firstLineChars="200"/>
        <w:rPr>
          <w:rFonts w:asciiTheme="minorEastAsia" w:hAnsiTheme="minorEastAsia" w:eastAsiaTheme="minorEastAsia" w:cstheme="minorEastAsia"/>
          <w:color w:val="auto"/>
          <w:sz w:val="24"/>
          <w:szCs w:val="24"/>
          <w:highlight w:val="none"/>
        </w:rPr>
      </w:pPr>
      <w:bookmarkStart w:id="134" w:name="_Toc152042325"/>
      <w:bookmarkStart w:id="135" w:name="_Toc152045549"/>
      <w:bookmarkStart w:id="136" w:name="_Toc144974517"/>
      <w:bookmarkStart w:id="137" w:name="_Toc229646731"/>
      <w:r>
        <w:rPr>
          <w:rFonts w:hint="eastAsia" w:asciiTheme="minorEastAsia" w:hAnsiTheme="minorEastAsia" w:eastAsiaTheme="minorEastAsia" w:cstheme="minorEastAsia"/>
          <w:color w:val="auto"/>
          <w:sz w:val="24"/>
          <w:szCs w:val="24"/>
          <w:highlight w:val="none"/>
        </w:rPr>
        <w:t>3.2.1 投标人应按本招标文件中“投标文件格式”的要求填写相应表格。</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 投标人在投标截止时间前修改投标函中的投标总报价，应同时修改本招标文件中“投标文件格式”中的相应报价。此修改须符合本章第4.3款的有关要求。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3.2.3招标人设有最高投标限价的，投标人的投标报价不得超过最高投标限价，最高投标限价详见投标人须知前附表。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3.2.4投标报价的其他要求详见投标人须知前附表。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138" w:name="_Toc392345927"/>
      <w:bookmarkStart w:id="139" w:name="_Toc22162"/>
      <w:r>
        <w:rPr>
          <w:rFonts w:hint="eastAsia" w:asciiTheme="minorEastAsia" w:hAnsiTheme="minorEastAsia" w:eastAsiaTheme="minorEastAsia" w:cstheme="minorEastAsia"/>
          <w:b/>
          <w:color w:val="auto"/>
          <w:szCs w:val="24"/>
          <w:highlight w:val="none"/>
        </w:rPr>
        <w:t>3.3 投标有效期</w:t>
      </w:r>
      <w:bookmarkEnd w:id="134"/>
      <w:bookmarkEnd w:id="135"/>
      <w:bookmarkEnd w:id="136"/>
      <w:bookmarkEnd w:id="137"/>
      <w:bookmarkEnd w:id="138"/>
      <w:bookmarkEnd w:id="139"/>
    </w:p>
    <w:p>
      <w:pPr>
        <w:ind w:firstLine="480" w:firstLineChars="200"/>
        <w:rPr>
          <w:rFonts w:asciiTheme="minorEastAsia" w:hAnsiTheme="minorEastAsia" w:eastAsiaTheme="minorEastAsia" w:cstheme="minorEastAsia"/>
          <w:color w:val="auto"/>
          <w:sz w:val="24"/>
          <w:szCs w:val="24"/>
          <w:highlight w:val="none"/>
        </w:rPr>
      </w:pPr>
      <w:bookmarkStart w:id="140" w:name="_Toc152045550"/>
      <w:bookmarkStart w:id="141" w:name="_Toc152042326"/>
      <w:bookmarkStart w:id="142" w:name="_Toc144974518"/>
      <w:bookmarkStart w:id="143" w:name="_Toc229646732"/>
      <w:r>
        <w:rPr>
          <w:rFonts w:hint="eastAsia" w:asciiTheme="minorEastAsia" w:hAnsiTheme="minorEastAsia" w:eastAsiaTheme="minorEastAsia" w:cstheme="minorEastAsia"/>
          <w:color w:val="auto"/>
          <w:sz w:val="24"/>
          <w:szCs w:val="24"/>
          <w:highlight w:val="none"/>
        </w:rPr>
        <w:t>3.3.1 在投标人须知前附表规定的投标有效期内，投标人不得撤销其投标文件。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6"/>
        <w:spacing w:line="440" w:lineRule="exact"/>
        <w:rPr>
          <w:rFonts w:asciiTheme="minorEastAsia" w:hAnsiTheme="minorEastAsia" w:eastAsiaTheme="minorEastAsia" w:cstheme="minorEastAsia"/>
          <w:b/>
          <w:color w:val="auto"/>
          <w:szCs w:val="24"/>
          <w:highlight w:val="none"/>
        </w:rPr>
      </w:pPr>
      <w:bookmarkStart w:id="144" w:name="_Toc392345928"/>
      <w:bookmarkStart w:id="145" w:name="_Toc10327"/>
      <w:r>
        <w:rPr>
          <w:rFonts w:hint="eastAsia" w:asciiTheme="minorEastAsia" w:hAnsiTheme="minorEastAsia" w:eastAsiaTheme="minorEastAsia" w:cstheme="minorEastAsia"/>
          <w:b/>
          <w:color w:val="auto"/>
          <w:szCs w:val="24"/>
          <w:highlight w:val="none"/>
        </w:rPr>
        <w:t>3.4 投标保证金</w:t>
      </w:r>
      <w:bookmarkEnd w:id="140"/>
      <w:bookmarkEnd w:id="141"/>
      <w:bookmarkEnd w:id="142"/>
      <w:bookmarkEnd w:id="143"/>
      <w:bookmarkEnd w:id="144"/>
      <w:bookmarkEnd w:id="145"/>
    </w:p>
    <w:p>
      <w:pPr>
        <w:ind w:firstLine="480" w:firstLineChars="200"/>
        <w:rPr>
          <w:rFonts w:asciiTheme="minorEastAsia" w:hAnsiTheme="minorEastAsia" w:eastAsiaTheme="minorEastAsia" w:cstheme="minorEastAsia"/>
          <w:color w:val="auto"/>
          <w:sz w:val="24"/>
          <w:szCs w:val="24"/>
          <w:highlight w:val="none"/>
        </w:rPr>
      </w:pPr>
      <w:bookmarkStart w:id="146" w:name="_Toc144974520"/>
      <w:bookmarkStart w:id="147" w:name="_Toc152045552"/>
      <w:bookmarkStart w:id="148" w:name="_Toc229646733"/>
      <w:bookmarkStart w:id="149" w:name="_Toc152042328"/>
      <w:r>
        <w:rPr>
          <w:rFonts w:hint="eastAsia" w:asciiTheme="minorEastAsia" w:hAnsiTheme="minorEastAsia" w:eastAsiaTheme="minorEastAsia" w:cstheme="minorEastAsia"/>
          <w:color w:val="auto"/>
          <w:sz w:val="24"/>
          <w:szCs w:val="24"/>
          <w:highlight w:val="none"/>
        </w:rPr>
        <w:t>3.4.1 投标人应按投标人须知前附表规定的金额、时间及形式递交投标保证金，并作为其投标文件的组成部分。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3.4.2投标人应按本章第3.4.1 项要求提交投标保证金。</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3.4.3</w:t>
      </w:r>
      <w:r>
        <w:rPr>
          <w:rFonts w:hint="eastAsia" w:asciiTheme="minorEastAsia" w:hAnsiTheme="minorEastAsia" w:eastAsiaTheme="minorEastAsia" w:cstheme="minorEastAsia"/>
          <w:color w:val="auto"/>
          <w:sz w:val="24"/>
          <w:szCs w:val="24"/>
          <w:highlight w:val="none"/>
          <w:lang w:bidi="ar"/>
        </w:rPr>
        <w:t>投标保证金的退还：按现行规定退还</w:t>
      </w:r>
      <w:r>
        <w:rPr>
          <w:rFonts w:hint="eastAsia" w:asciiTheme="minorEastAsia" w:hAnsiTheme="minorEastAsia" w:eastAsiaTheme="minorEastAsia" w:cstheme="minorEastAsia"/>
          <w:color w:val="auto"/>
          <w:sz w:val="24"/>
          <w:szCs w:val="24"/>
          <w:highlight w:val="none"/>
        </w:rPr>
        <w:t>（中标人的投标保证金在中标人缴纳履约保证金且签订中标合同后按规定程序无息退还）。</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3.4.4</w:t>
      </w:r>
      <w:r>
        <w:rPr>
          <w:rFonts w:hint="eastAsia" w:asciiTheme="minorEastAsia" w:hAnsiTheme="minorEastAsia" w:eastAsiaTheme="minorEastAsia" w:cstheme="minorEastAsia"/>
          <w:color w:val="auto"/>
          <w:sz w:val="24"/>
          <w:szCs w:val="24"/>
          <w:highlight w:val="none"/>
          <w:lang w:bidi="ar"/>
        </w:rPr>
        <w:t>有下列情形之一的，投标保证金将不予退还：</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w:t>
      </w:r>
      <w:r>
        <w:rPr>
          <w:rFonts w:hint="eastAsia" w:asciiTheme="minorEastAsia" w:hAnsiTheme="minorEastAsia" w:eastAsiaTheme="minorEastAsia" w:cstheme="minorEastAsia"/>
          <w:color w:val="auto"/>
          <w:sz w:val="24"/>
          <w:szCs w:val="24"/>
          <w:highlight w:val="none"/>
          <w:lang w:bidi="ar"/>
        </w:rPr>
        <w:t>）投标人在规定的投标有效期内撤销或修改其投标文件；</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2</w:t>
      </w:r>
      <w:r>
        <w:rPr>
          <w:rFonts w:hint="eastAsia" w:asciiTheme="minorEastAsia" w:hAnsiTheme="minorEastAsia" w:eastAsiaTheme="minorEastAsia" w:cstheme="minorEastAsia"/>
          <w:color w:val="auto"/>
          <w:sz w:val="24"/>
          <w:szCs w:val="24"/>
          <w:highlight w:val="none"/>
          <w:lang w:bidi="ar"/>
        </w:rPr>
        <w:t>）中标人在收到中标通知书后，无正当理由拒签合同协议书或未按招标文件规定提交履约担保；</w:t>
      </w:r>
      <w:r>
        <w:rPr>
          <w:rFonts w:asciiTheme="minorEastAsia" w:hAnsiTheme="minorEastAsia" w:eastAsiaTheme="minorEastAsia" w:cstheme="minorEastAsia"/>
          <w:color w:val="auto"/>
          <w:sz w:val="24"/>
          <w:szCs w:val="24"/>
          <w:highlight w:val="none"/>
          <w:lang w:bidi="ar"/>
        </w:rPr>
        <w:t xml:space="preserve"> </w:t>
      </w:r>
    </w:p>
    <w:p>
      <w:pPr>
        <w:widowControl/>
        <w:ind w:left="0" w:leftChars="0" w:firstLine="480" w:firstLineChars="20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(3)存在违反《招标投标法》第三十二条、第三十三条规定的违法情形的</w:t>
      </w:r>
      <w:r>
        <w:rPr>
          <w:rFonts w:hint="eastAsia" w:asciiTheme="minorEastAsia" w:hAnsiTheme="minorEastAsia" w:eastAsiaTheme="minorEastAsia" w:cstheme="minorEastAsia"/>
          <w:color w:val="auto"/>
          <w:sz w:val="24"/>
          <w:szCs w:val="24"/>
          <w:highlight w:val="none"/>
          <w:lang w:bidi="ar"/>
        </w:rPr>
        <w:t>；</w:t>
      </w:r>
    </w:p>
    <w:p>
      <w:pPr>
        <w:widowControl/>
        <w:ind w:firstLine="480" w:firstLineChars="200"/>
        <w:jc w:val="left"/>
        <w:rPr>
          <w:rFonts w:asciiTheme="minorEastAsia" w:hAnsiTheme="minorEastAsia" w:eastAsiaTheme="minorEastAsia" w:cstheme="minorEastAsia"/>
          <w:color w:val="auto"/>
          <w:highlight w:val="none"/>
          <w:lang w:bidi="ar"/>
        </w:rPr>
      </w:pPr>
      <w:r>
        <w:rPr>
          <w:rFonts w:asciiTheme="minorEastAsia" w:hAnsiTheme="minorEastAsia" w:eastAsiaTheme="minorEastAsia" w:cstheme="minorEastAsia"/>
          <w:color w:val="auto"/>
          <w:sz w:val="24"/>
          <w:szCs w:val="24"/>
          <w:highlight w:val="none"/>
          <w:lang w:bidi="ar"/>
        </w:rPr>
        <w:t>(4)招标文件等材料约定的不予退还的其他情形</w:t>
      </w:r>
      <w:r>
        <w:rPr>
          <w:rFonts w:hint="eastAsia" w:asciiTheme="minorEastAsia" w:hAnsiTheme="minorEastAsia" w:eastAsiaTheme="minorEastAsia" w:cstheme="minorEastAsia"/>
          <w:color w:val="auto"/>
          <w:sz w:val="24"/>
          <w:szCs w:val="24"/>
          <w:highlight w:val="none"/>
          <w:lang w:bidi="ar"/>
        </w:rPr>
        <w:t>；</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（5）其他法律法规规定情形。</w:t>
      </w:r>
      <w:r>
        <w:rPr>
          <w:rFonts w:asciiTheme="minorEastAsia" w:hAnsiTheme="minorEastAsia" w:eastAsiaTheme="minorEastAsia" w:cstheme="minorEastAsia"/>
          <w:color w:val="auto"/>
          <w:sz w:val="24"/>
          <w:szCs w:val="24"/>
          <w:highlight w:val="none"/>
          <w:lang w:bidi="ar"/>
        </w:rPr>
        <w:t xml:space="preserve"> </w:t>
      </w:r>
    </w:p>
    <w:bookmarkEnd w:id="146"/>
    <w:bookmarkEnd w:id="147"/>
    <w:bookmarkEnd w:id="148"/>
    <w:bookmarkEnd w:id="149"/>
    <w:p>
      <w:pPr>
        <w:pStyle w:val="46"/>
        <w:spacing w:line="440" w:lineRule="exact"/>
        <w:rPr>
          <w:rFonts w:asciiTheme="minorEastAsia" w:hAnsiTheme="minorEastAsia" w:eastAsiaTheme="minorEastAsia" w:cstheme="minorEastAsia"/>
          <w:b/>
          <w:color w:val="auto"/>
          <w:szCs w:val="24"/>
          <w:highlight w:val="none"/>
        </w:rPr>
      </w:pPr>
      <w:bookmarkStart w:id="150" w:name="_Toc323711767"/>
      <w:bookmarkStart w:id="151" w:name="_Toc144974521"/>
      <w:bookmarkStart w:id="152" w:name="_Toc319407854"/>
      <w:bookmarkStart w:id="153" w:name="_Toc245036620"/>
      <w:bookmarkStart w:id="154" w:name="_Toc152045553"/>
      <w:bookmarkStart w:id="155" w:name="_Toc319408089"/>
      <w:bookmarkStart w:id="156" w:name="_Toc322615415"/>
      <w:bookmarkStart w:id="157" w:name="_Toc152042329"/>
      <w:bookmarkStart w:id="158" w:name="_Toc16875"/>
      <w:bookmarkStart w:id="159" w:name="_Toc392345930"/>
      <w:bookmarkStart w:id="160" w:name="_Toc152042335"/>
      <w:bookmarkStart w:id="161" w:name="_Toc144974527"/>
      <w:bookmarkStart w:id="162" w:name="_Toc152045559"/>
      <w:bookmarkStart w:id="163" w:name="_Toc229646740"/>
      <w:r>
        <w:rPr>
          <w:rFonts w:hint="eastAsia" w:asciiTheme="minorEastAsia" w:hAnsiTheme="minorEastAsia" w:eastAsiaTheme="minorEastAsia" w:cstheme="minorEastAsia"/>
          <w:b/>
          <w:color w:val="auto"/>
          <w:szCs w:val="24"/>
          <w:highlight w:val="none"/>
        </w:rPr>
        <w:t>3.</w:t>
      </w:r>
      <w:bookmarkEnd w:id="150"/>
      <w:bookmarkEnd w:id="151"/>
      <w:bookmarkEnd w:id="152"/>
      <w:bookmarkEnd w:id="153"/>
      <w:bookmarkEnd w:id="154"/>
      <w:bookmarkEnd w:id="155"/>
      <w:bookmarkEnd w:id="156"/>
      <w:bookmarkEnd w:id="157"/>
      <w:bookmarkStart w:id="164" w:name="_Toc245036621"/>
      <w:bookmarkStart w:id="165" w:name="_Toc319407855"/>
      <w:bookmarkStart w:id="166" w:name="_Toc322615416"/>
      <w:bookmarkStart w:id="167" w:name="_Toc319408090"/>
      <w:bookmarkStart w:id="168" w:name="_Toc323711768"/>
      <w:r>
        <w:rPr>
          <w:rFonts w:hint="eastAsia" w:asciiTheme="minorEastAsia" w:hAnsiTheme="minorEastAsia" w:eastAsiaTheme="minorEastAsia" w:cstheme="minorEastAsia"/>
          <w:b/>
          <w:color w:val="auto"/>
          <w:szCs w:val="24"/>
          <w:highlight w:val="none"/>
        </w:rPr>
        <w:t>5资格审查资料</w:t>
      </w:r>
      <w:bookmarkEnd w:id="158"/>
    </w:p>
    <w:p>
      <w:pPr>
        <w:ind w:firstLine="480" w:firstLineChars="200"/>
        <w:rPr>
          <w:rFonts w:asciiTheme="minorEastAsia" w:hAnsiTheme="minorEastAsia" w:eastAsiaTheme="minorEastAsia" w:cstheme="minorEastAsia"/>
          <w:strike/>
          <w:color w:val="auto"/>
          <w:sz w:val="24"/>
          <w:szCs w:val="24"/>
          <w:highlight w:val="none"/>
        </w:rPr>
      </w:pPr>
      <w:bookmarkStart w:id="169" w:name="_Toc229646735"/>
      <w:bookmarkStart w:id="170" w:name="_Toc144974522"/>
      <w:bookmarkStart w:id="171" w:name="_Toc152045554"/>
      <w:bookmarkStart w:id="172" w:name="_Toc300834974"/>
      <w:bookmarkStart w:id="173" w:name="_Toc247527578"/>
      <w:bookmarkStart w:id="174" w:name="_Toc152042330"/>
      <w:bookmarkStart w:id="175" w:name="_Toc247513977"/>
      <w:r>
        <w:rPr>
          <w:rFonts w:asciiTheme="minorEastAsia" w:hAnsiTheme="minorEastAsia" w:eastAsiaTheme="minorEastAsia" w:cstheme="minorEastAsia"/>
          <w:strike/>
          <w:color w:val="auto"/>
          <w:sz w:val="24"/>
          <w:szCs w:val="24"/>
          <w:highlight w:val="none"/>
        </w:rPr>
        <w:t xml:space="preserve">3.5.1 </w:t>
      </w:r>
      <w:r>
        <w:rPr>
          <w:rFonts w:hint="eastAsia" w:asciiTheme="minorEastAsia" w:hAnsiTheme="minorEastAsia" w:eastAsiaTheme="minorEastAsia" w:cstheme="minorEastAsia"/>
          <w:strike/>
          <w:color w:val="auto"/>
          <w:sz w:val="24"/>
          <w:szCs w:val="24"/>
          <w:highlight w:val="none"/>
        </w:rPr>
        <w:t>“投标人基本情况表”应附投标人营业执照副本、资质证书副本等材料的复印件。</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3.5.2 </w:t>
      </w:r>
      <w:r>
        <w:rPr>
          <w:rFonts w:hint="eastAsia" w:asciiTheme="minorEastAsia" w:hAnsiTheme="minorEastAsia" w:eastAsiaTheme="minorEastAsia" w:cstheme="minorEastAsia"/>
          <w:strike/>
          <w:color w:val="auto"/>
          <w:sz w:val="24"/>
          <w:szCs w:val="24"/>
          <w:highlight w:val="none"/>
        </w:rPr>
        <w:t>“近年完成的类似项目情况表”应附中标通知书、合同复印件及医院验收证明，具体年份要求见投标人须知前附表。每张表格只填写一个项目，并标明序号。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3.5.3“正在进行的项目和新承接的项目情况表”应附中标通知书和合同复印件。每张表格只填写一个项目，并标明序号。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3.5.5 </w:t>
      </w:r>
      <w:r>
        <w:rPr>
          <w:rFonts w:hint="eastAsia" w:asciiTheme="minorEastAsia" w:hAnsiTheme="minorEastAsia" w:eastAsiaTheme="minorEastAsia" w:cstheme="minorEastAsia"/>
          <w:strike/>
          <w:color w:val="auto"/>
          <w:sz w:val="24"/>
          <w:szCs w:val="24"/>
          <w:highlight w:val="none"/>
        </w:rPr>
        <w:t>“近年发生的诉讼及仲裁情况”应说明相关情况，并附法院或仲裁机构作出的判决、裁决等有关法律文书复印件，具体年份要求见投标人须知前附表。</w:t>
      </w:r>
    </w:p>
    <w:p>
      <w:pPr>
        <w:ind w:firstLine="480" w:firstLineChars="200"/>
        <w:rPr>
          <w:rFonts w:asciiTheme="minorEastAsia" w:hAnsiTheme="minorEastAsia" w:eastAsiaTheme="minorEastAsia" w:cstheme="minorEastAsia"/>
          <w:bCs/>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3.5.6 </w:t>
      </w:r>
      <w:r>
        <w:rPr>
          <w:rFonts w:hint="eastAsia" w:asciiTheme="minorEastAsia" w:hAnsiTheme="minorEastAsia" w:eastAsiaTheme="minorEastAsia" w:cstheme="minorEastAsia"/>
          <w:strike/>
          <w:color w:val="auto"/>
          <w:sz w:val="24"/>
          <w:szCs w:val="24"/>
          <w:highlight w:val="none"/>
        </w:rPr>
        <w:t>投标单位应本着诚实信用的原则，提供真实可信的资格审查资料。若投标单位提供虚假资料，一经查实，</w:t>
      </w:r>
      <w:r>
        <w:rPr>
          <w:rFonts w:hint="eastAsia" w:asciiTheme="minorEastAsia" w:hAnsiTheme="minorEastAsia" w:eastAsiaTheme="minorEastAsia" w:cstheme="minorEastAsia"/>
          <w:bCs/>
          <w:strike/>
          <w:color w:val="auto"/>
          <w:sz w:val="24"/>
          <w:szCs w:val="24"/>
          <w:highlight w:val="none"/>
        </w:rPr>
        <w:t>除</w:t>
      </w:r>
      <w:r>
        <w:rPr>
          <w:rFonts w:hint="eastAsia" w:asciiTheme="minorEastAsia" w:hAnsiTheme="minorEastAsia" w:eastAsiaTheme="minorEastAsia" w:cstheme="minorEastAsia"/>
          <w:strike/>
          <w:color w:val="auto"/>
          <w:sz w:val="24"/>
          <w:szCs w:val="24"/>
          <w:highlight w:val="none"/>
        </w:rPr>
        <w:t>按否决投标处理</w:t>
      </w:r>
      <w:r>
        <w:rPr>
          <w:rFonts w:hint="eastAsia" w:asciiTheme="minorEastAsia" w:hAnsiTheme="minorEastAsia" w:eastAsiaTheme="minorEastAsia" w:cstheme="minorEastAsia"/>
          <w:bCs/>
          <w:strike/>
          <w:color w:val="auto"/>
          <w:sz w:val="24"/>
          <w:szCs w:val="24"/>
          <w:highlight w:val="none"/>
        </w:rPr>
        <w:t>外，其投标保证金不予退还。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3.5.7资格审查资料详见投标人须知前附表。</w:t>
      </w:r>
    </w:p>
    <w:bookmarkEnd w:id="169"/>
    <w:bookmarkEnd w:id="170"/>
    <w:bookmarkEnd w:id="171"/>
    <w:bookmarkEnd w:id="172"/>
    <w:bookmarkEnd w:id="173"/>
    <w:bookmarkEnd w:id="174"/>
    <w:bookmarkEnd w:id="175"/>
    <w:p>
      <w:pPr>
        <w:pStyle w:val="46"/>
        <w:spacing w:line="440" w:lineRule="exact"/>
        <w:rPr>
          <w:rFonts w:asciiTheme="minorEastAsia" w:hAnsiTheme="minorEastAsia" w:eastAsiaTheme="minorEastAsia" w:cstheme="minorEastAsia"/>
          <w:b/>
          <w:strike/>
          <w:color w:val="auto"/>
          <w:szCs w:val="24"/>
          <w:highlight w:val="none"/>
        </w:rPr>
      </w:pPr>
      <w:bookmarkStart w:id="176" w:name="_Toc29305"/>
      <w:r>
        <w:rPr>
          <w:rFonts w:asciiTheme="minorEastAsia" w:hAnsiTheme="minorEastAsia" w:eastAsiaTheme="minorEastAsia" w:cstheme="minorEastAsia"/>
          <w:b/>
          <w:strike/>
          <w:color w:val="auto"/>
          <w:szCs w:val="24"/>
          <w:highlight w:val="none"/>
        </w:rPr>
        <w:t>3.6备选投标方案</w:t>
      </w:r>
      <w:bookmarkEnd w:id="176"/>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6"/>
        <w:spacing w:line="440" w:lineRule="exact"/>
        <w:rPr>
          <w:rFonts w:asciiTheme="minorEastAsia" w:hAnsiTheme="minorEastAsia" w:eastAsiaTheme="minorEastAsia" w:cstheme="minorEastAsia"/>
          <w:b/>
          <w:color w:val="auto"/>
          <w:szCs w:val="24"/>
          <w:highlight w:val="none"/>
        </w:rPr>
      </w:pPr>
      <w:bookmarkStart w:id="177" w:name="_Toc11039"/>
      <w:r>
        <w:rPr>
          <w:rFonts w:hint="eastAsia" w:asciiTheme="minorEastAsia" w:hAnsiTheme="minorEastAsia" w:eastAsiaTheme="minorEastAsia" w:cstheme="minorEastAsia"/>
          <w:b/>
          <w:color w:val="auto"/>
          <w:szCs w:val="24"/>
          <w:highlight w:val="none"/>
        </w:rPr>
        <w:t>3.7投标文件的编制</w:t>
      </w:r>
      <w:bookmarkEnd w:id="159"/>
      <w:bookmarkEnd w:id="164"/>
      <w:bookmarkEnd w:id="165"/>
      <w:bookmarkEnd w:id="166"/>
      <w:bookmarkEnd w:id="167"/>
      <w:bookmarkEnd w:id="168"/>
      <w:bookmarkEnd w:id="177"/>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3.7.3投标文件正本一份, 副本份数见投标人须知前附表。正本和副本的封面上应清楚地标记“正本”或“副本”的字样。当副本和正本不一致时，以正本为准。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3.7.4投标文件的正本与副本应分别装订成册，并编制目录。</w:t>
      </w:r>
      <w:bookmarkStart w:id="178" w:name="_Toc152042331"/>
      <w:bookmarkStart w:id="179" w:name="_Toc144974523"/>
      <w:bookmarkStart w:id="180" w:name="_Toc245036622"/>
      <w:bookmarkStart w:id="181" w:name="_Toc323711769"/>
      <w:bookmarkStart w:id="182" w:name="_Toc392345931"/>
      <w:bookmarkStart w:id="183" w:name="_Toc152045555"/>
      <w:r>
        <w:rPr>
          <w:rFonts w:hint="eastAsia" w:asciiTheme="minorEastAsia" w:hAnsiTheme="minorEastAsia" w:eastAsiaTheme="minorEastAsia" w:cstheme="minorEastAsia"/>
          <w:color w:val="auto"/>
          <w:sz w:val="24"/>
          <w:szCs w:val="24"/>
          <w:highlight w:val="none"/>
        </w:rPr>
        <w:t>具体装订要求见投标人须知前附表规定。</w:t>
      </w:r>
    </w:p>
    <w:p>
      <w:pPr>
        <w:pStyle w:val="45"/>
        <w:spacing w:line="440" w:lineRule="exact"/>
        <w:rPr>
          <w:rFonts w:asciiTheme="minorEastAsia" w:hAnsiTheme="minorEastAsia" w:eastAsiaTheme="minorEastAsia" w:cstheme="minorEastAsia"/>
          <w:color w:val="auto"/>
          <w:sz w:val="24"/>
          <w:szCs w:val="24"/>
          <w:highlight w:val="none"/>
        </w:rPr>
      </w:pPr>
      <w:bookmarkStart w:id="184" w:name="_Toc7085"/>
      <w:r>
        <w:rPr>
          <w:rFonts w:hint="eastAsia" w:asciiTheme="minorEastAsia" w:hAnsiTheme="minorEastAsia" w:eastAsiaTheme="minorEastAsia" w:cstheme="minorEastAsia"/>
          <w:color w:val="auto"/>
          <w:sz w:val="24"/>
          <w:szCs w:val="24"/>
          <w:highlight w:val="none"/>
        </w:rPr>
        <w:t>4. 投标</w:t>
      </w:r>
      <w:bookmarkEnd w:id="178"/>
      <w:bookmarkEnd w:id="179"/>
      <w:bookmarkEnd w:id="180"/>
      <w:bookmarkEnd w:id="181"/>
      <w:bookmarkEnd w:id="182"/>
      <w:bookmarkEnd w:id="183"/>
      <w:bookmarkEnd w:id="184"/>
    </w:p>
    <w:p>
      <w:pPr>
        <w:pStyle w:val="46"/>
        <w:spacing w:line="440" w:lineRule="exact"/>
        <w:rPr>
          <w:rFonts w:asciiTheme="minorEastAsia" w:hAnsiTheme="minorEastAsia" w:eastAsiaTheme="minorEastAsia" w:cstheme="minorEastAsia"/>
          <w:b/>
          <w:color w:val="auto"/>
          <w:szCs w:val="24"/>
          <w:highlight w:val="none"/>
        </w:rPr>
      </w:pPr>
      <w:bookmarkStart w:id="185" w:name="_Toc20016"/>
      <w:bookmarkStart w:id="186" w:name="_Toc322615418"/>
      <w:bookmarkStart w:id="187" w:name="_Toc319408092"/>
      <w:bookmarkStart w:id="188" w:name="_Toc245036623"/>
      <w:bookmarkStart w:id="189" w:name="_Toc152042332"/>
      <w:bookmarkStart w:id="190" w:name="_Toc392345932"/>
      <w:bookmarkStart w:id="191" w:name="_Toc144974524"/>
      <w:bookmarkStart w:id="192" w:name="_Toc319407857"/>
      <w:bookmarkStart w:id="193" w:name="_Toc152045556"/>
      <w:bookmarkStart w:id="194" w:name="_Toc323711770"/>
      <w:r>
        <w:rPr>
          <w:rFonts w:hint="eastAsia" w:asciiTheme="minorEastAsia" w:hAnsiTheme="minorEastAsia" w:eastAsiaTheme="minorEastAsia" w:cstheme="minorEastAsia"/>
          <w:b/>
          <w:color w:val="auto"/>
          <w:szCs w:val="24"/>
          <w:highlight w:val="none"/>
        </w:rPr>
        <w:t>4.1 投标文件的密封和标记</w:t>
      </w:r>
      <w:bookmarkEnd w:id="185"/>
      <w:bookmarkEnd w:id="186"/>
      <w:bookmarkEnd w:id="187"/>
      <w:bookmarkEnd w:id="188"/>
      <w:bookmarkEnd w:id="189"/>
      <w:bookmarkEnd w:id="190"/>
      <w:bookmarkEnd w:id="191"/>
      <w:bookmarkEnd w:id="192"/>
      <w:bookmarkEnd w:id="193"/>
      <w:bookmarkEnd w:id="19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4.1.1投标文件的正本与副本可分开或合并密封包装（包装要求见投标人须知前附表）。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 投标文件封套上应写明的内容见投标人须知前附表。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195" w:name="_Toc152045557"/>
      <w:bookmarkStart w:id="196" w:name="_Toc323711771"/>
      <w:bookmarkStart w:id="197" w:name="_Toc144974525"/>
      <w:bookmarkStart w:id="198" w:name="_Toc152042333"/>
      <w:bookmarkStart w:id="199" w:name="_Toc245036624"/>
      <w:bookmarkStart w:id="200" w:name="_Toc319407858"/>
      <w:bookmarkStart w:id="201" w:name="_Toc322615419"/>
      <w:bookmarkStart w:id="202" w:name="_Toc392345933"/>
      <w:bookmarkStart w:id="203" w:name="_Toc319408093"/>
      <w:bookmarkStart w:id="204" w:name="_Toc28433"/>
      <w:r>
        <w:rPr>
          <w:rFonts w:hint="eastAsia" w:asciiTheme="minorEastAsia" w:hAnsiTheme="minorEastAsia" w:eastAsiaTheme="minorEastAsia" w:cstheme="minorEastAsia"/>
          <w:b/>
          <w:color w:val="auto"/>
          <w:szCs w:val="24"/>
          <w:highlight w:val="none"/>
        </w:rPr>
        <w:t>4.2 投标文件的递交</w:t>
      </w:r>
      <w:bookmarkEnd w:id="195"/>
      <w:bookmarkEnd w:id="196"/>
      <w:bookmarkEnd w:id="197"/>
      <w:bookmarkEnd w:id="198"/>
      <w:bookmarkEnd w:id="199"/>
      <w:bookmarkEnd w:id="200"/>
      <w:bookmarkEnd w:id="201"/>
      <w:bookmarkEnd w:id="202"/>
      <w:bookmarkEnd w:id="203"/>
      <w:bookmarkEnd w:id="20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4.2.1 投标人应在前附表第2.2.2项规定的投标截止时间前递交投标文件。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4.2.2 投标人递交投标文件的地点：见投标人须知前附表。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4.2.3 除投标人须知前附表另有规定外，投标人所递交的投标文件不予退还。</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4.2.4 </w:t>
      </w:r>
      <w:r>
        <w:rPr>
          <w:rFonts w:hint="eastAsia" w:asciiTheme="minorEastAsia" w:hAnsiTheme="minorEastAsia" w:eastAsiaTheme="minorEastAsia" w:cstheme="minorEastAsia"/>
          <w:strike/>
          <w:color w:val="auto"/>
          <w:sz w:val="24"/>
          <w:szCs w:val="24"/>
          <w:highlight w:val="none"/>
        </w:rPr>
        <w:t>招标人收到投标文件后，向投标人出具签收凭证。</w:t>
      </w:r>
    </w:p>
    <w:p>
      <w:pPr>
        <w:pStyle w:val="46"/>
        <w:spacing w:line="440" w:lineRule="exact"/>
        <w:rPr>
          <w:rFonts w:asciiTheme="minorEastAsia" w:hAnsiTheme="minorEastAsia" w:eastAsiaTheme="minorEastAsia" w:cstheme="minorEastAsia"/>
          <w:b/>
          <w:color w:val="auto"/>
          <w:szCs w:val="24"/>
          <w:highlight w:val="none"/>
        </w:rPr>
      </w:pPr>
      <w:bookmarkStart w:id="205" w:name="_Toc152045558"/>
      <w:bookmarkStart w:id="206" w:name="_Toc245036625"/>
      <w:bookmarkStart w:id="207" w:name="_Toc319408094"/>
      <w:bookmarkStart w:id="208" w:name="_Toc319407859"/>
      <w:bookmarkStart w:id="209" w:name="_Toc323711772"/>
      <w:bookmarkStart w:id="210" w:name="_Toc152042334"/>
      <w:bookmarkStart w:id="211" w:name="_Toc21598"/>
      <w:bookmarkStart w:id="212" w:name="_Toc392345934"/>
      <w:bookmarkStart w:id="213" w:name="_Toc144974526"/>
      <w:bookmarkStart w:id="214" w:name="_Toc322615420"/>
      <w:r>
        <w:rPr>
          <w:rFonts w:hint="eastAsia" w:asciiTheme="minorEastAsia" w:hAnsiTheme="minorEastAsia" w:eastAsiaTheme="minorEastAsia" w:cstheme="minorEastAsia"/>
          <w:b/>
          <w:color w:val="auto"/>
          <w:szCs w:val="24"/>
          <w:highlight w:val="none"/>
        </w:rPr>
        <w:t>4.3 投标文件的修改与撤回</w:t>
      </w:r>
      <w:bookmarkEnd w:id="205"/>
      <w:bookmarkEnd w:id="206"/>
      <w:bookmarkEnd w:id="207"/>
      <w:bookmarkEnd w:id="208"/>
      <w:bookmarkEnd w:id="209"/>
      <w:bookmarkEnd w:id="210"/>
      <w:bookmarkEnd w:id="211"/>
      <w:bookmarkEnd w:id="212"/>
      <w:bookmarkEnd w:id="213"/>
      <w:bookmarkEnd w:id="21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4.3.1 在前附表第2.2.2项规定的投标截止时间前，投标人可以修改或撤回已递交的投标文件，但应以书面形式通知招标人。</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4.3.2 投标人修改或撤回已递交投标文件的书面通知应按照本章第3.7.2项的要求签字或盖章。</w:t>
      </w:r>
      <w:r>
        <w:rPr>
          <w:rFonts w:hint="eastAsia" w:asciiTheme="minorEastAsia" w:hAnsiTheme="minorEastAsia" w:eastAsiaTheme="minorEastAsia" w:cstheme="minorEastAsia"/>
          <w:strike/>
          <w:color w:val="auto"/>
          <w:sz w:val="24"/>
          <w:szCs w:val="24"/>
          <w:highlight w:val="none"/>
        </w:rPr>
        <w:t>招标人收到书面通知后，向投标人出具签收凭证。</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4.3.3 修改的内容为投标文件的组成部分。修改的投标文件应按照本章第3条、第4条规定进行编制、密封、标记和递交，并标明“修改”字样。</w:t>
      </w:r>
    </w:p>
    <w:p>
      <w:pPr>
        <w:pStyle w:val="46"/>
        <w:spacing w:line="440" w:lineRule="exact"/>
        <w:rPr>
          <w:rFonts w:asciiTheme="minorEastAsia" w:hAnsiTheme="minorEastAsia" w:eastAsiaTheme="minorEastAsia" w:cstheme="minorEastAsia"/>
          <w:b/>
          <w:color w:val="auto"/>
          <w:szCs w:val="24"/>
          <w:highlight w:val="none"/>
        </w:rPr>
      </w:pPr>
      <w:bookmarkStart w:id="215" w:name="_Toc392345935"/>
      <w:bookmarkStart w:id="216" w:name="_Toc14614"/>
      <w:r>
        <w:rPr>
          <w:rFonts w:hint="eastAsia" w:asciiTheme="minorEastAsia" w:hAnsiTheme="minorEastAsia" w:eastAsiaTheme="minorEastAsia" w:cstheme="minorEastAsia"/>
          <w:b/>
          <w:color w:val="auto"/>
          <w:szCs w:val="24"/>
          <w:highlight w:val="none"/>
        </w:rPr>
        <w:t>4.4投标文件的拒收情形</w:t>
      </w:r>
      <w:bookmarkEnd w:id="215"/>
      <w:bookmarkEnd w:id="21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详见投标人须知前附表。</w:t>
      </w:r>
    </w:p>
    <w:p>
      <w:pPr>
        <w:pStyle w:val="45"/>
        <w:spacing w:line="440" w:lineRule="exact"/>
        <w:rPr>
          <w:rFonts w:asciiTheme="minorEastAsia" w:hAnsiTheme="minorEastAsia" w:eastAsiaTheme="minorEastAsia" w:cstheme="minorEastAsia"/>
          <w:color w:val="auto"/>
          <w:sz w:val="24"/>
          <w:szCs w:val="24"/>
          <w:highlight w:val="none"/>
        </w:rPr>
      </w:pPr>
      <w:bookmarkStart w:id="217" w:name="_Toc18369"/>
      <w:bookmarkStart w:id="218" w:name="_Toc392345936"/>
      <w:r>
        <w:rPr>
          <w:rFonts w:hint="eastAsia" w:asciiTheme="minorEastAsia" w:hAnsiTheme="minorEastAsia" w:eastAsiaTheme="minorEastAsia" w:cstheme="minorEastAsia"/>
          <w:color w:val="auto"/>
          <w:sz w:val="24"/>
          <w:szCs w:val="24"/>
          <w:highlight w:val="none"/>
        </w:rPr>
        <w:t>5. 开标</w:t>
      </w:r>
      <w:bookmarkEnd w:id="160"/>
      <w:bookmarkEnd w:id="161"/>
      <w:bookmarkEnd w:id="162"/>
      <w:bookmarkEnd w:id="163"/>
      <w:r>
        <w:rPr>
          <w:rFonts w:hint="eastAsia" w:asciiTheme="minorEastAsia" w:hAnsiTheme="minorEastAsia" w:eastAsiaTheme="minorEastAsia" w:cstheme="minorEastAsia"/>
          <w:color w:val="auto"/>
          <w:sz w:val="24"/>
          <w:szCs w:val="24"/>
          <w:highlight w:val="none"/>
        </w:rPr>
        <w:t>程序</w:t>
      </w:r>
      <w:bookmarkEnd w:id="217"/>
      <w:bookmarkEnd w:id="218"/>
      <w:r>
        <w:rPr>
          <w:rFonts w:hint="eastAsia" w:asciiTheme="minorEastAsia" w:hAnsiTheme="minorEastAsia" w:eastAsiaTheme="minorEastAsia" w:cstheme="minorEastAsia"/>
          <w:b/>
          <w:bCs/>
          <w:color w:val="auto"/>
          <w:sz w:val="24"/>
          <w:szCs w:val="24"/>
          <w:highlight w:val="none"/>
        </w:rPr>
        <w:t>（为确保开评标现场的疫情防控安全，到现场参与开评标的各类人员应出示浙江省健康码。为减少人员聚集程度及滞留时间，招标人、招标代理工作人员原则上不超过三人，投标人不需在开标现场。）</w:t>
      </w:r>
    </w:p>
    <w:p>
      <w:pPr>
        <w:pStyle w:val="46"/>
        <w:spacing w:line="440" w:lineRule="exact"/>
        <w:rPr>
          <w:rFonts w:asciiTheme="minorEastAsia" w:hAnsiTheme="minorEastAsia" w:eastAsiaTheme="minorEastAsia" w:cstheme="minorEastAsia"/>
          <w:b/>
          <w:color w:val="auto"/>
          <w:szCs w:val="24"/>
          <w:highlight w:val="none"/>
        </w:rPr>
      </w:pPr>
      <w:bookmarkStart w:id="219" w:name="_Toc144974528"/>
      <w:bookmarkStart w:id="220" w:name="_Toc392345937"/>
      <w:bookmarkStart w:id="221" w:name="_Toc229646741"/>
      <w:bookmarkStart w:id="222" w:name="_Toc152045560"/>
      <w:bookmarkStart w:id="223" w:name="_Toc152042336"/>
      <w:bookmarkStart w:id="224" w:name="_Toc13624"/>
      <w:r>
        <w:rPr>
          <w:rFonts w:hint="eastAsia" w:asciiTheme="minorEastAsia" w:hAnsiTheme="minorEastAsia" w:eastAsiaTheme="minorEastAsia" w:cstheme="minorEastAsia"/>
          <w:b/>
          <w:color w:val="auto"/>
          <w:szCs w:val="24"/>
          <w:highlight w:val="none"/>
        </w:rPr>
        <w:t>5.1 开标时间和地点</w:t>
      </w:r>
      <w:bookmarkEnd w:id="219"/>
      <w:bookmarkEnd w:id="220"/>
      <w:bookmarkEnd w:id="221"/>
      <w:bookmarkEnd w:id="222"/>
      <w:bookmarkEnd w:id="223"/>
      <w:r>
        <w:rPr>
          <w:rFonts w:hint="eastAsia" w:asciiTheme="minorEastAsia" w:hAnsiTheme="minorEastAsia" w:eastAsiaTheme="minorEastAsia" w:cstheme="minorEastAsia"/>
          <w:b/>
          <w:color w:val="auto"/>
          <w:szCs w:val="24"/>
          <w:highlight w:val="none"/>
        </w:rPr>
        <w:t>、参加开标会议的要求</w:t>
      </w:r>
      <w:bookmarkEnd w:id="22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招标人在投标人须知前附表第2.2.2项规定的投标截止时间（开标时间）和投标人须知前附表规定的地点公开开标，参加开标会议的要求见投标人须知前附表。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225" w:name="_Toc229646742"/>
      <w:bookmarkStart w:id="226" w:name="_Toc152045561"/>
      <w:bookmarkStart w:id="227" w:name="_Toc144974529"/>
      <w:bookmarkStart w:id="228" w:name="_Toc28832"/>
      <w:bookmarkStart w:id="229" w:name="_Toc392345938"/>
      <w:bookmarkStart w:id="230" w:name="_Toc152042337"/>
      <w:r>
        <w:rPr>
          <w:rFonts w:hint="eastAsia" w:asciiTheme="minorEastAsia" w:hAnsiTheme="minorEastAsia" w:eastAsiaTheme="minorEastAsia" w:cstheme="minorEastAsia"/>
          <w:b/>
          <w:color w:val="auto"/>
          <w:szCs w:val="24"/>
          <w:highlight w:val="none"/>
        </w:rPr>
        <w:t>5.2开标</w:t>
      </w:r>
      <w:bookmarkEnd w:id="225"/>
      <w:bookmarkEnd w:id="226"/>
      <w:bookmarkEnd w:id="227"/>
      <w:bookmarkEnd w:id="228"/>
      <w:bookmarkEnd w:id="229"/>
      <w:bookmarkEnd w:id="230"/>
    </w:p>
    <w:p>
      <w:pPr>
        <w:ind w:firstLine="480" w:firstLineChars="200"/>
        <w:rPr>
          <w:rFonts w:asciiTheme="minorEastAsia" w:hAnsiTheme="minorEastAsia" w:eastAsiaTheme="minorEastAsia" w:cstheme="minorEastAsia"/>
          <w:color w:val="auto"/>
          <w:sz w:val="24"/>
          <w:szCs w:val="24"/>
          <w:highlight w:val="none"/>
        </w:rPr>
      </w:pPr>
      <w:bookmarkStart w:id="231" w:name="_Toc152045562"/>
      <w:bookmarkStart w:id="232" w:name="_Toc152042338"/>
      <w:bookmarkStart w:id="233" w:name="_Toc144974530"/>
      <w:r>
        <w:rPr>
          <w:rFonts w:hint="eastAsia" w:asciiTheme="minorEastAsia" w:hAnsiTheme="minorEastAsia" w:eastAsiaTheme="minorEastAsia" w:cstheme="minorEastAsia"/>
          <w:color w:val="auto"/>
          <w:sz w:val="24"/>
          <w:szCs w:val="24"/>
          <w:highlight w:val="none"/>
        </w:rPr>
        <w:t>主持人按下列程序进行开标：</w:t>
      </w:r>
    </w:p>
    <w:p>
      <w:pPr>
        <w:ind w:firstLine="480" w:firstLineChars="200"/>
        <w:rPr>
          <w:rFonts w:asciiTheme="minorEastAsia" w:hAnsiTheme="minorEastAsia" w:eastAsiaTheme="minorEastAsia" w:cstheme="minorEastAsia"/>
          <w:color w:val="auto"/>
          <w:sz w:val="24"/>
          <w:szCs w:val="24"/>
          <w:highlight w:val="none"/>
        </w:rPr>
      </w:pPr>
      <w:bookmarkStart w:id="234" w:name="_Toc296602450"/>
      <w:r>
        <w:rPr>
          <w:rFonts w:hint="eastAsia" w:asciiTheme="minorEastAsia" w:hAnsiTheme="minorEastAsia" w:eastAsiaTheme="minorEastAsia" w:cstheme="minorEastAsia"/>
          <w:color w:val="auto"/>
          <w:sz w:val="24"/>
          <w:szCs w:val="24"/>
          <w:highlight w:val="none"/>
        </w:rPr>
        <w:t>（1）宣布开标纪律；</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（2）公布在投标截止时间前递交投标文件的投标人名称，</w:t>
      </w:r>
      <w:r>
        <w:rPr>
          <w:rFonts w:hint="eastAsia" w:asciiTheme="minorEastAsia" w:hAnsiTheme="minorEastAsia" w:eastAsiaTheme="minorEastAsia" w:cstheme="minorEastAsia"/>
          <w:b/>
          <w:bCs/>
          <w:color w:val="auto"/>
          <w:sz w:val="24"/>
          <w:szCs w:val="24"/>
          <w:highlight w:val="none"/>
        </w:rPr>
        <w:t>投标人不需到场</w:t>
      </w:r>
      <w:r>
        <w:rPr>
          <w:rFonts w:hint="eastAsia" w:asciiTheme="minorEastAsia" w:hAnsiTheme="minorEastAsia" w:eastAsiaTheme="minorEastAsia" w:cstheme="minorEastAsia"/>
          <w:color w:val="auto"/>
          <w:sz w:val="24"/>
          <w:szCs w:val="24"/>
          <w:highlight w:val="none"/>
        </w:rPr>
        <w:t>。</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（3）宣布开标人、唱标人、记录人、监标人等有关人员姓名；</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（4）按照投标人须知前附表规定检查投标文件的密封情况；</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（5）按照投标人须知前附表的规定确定并宣布投标文件开标顺序；</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 xml:space="preserve">6）设有标底的，公布标底；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（7）按照宣布的开标顺序当众开标，公布投标人名称、标段名称、投标保证金的递交情况</w:t>
      </w:r>
      <w:r>
        <w:rPr>
          <w:rFonts w:hint="eastAsia" w:asciiTheme="minorEastAsia" w:hAnsiTheme="minorEastAsia" w:eastAsiaTheme="minorEastAsia" w:cstheme="minorEastAsia"/>
          <w:color w:val="auto"/>
          <w:sz w:val="24"/>
          <w:szCs w:val="24"/>
          <w:highlight w:val="none"/>
          <w:lang w:bidi="ar"/>
        </w:rPr>
        <w:t>，评标委</w:t>
      </w:r>
      <w:r>
        <w:rPr>
          <w:rFonts w:asciiTheme="minorEastAsia" w:hAnsiTheme="minorEastAsia" w:eastAsiaTheme="minorEastAsia" w:cstheme="minorEastAsia"/>
          <w:color w:val="auto"/>
          <w:sz w:val="24"/>
          <w:szCs w:val="24"/>
          <w:highlight w:val="none"/>
          <w:lang w:bidi="ar"/>
        </w:rPr>
        <w:t xml:space="preserve"> </w:t>
      </w:r>
      <w:r>
        <w:rPr>
          <w:rFonts w:hint="eastAsia" w:asciiTheme="minorEastAsia" w:hAnsiTheme="minorEastAsia" w:eastAsiaTheme="minorEastAsia" w:cstheme="minorEastAsia"/>
          <w:color w:val="auto"/>
          <w:sz w:val="24"/>
          <w:szCs w:val="24"/>
          <w:highlight w:val="none"/>
          <w:lang w:bidi="ar"/>
        </w:rPr>
        <w:t>员会先对投标人进行资格审查</w:t>
      </w:r>
      <w:r>
        <w:rPr>
          <w:rFonts w:hint="eastAsia" w:asciiTheme="minorEastAsia" w:hAnsiTheme="minorEastAsia" w:eastAsiaTheme="minorEastAsia" w:cstheme="minorEastAsia"/>
          <w:color w:val="auto"/>
          <w:sz w:val="24"/>
          <w:szCs w:val="24"/>
          <w:highlight w:val="none"/>
        </w:rPr>
        <w:t>；</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8）启封技术标，由评标委员会对投标人的技术标进行综合评议并打分，宣布各投标人技术标得</w:t>
      </w:r>
      <w:r>
        <w:rPr>
          <w:rFonts w:hint="eastAsia" w:asciiTheme="minorEastAsia" w:hAnsiTheme="minorEastAsia" w:eastAsiaTheme="minorEastAsia" w:cstheme="minorEastAsia"/>
          <w:color w:val="auto"/>
          <w:sz w:val="24"/>
          <w:szCs w:val="24"/>
          <w:highlight w:val="none"/>
          <w:lang w:bidi="ar"/>
        </w:rPr>
        <w:t>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9）启封商务标，评标委员会对商务标进行评议并计算得分，宣布商务标得分；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10）宣布各投标人总得分，宣布中标候选人；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（11）投标人代表（投标人不需签字确认）、招标人代表、监标人、记录人等有关人员在开标记录上签字确认；</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bidi="ar"/>
        </w:rPr>
        <w:t>根据招标人要求，公证员对开标评标全过程进行公证</w:t>
      </w:r>
      <w:r>
        <w:rPr>
          <w:rFonts w:hint="eastAsia" w:asciiTheme="minorEastAsia" w:hAnsiTheme="minorEastAsia" w:eastAsiaTheme="minorEastAsia" w:cstheme="minorEastAsia"/>
          <w:color w:val="auto"/>
          <w:sz w:val="24"/>
          <w:szCs w:val="24"/>
          <w:highlight w:val="none"/>
        </w:rPr>
        <w:t>。</w:t>
      </w:r>
    </w:p>
    <w:p>
      <w:pPr>
        <w:pStyle w:val="46"/>
        <w:spacing w:line="440" w:lineRule="exact"/>
        <w:rPr>
          <w:rFonts w:asciiTheme="minorEastAsia" w:hAnsiTheme="minorEastAsia" w:eastAsiaTheme="minorEastAsia" w:cstheme="minorEastAsia"/>
          <w:b/>
          <w:color w:val="auto"/>
          <w:szCs w:val="24"/>
          <w:highlight w:val="none"/>
        </w:rPr>
      </w:pPr>
      <w:bookmarkStart w:id="235" w:name="_Toc392345939"/>
      <w:bookmarkStart w:id="236" w:name="_Toc624"/>
      <w:r>
        <w:rPr>
          <w:rFonts w:hint="eastAsia" w:asciiTheme="minorEastAsia" w:hAnsiTheme="minorEastAsia" w:eastAsiaTheme="minorEastAsia" w:cstheme="minorEastAsia"/>
          <w:b/>
          <w:color w:val="auto"/>
          <w:szCs w:val="24"/>
          <w:highlight w:val="none"/>
        </w:rPr>
        <w:t>5.3 开标异议</w:t>
      </w:r>
      <w:bookmarkEnd w:id="234"/>
      <w:bookmarkEnd w:id="235"/>
      <w:bookmarkEnd w:id="236"/>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投标人对开标有异议的，应当在开标现场提出，招标人当场作出答复，并制作记录。</w:t>
      </w:r>
    </w:p>
    <w:p>
      <w:pPr>
        <w:pStyle w:val="45"/>
        <w:spacing w:line="440" w:lineRule="exact"/>
        <w:rPr>
          <w:rFonts w:asciiTheme="minorEastAsia" w:hAnsiTheme="minorEastAsia" w:eastAsiaTheme="minorEastAsia" w:cstheme="minorEastAsia"/>
          <w:color w:val="auto"/>
          <w:sz w:val="24"/>
          <w:szCs w:val="24"/>
          <w:highlight w:val="none"/>
        </w:rPr>
      </w:pPr>
      <w:bookmarkStart w:id="237" w:name="_Toc229646744"/>
      <w:bookmarkStart w:id="238" w:name="_Toc21142"/>
      <w:bookmarkStart w:id="239" w:name="_Toc392345940"/>
      <w:r>
        <w:rPr>
          <w:rFonts w:hint="eastAsia" w:asciiTheme="minorEastAsia" w:hAnsiTheme="minorEastAsia" w:eastAsiaTheme="minorEastAsia" w:cstheme="minorEastAsia"/>
          <w:color w:val="auto"/>
          <w:sz w:val="24"/>
          <w:szCs w:val="24"/>
          <w:highlight w:val="none"/>
        </w:rPr>
        <w:t>6. 评标</w:t>
      </w:r>
      <w:bookmarkEnd w:id="231"/>
      <w:bookmarkEnd w:id="232"/>
      <w:bookmarkEnd w:id="233"/>
      <w:bookmarkEnd w:id="237"/>
      <w:bookmarkEnd w:id="238"/>
      <w:bookmarkEnd w:id="239"/>
    </w:p>
    <w:p>
      <w:pPr>
        <w:pStyle w:val="46"/>
        <w:spacing w:line="440" w:lineRule="exact"/>
        <w:rPr>
          <w:rFonts w:asciiTheme="minorEastAsia" w:hAnsiTheme="minorEastAsia" w:eastAsiaTheme="minorEastAsia" w:cstheme="minorEastAsia"/>
          <w:b/>
          <w:color w:val="auto"/>
          <w:szCs w:val="24"/>
          <w:highlight w:val="none"/>
        </w:rPr>
      </w:pPr>
      <w:bookmarkStart w:id="240" w:name="_Toc229646745"/>
      <w:bookmarkStart w:id="241" w:name="_Toc152042339"/>
      <w:bookmarkStart w:id="242" w:name="_Toc7251"/>
      <w:bookmarkStart w:id="243" w:name="_Toc152045563"/>
      <w:bookmarkStart w:id="244" w:name="_Toc392345941"/>
      <w:bookmarkStart w:id="245" w:name="_Toc144974531"/>
      <w:r>
        <w:rPr>
          <w:rFonts w:hint="eastAsia" w:asciiTheme="minorEastAsia" w:hAnsiTheme="minorEastAsia" w:eastAsiaTheme="minorEastAsia" w:cstheme="minorEastAsia"/>
          <w:b/>
          <w:color w:val="auto"/>
          <w:szCs w:val="24"/>
          <w:highlight w:val="none"/>
        </w:rPr>
        <w:t>6.1 评标委员会</w:t>
      </w:r>
      <w:bookmarkEnd w:id="240"/>
      <w:bookmarkEnd w:id="241"/>
      <w:bookmarkEnd w:id="242"/>
      <w:bookmarkEnd w:id="243"/>
      <w:bookmarkEnd w:id="244"/>
      <w:bookmarkEnd w:id="245"/>
    </w:p>
    <w:p>
      <w:pPr>
        <w:ind w:firstLine="480" w:firstLineChars="200"/>
        <w:rPr>
          <w:rFonts w:asciiTheme="minorEastAsia" w:hAnsiTheme="minorEastAsia" w:eastAsiaTheme="minorEastAsia" w:cstheme="minorEastAsia"/>
          <w:color w:val="auto"/>
          <w:sz w:val="24"/>
          <w:szCs w:val="24"/>
          <w:highlight w:val="none"/>
        </w:rPr>
      </w:pPr>
      <w:bookmarkStart w:id="246" w:name="_Toc152045564"/>
      <w:bookmarkStart w:id="247" w:name="_Toc144974532"/>
      <w:bookmarkStart w:id="248" w:name="_Toc229646746"/>
      <w:bookmarkStart w:id="249" w:name="_Toc152042340"/>
      <w:r>
        <w:rPr>
          <w:rFonts w:hint="eastAsia" w:asciiTheme="minorEastAsia" w:hAnsiTheme="minorEastAsia" w:eastAsiaTheme="minorEastAsia" w:cstheme="minorEastAsia"/>
          <w:color w:val="auto"/>
          <w:sz w:val="24"/>
          <w:szCs w:val="24"/>
          <w:highlight w:val="none"/>
        </w:rPr>
        <w:t>6.1.1 评标由招标人依法组建的评标委员会负责。评标委员会成员人数以及技术、经济等方面专家的确定方式见投标人须知前附表。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 评标委员会成员有下列情形之一的，应当回避：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（1）招标人或投标人的主要负责人的近亲属；</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（2）项目主管部门或者行政监督部门的人员；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（3）与投标人有经济利益关系，可能影响对投标公正评审的；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（4）曾因在招标、评标以及其他与招标投标有关活动中从事违法行为而受过行政处罚或刑事处罚的。</w:t>
      </w:r>
    </w:p>
    <w:p>
      <w:pPr>
        <w:pStyle w:val="46"/>
        <w:tabs>
          <w:tab w:val="left" w:pos="2620"/>
        </w:tabs>
        <w:spacing w:line="440" w:lineRule="exact"/>
        <w:rPr>
          <w:rFonts w:asciiTheme="minorEastAsia" w:hAnsiTheme="minorEastAsia" w:eastAsiaTheme="minorEastAsia" w:cstheme="minorEastAsia"/>
          <w:b/>
          <w:color w:val="auto"/>
          <w:szCs w:val="24"/>
          <w:highlight w:val="none"/>
        </w:rPr>
      </w:pPr>
      <w:bookmarkStart w:id="250" w:name="_Toc28610"/>
      <w:bookmarkStart w:id="251" w:name="_Toc392345942"/>
      <w:r>
        <w:rPr>
          <w:rFonts w:hint="eastAsia" w:asciiTheme="minorEastAsia" w:hAnsiTheme="minorEastAsia" w:eastAsiaTheme="minorEastAsia" w:cstheme="minorEastAsia"/>
          <w:b/>
          <w:color w:val="auto"/>
          <w:szCs w:val="24"/>
          <w:highlight w:val="none"/>
        </w:rPr>
        <w:t>6.2 评标原则</w:t>
      </w:r>
      <w:bookmarkEnd w:id="246"/>
      <w:bookmarkEnd w:id="247"/>
      <w:bookmarkEnd w:id="248"/>
      <w:bookmarkEnd w:id="249"/>
      <w:bookmarkEnd w:id="250"/>
      <w:bookmarkEnd w:id="251"/>
      <w:r>
        <w:rPr>
          <w:rFonts w:hint="eastAsia" w:asciiTheme="minorEastAsia" w:hAnsiTheme="minorEastAsia" w:eastAsiaTheme="minorEastAsia" w:cstheme="minorEastAsia"/>
          <w:b/>
          <w:color w:val="auto"/>
          <w:szCs w:val="24"/>
          <w:highlight w:val="none"/>
        </w:rPr>
        <w:tab/>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pPr>
        <w:pStyle w:val="46"/>
        <w:spacing w:line="440" w:lineRule="exact"/>
        <w:rPr>
          <w:rFonts w:asciiTheme="minorEastAsia" w:hAnsiTheme="minorEastAsia" w:eastAsiaTheme="minorEastAsia" w:cstheme="minorEastAsia"/>
          <w:b/>
          <w:color w:val="auto"/>
          <w:szCs w:val="24"/>
          <w:highlight w:val="none"/>
          <w:u w:val="single"/>
        </w:rPr>
      </w:pPr>
      <w:bookmarkStart w:id="252" w:name="_Toc392345943"/>
      <w:bookmarkStart w:id="253" w:name="_Toc1522"/>
      <w:bookmarkStart w:id="254" w:name="_Toc152045565"/>
      <w:bookmarkStart w:id="255" w:name="_Toc152042341"/>
      <w:bookmarkStart w:id="256" w:name="_Toc229646747"/>
      <w:bookmarkStart w:id="257" w:name="_Toc144974533"/>
      <w:r>
        <w:rPr>
          <w:rFonts w:hint="eastAsia" w:asciiTheme="minorEastAsia" w:hAnsiTheme="minorEastAsia" w:eastAsiaTheme="minorEastAsia" w:cstheme="minorEastAsia"/>
          <w:b/>
          <w:color w:val="auto"/>
          <w:szCs w:val="24"/>
          <w:highlight w:val="none"/>
        </w:rPr>
        <w:t>6.3 评标</w:t>
      </w:r>
      <w:bookmarkEnd w:id="252"/>
      <w:bookmarkEnd w:id="253"/>
      <w:bookmarkEnd w:id="254"/>
      <w:bookmarkEnd w:id="255"/>
      <w:bookmarkEnd w:id="256"/>
      <w:bookmarkEnd w:id="257"/>
    </w:p>
    <w:p>
      <w:pPr>
        <w:ind w:firstLine="480" w:firstLineChars="200"/>
        <w:rPr>
          <w:rFonts w:asciiTheme="minorEastAsia" w:hAnsiTheme="minorEastAsia" w:eastAsiaTheme="minorEastAsia" w:cstheme="minorEastAsia"/>
          <w:color w:val="auto"/>
          <w:sz w:val="24"/>
          <w:szCs w:val="24"/>
          <w:highlight w:val="none"/>
        </w:rPr>
      </w:pPr>
      <w:bookmarkStart w:id="258" w:name="_Toc152045566"/>
      <w:bookmarkStart w:id="259" w:name="_Toc144974534"/>
      <w:bookmarkStart w:id="260" w:name="_Toc152042342"/>
      <w:bookmarkStart w:id="261" w:name="_Toc229646748"/>
      <w:r>
        <w:rPr>
          <w:rFonts w:hint="eastAsia" w:asciiTheme="minorEastAsia" w:hAnsiTheme="minorEastAsia" w:eastAsiaTheme="minorEastAsia" w:cstheme="minorEastAsia"/>
          <w:color w:val="auto"/>
          <w:sz w:val="24"/>
          <w:szCs w:val="24"/>
          <w:highlight w:val="none"/>
        </w:rPr>
        <w:t>评标方法见投标人须知前附表，评标委员会按照招标文件规定的评标标准和方法，客观、公正地对投标文件提出评审意见。招标文件没有规定的评标标准和方法，不作为评标依据。</w:t>
      </w:r>
    </w:p>
    <w:p>
      <w:pPr>
        <w:pStyle w:val="46"/>
        <w:spacing w:line="440" w:lineRule="exact"/>
        <w:rPr>
          <w:rFonts w:asciiTheme="minorEastAsia" w:hAnsiTheme="minorEastAsia" w:eastAsiaTheme="minorEastAsia" w:cstheme="minorEastAsia"/>
          <w:b/>
          <w:color w:val="auto"/>
          <w:szCs w:val="24"/>
          <w:highlight w:val="none"/>
        </w:rPr>
      </w:pPr>
      <w:bookmarkStart w:id="262" w:name="_Toc413488678"/>
      <w:bookmarkStart w:id="263" w:name="_Toc27286"/>
      <w:r>
        <w:rPr>
          <w:rFonts w:hint="eastAsia" w:asciiTheme="minorEastAsia" w:hAnsiTheme="minorEastAsia" w:eastAsiaTheme="minorEastAsia" w:cstheme="minorEastAsia"/>
          <w:b/>
          <w:color w:val="auto"/>
          <w:szCs w:val="24"/>
          <w:highlight w:val="none"/>
        </w:rPr>
        <w:t>6.4中标候选人公示媒介</w:t>
      </w:r>
      <w:bookmarkEnd w:id="262"/>
      <w:bookmarkEnd w:id="26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见投标人须知前附表。</w:t>
      </w:r>
    </w:p>
    <w:p>
      <w:pPr>
        <w:pStyle w:val="45"/>
        <w:spacing w:line="440" w:lineRule="exact"/>
        <w:rPr>
          <w:rFonts w:asciiTheme="minorEastAsia" w:hAnsiTheme="minorEastAsia" w:eastAsiaTheme="minorEastAsia" w:cstheme="minorEastAsia"/>
          <w:color w:val="auto"/>
          <w:sz w:val="24"/>
          <w:szCs w:val="24"/>
          <w:highlight w:val="none"/>
        </w:rPr>
      </w:pPr>
      <w:bookmarkStart w:id="264" w:name="_Toc31997"/>
      <w:bookmarkStart w:id="265" w:name="_Toc392345944"/>
      <w:r>
        <w:rPr>
          <w:rFonts w:hint="eastAsia" w:asciiTheme="minorEastAsia" w:hAnsiTheme="minorEastAsia" w:eastAsiaTheme="minorEastAsia" w:cstheme="minorEastAsia"/>
          <w:color w:val="auto"/>
          <w:sz w:val="24"/>
          <w:szCs w:val="24"/>
          <w:highlight w:val="none"/>
        </w:rPr>
        <w:t>7. 合同授予</w:t>
      </w:r>
      <w:bookmarkEnd w:id="258"/>
      <w:bookmarkEnd w:id="259"/>
      <w:bookmarkEnd w:id="260"/>
      <w:bookmarkEnd w:id="261"/>
      <w:bookmarkEnd w:id="264"/>
      <w:bookmarkEnd w:id="265"/>
    </w:p>
    <w:p>
      <w:pPr>
        <w:pStyle w:val="46"/>
        <w:spacing w:line="440" w:lineRule="exact"/>
        <w:rPr>
          <w:rFonts w:asciiTheme="minorEastAsia" w:hAnsiTheme="minorEastAsia" w:eastAsiaTheme="minorEastAsia" w:cstheme="minorEastAsia"/>
          <w:b/>
          <w:color w:val="auto"/>
          <w:szCs w:val="24"/>
          <w:highlight w:val="none"/>
        </w:rPr>
      </w:pPr>
      <w:bookmarkStart w:id="266" w:name="_Toc152042343"/>
      <w:bookmarkStart w:id="267" w:name="_Toc8962"/>
      <w:bookmarkStart w:id="268" w:name="_Toc144974535"/>
      <w:bookmarkStart w:id="269" w:name="_Toc229646749"/>
      <w:bookmarkStart w:id="270" w:name="_Toc152045567"/>
      <w:bookmarkStart w:id="271" w:name="_Toc392345945"/>
      <w:r>
        <w:rPr>
          <w:rFonts w:hint="eastAsia" w:asciiTheme="minorEastAsia" w:hAnsiTheme="minorEastAsia" w:eastAsiaTheme="minorEastAsia" w:cstheme="minorEastAsia"/>
          <w:b/>
          <w:color w:val="auto"/>
          <w:szCs w:val="24"/>
          <w:highlight w:val="none"/>
        </w:rPr>
        <w:t>7.1 定标方式</w:t>
      </w:r>
      <w:bookmarkEnd w:id="266"/>
      <w:bookmarkEnd w:id="267"/>
      <w:bookmarkEnd w:id="268"/>
      <w:bookmarkEnd w:id="269"/>
      <w:bookmarkEnd w:id="270"/>
      <w:bookmarkEnd w:id="271"/>
    </w:p>
    <w:p>
      <w:pPr>
        <w:ind w:firstLine="480" w:firstLineChars="200"/>
        <w:rPr>
          <w:rFonts w:asciiTheme="minorEastAsia" w:hAnsiTheme="minorEastAsia" w:eastAsiaTheme="minorEastAsia" w:cstheme="minorEastAsia"/>
          <w:color w:val="auto"/>
          <w:sz w:val="24"/>
          <w:szCs w:val="24"/>
          <w:highlight w:val="none"/>
        </w:rPr>
      </w:pPr>
      <w:bookmarkStart w:id="272" w:name="_Toc152042344"/>
      <w:bookmarkStart w:id="273" w:name="_Toc144974536"/>
      <w:bookmarkStart w:id="274" w:name="_Toc152045568"/>
      <w:bookmarkStart w:id="275" w:name="_Toc229646750"/>
      <w:r>
        <w:rPr>
          <w:rFonts w:hint="eastAsia" w:asciiTheme="minorEastAsia" w:hAnsiTheme="minorEastAsia" w:eastAsiaTheme="minorEastAsia" w:cstheme="minorEastAsia"/>
          <w:color w:val="auto"/>
          <w:sz w:val="24"/>
          <w:szCs w:val="24"/>
          <w:highlight w:val="none"/>
        </w:rPr>
        <w:t>除投标人须知前附表规定评标委员会直接确定中标人外，招标人依据评标委员会推荐的中标候选人确定中标人，评标委员会推荐中标候选人的人数及定标方式见投标人须知前附表。</w:t>
      </w:r>
    </w:p>
    <w:p>
      <w:pPr>
        <w:pStyle w:val="46"/>
        <w:spacing w:line="440" w:lineRule="exact"/>
        <w:rPr>
          <w:rFonts w:asciiTheme="minorEastAsia" w:hAnsiTheme="minorEastAsia" w:eastAsiaTheme="minorEastAsia" w:cstheme="minorEastAsia"/>
          <w:b/>
          <w:color w:val="auto"/>
          <w:szCs w:val="24"/>
          <w:highlight w:val="none"/>
        </w:rPr>
      </w:pPr>
      <w:bookmarkStart w:id="276" w:name="_Toc392345946"/>
      <w:bookmarkStart w:id="277" w:name="_Toc32437"/>
      <w:r>
        <w:rPr>
          <w:rFonts w:hint="eastAsia" w:asciiTheme="minorEastAsia" w:hAnsiTheme="minorEastAsia" w:eastAsiaTheme="minorEastAsia" w:cstheme="minorEastAsia"/>
          <w:b/>
          <w:color w:val="auto"/>
          <w:szCs w:val="24"/>
          <w:highlight w:val="none"/>
        </w:rPr>
        <w:t>7.2中标公示</w:t>
      </w:r>
      <w:bookmarkEnd w:id="272"/>
      <w:bookmarkEnd w:id="273"/>
      <w:bookmarkEnd w:id="274"/>
      <w:bookmarkEnd w:id="275"/>
      <w:bookmarkEnd w:id="276"/>
      <w:bookmarkEnd w:id="277"/>
    </w:p>
    <w:p>
      <w:pPr>
        <w:ind w:firstLine="480" w:firstLineChars="200"/>
        <w:rPr>
          <w:rFonts w:asciiTheme="minorEastAsia" w:hAnsiTheme="minorEastAsia" w:eastAsiaTheme="minorEastAsia" w:cstheme="minorEastAsia"/>
          <w:color w:val="auto"/>
          <w:sz w:val="24"/>
          <w:szCs w:val="24"/>
          <w:highlight w:val="none"/>
        </w:rPr>
      </w:pPr>
      <w:bookmarkStart w:id="278" w:name="_Toc229646751"/>
      <w:bookmarkStart w:id="279" w:name="_Toc152042345"/>
      <w:bookmarkStart w:id="280" w:name="_Toc152045569"/>
      <w:bookmarkStart w:id="281" w:name="_Toc144974537"/>
      <w:r>
        <w:rPr>
          <w:rFonts w:hint="eastAsia" w:asciiTheme="minorEastAsia" w:hAnsiTheme="minorEastAsia" w:eastAsiaTheme="minorEastAsia" w:cstheme="minorEastAsia"/>
          <w:color w:val="auto"/>
          <w:sz w:val="24"/>
          <w:szCs w:val="24"/>
          <w:highlight w:val="none"/>
        </w:rPr>
        <w:t>招标人自确定中标候选人之日起，应在与发布招标公告或资格预审公告一致的媒介上发布中标公示 ，公示期为3个工作日。</w:t>
      </w:r>
    </w:p>
    <w:bookmarkEnd w:id="278"/>
    <w:bookmarkEnd w:id="279"/>
    <w:bookmarkEnd w:id="280"/>
    <w:bookmarkEnd w:id="281"/>
    <w:p>
      <w:pPr>
        <w:pStyle w:val="46"/>
        <w:spacing w:line="440" w:lineRule="exact"/>
        <w:rPr>
          <w:rFonts w:asciiTheme="minorEastAsia" w:hAnsiTheme="minorEastAsia" w:eastAsiaTheme="minorEastAsia" w:cstheme="minorEastAsia"/>
          <w:b/>
          <w:color w:val="auto"/>
          <w:szCs w:val="24"/>
          <w:highlight w:val="none"/>
        </w:rPr>
      </w:pPr>
      <w:bookmarkStart w:id="282" w:name="_Toc4618"/>
      <w:bookmarkStart w:id="283" w:name="_Toc392345947"/>
      <w:bookmarkStart w:id="284" w:name="_Toc179632586"/>
      <w:bookmarkStart w:id="285" w:name="_Toc246996212"/>
      <w:bookmarkStart w:id="286" w:name="_Toc247085726"/>
      <w:bookmarkStart w:id="287" w:name="_Toc296602458"/>
      <w:bookmarkStart w:id="288" w:name="_Toc246996955"/>
      <w:r>
        <w:rPr>
          <w:rFonts w:hint="eastAsia" w:asciiTheme="minorEastAsia" w:hAnsiTheme="minorEastAsia" w:eastAsiaTheme="minorEastAsia" w:cstheme="minorEastAsia"/>
          <w:b/>
          <w:color w:val="auto"/>
          <w:szCs w:val="24"/>
          <w:highlight w:val="none"/>
        </w:rPr>
        <w:t>7.3 中标通知</w:t>
      </w:r>
      <w:bookmarkEnd w:id="282"/>
      <w:bookmarkEnd w:id="283"/>
      <w:bookmarkEnd w:id="284"/>
      <w:bookmarkEnd w:id="285"/>
      <w:bookmarkEnd w:id="286"/>
      <w:bookmarkEnd w:id="287"/>
      <w:bookmarkEnd w:id="288"/>
    </w:p>
    <w:p>
      <w:pPr>
        <w:pStyle w:val="7"/>
        <w:ind w:firstLine="480"/>
        <w:rPr>
          <w:rFonts w:asciiTheme="minorEastAsia" w:hAnsiTheme="minorEastAsia" w:eastAsiaTheme="minorEastAsia" w:cstheme="minorEastAsia"/>
          <w:color w:val="auto"/>
          <w:sz w:val="24"/>
          <w:szCs w:val="24"/>
          <w:highlight w:val="none"/>
        </w:rPr>
      </w:pPr>
      <w:bookmarkStart w:id="289" w:name="_Toc296602459"/>
      <w:bookmarkStart w:id="290" w:name="_Toc179632587"/>
      <w:bookmarkStart w:id="291" w:name="_Toc392345948"/>
      <w:bookmarkStart w:id="292" w:name="_Toc246996956"/>
      <w:bookmarkStart w:id="293" w:name="_Toc246996213"/>
      <w:bookmarkStart w:id="294" w:name="_Toc247085727"/>
      <w:r>
        <w:rPr>
          <w:rFonts w:hint="eastAsia" w:asciiTheme="minorEastAsia" w:hAnsiTheme="minorEastAsia" w:eastAsiaTheme="minorEastAsia" w:cstheme="minorEastAsia"/>
          <w:color w:val="auto"/>
          <w:sz w:val="24"/>
          <w:szCs w:val="24"/>
          <w:highlight w:val="none"/>
        </w:rPr>
        <w:t>7.3.1中标人确定后，招标人将在投标有效期内以书面形式向中标人发出中标通知书。</w:t>
      </w:r>
    </w:p>
    <w:p>
      <w:pPr>
        <w:pStyle w:val="7"/>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7.3.2招标人将在发出中标通知书的同时，将中标结果以书面形式通知所有未中标的投标人。</w:t>
      </w:r>
    </w:p>
    <w:p>
      <w:pPr>
        <w:pStyle w:val="46"/>
        <w:spacing w:line="440" w:lineRule="exact"/>
        <w:rPr>
          <w:rFonts w:asciiTheme="minorEastAsia" w:hAnsiTheme="minorEastAsia" w:eastAsiaTheme="minorEastAsia" w:cstheme="minorEastAsia"/>
          <w:b/>
          <w:color w:val="auto"/>
          <w:szCs w:val="24"/>
          <w:highlight w:val="none"/>
        </w:rPr>
      </w:pPr>
      <w:bookmarkStart w:id="295" w:name="_Toc30125"/>
      <w:r>
        <w:rPr>
          <w:rFonts w:hint="eastAsia" w:asciiTheme="minorEastAsia" w:hAnsiTheme="minorEastAsia" w:eastAsiaTheme="minorEastAsia" w:cstheme="minorEastAsia"/>
          <w:b/>
          <w:color w:val="auto"/>
          <w:szCs w:val="24"/>
          <w:highlight w:val="none"/>
        </w:rPr>
        <w:t>7.4 履约担保</w:t>
      </w:r>
      <w:bookmarkEnd w:id="289"/>
      <w:bookmarkEnd w:id="290"/>
      <w:bookmarkEnd w:id="291"/>
      <w:bookmarkEnd w:id="292"/>
      <w:bookmarkEnd w:id="293"/>
      <w:bookmarkEnd w:id="294"/>
      <w:bookmarkEnd w:id="295"/>
    </w:p>
    <w:p>
      <w:pPr>
        <w:ind w:firstLine="480" w:firstLineChars="200"/>
        <w:rPr>
          <w:rFonts w:asciiTheme="minorEastAsia" w:hAnsiTheme="minorEastAsia" w:eastAsiaTheme="minorEastAsia" w:cstheme="minorEastAsia"/>
          <w:color w:val="auto"/>
          <w:sz w:val="24"/>
          <w:szCs w:val="24"/>
          <w:highlight w:val="none"/>
        </w:rPr>
      </w:pPr>
      <w:bookmarkStart w:id="296" w:name="_Toc296602460"/>
      <w:bookmarkStart w:id="297" w:name="_Toc246996214"/>
      <w:bookmarkStart w:id="298" w:name="_Toc179632588"/>
      <w:bookmarkStart w:id="299" w:name="_Toc247085728"/>
      <w:bookmarkStart w:id="300" w:name="_Toc246996957"/>
      <w:bookmarkStart w:id="301" w:name="_Toc144974538"/>
      <w:bookmarkStart w:id="302" w:name="_Toc152045570"/>
      <w:bookmarkStart w:id="303" w:name="_Toc152042346"/>
      <w:r>
        <w:rPr>
          <w:rFonts w:hint="eastAsia" w:asciiTheme="minorEastAsia" w:hAnsiTheme="minorEastAsia" w:eastAsiaTheme="minorEastAsia" w:cstheme="minorEastAsia"/>
          <w:color w:val="auto"/>
          <w:sz w:val="24"/>
          <w:szCs w:val="24"/>
          <w:highlight w:val="none"/>
        </w:rPr>
        <w:t>7.4.1在签订合同前，中标人应按投标人须知前附表规定的金额、担保形式和招标文件第四章“合同条款及格式”规定的履约担保格式向招标人提交履约担保。</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7.4.2 中标人不能按本章第7.4.1项要求提交履约担保的，视为放弃中标，其投标保证金不予退还，给招标人造成的损失超过投标保证金数额的，中标人还应当对超过部分予以赔偿。</w:t>
      </w:r>
    </w:p>
    <w:p>
      <w:pPr>
        <w:pStyle w:val="46"/>
        <w:spacing w:line="440" w:lineRule="exact"/>
        <w:rPr>
          <w:rFonts w:asciiTheme="minorEastAsia" w:hAnsiTheme="minorEastAsia" w:eastAsiaTheme="minorEastAsia" w:cstheme="minorEastAsia"/>
          <w:b/>
          <w:color w:val="auto"/>
          <w:szCs w:val="24"/>
          <w:highlight w:val="none"/>
        </w:rPr>
      </w:pPr>
      <w:bookmarkStart w:id="304" w:name="_Toc32528"/>
      <w:bookmarkStart w:id="305" w:name="_Toc392345949"/>
      <w:r>
        <w:rPr>
          <w:rFonts w:hint="eastAsia" w:asciiTheme="minorEastAsia" w:hAnsiTheme="minorEastAsia" w:eastAsiaTheme="minorEastAsia" w:cstheme="minorEastAsia"/>
          <w:b/>
          <w:color w:val="auto"/>
          <w:szCs w:val="24"/>
          <w:highlight w:val="none"/>
        </w:rPr>
        <w:t>7.5 签订合同</w:t>
      </w:r>
      <w:bookmarkEnd w:id="296"/>
      <w:bookmarkEnd w:id="297"/>
      <w:bookmarkEnd w:id="298"/>
      <w:bookmarkEnd w:id="299"/>
      <w:bookmarkEnd w:id="300"/>
      <w:bookmarkEnd w:id="301"/>
      <w:bookmarkEnd w:id="302"/>
      <w:bookmarkEnd w:id="303"/>
      <w:bookmarkEnd w:id="304"/>
      <w:bookmarkEnd w:id="30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7.5.2 发出中标通知书后，招标人无正当理由拒签合同的，招标人向中标人退还投标保证金；给中标人造成损失的，还应当赔偿损失。</w:t>
      </w:r>
    </w:p>
    <w:p>
      <w:pPr>
        <w:pStyle w:val="45"/>
        <w:spacing w:line="440" w:lineRule="exact"/>
        <w:rPr>
          <w:rFonts w:asciiTheme="minorEastAsia" w:hAnsiTheme="minorEastAsia" w:eastAsiaTheme="minorEastAsia" w:cstheme="minorEastAsia"/>
          <w:color w:val="auto"/>
          <w:sz w:val="24"/>
          <w:szCs w:val="24"/>
          <w:highlight w:val="none"/>
        </w:rPr>
      </w:pPr>
      <w:bookmarkStart w:id="306" w:name="_Toc392345950"/>
      <w:bookmarkStart w:id="307" w:name="_Toc24179"/>
      <w:bookmarkStart w:id="308" w:name="_Toc323711786"/>
      <w:bookmarkStart w:id="309" w:name="_Toc152042347"/>
      <w:bookmarkStart w:id="310" w:name="_Toc245036638"/>
      <w:bookmarkStart w:id="311" w:name="_Toc144974539"/>
      <w:bookmarkStart w:id="312" w:name="_Toc152045571"/>
      <w:r>
        <w:rPr>
          <w:rFonts w:hint="eastAsia" w:asciiTheme="minorEastAsia" w:hAnsiTheme="minorEastAsia" w:eastAsiaTheme="minorEastAsia" w:cstheme="minorEastAsia"/>
          <w:color w:val="auto"/>
          <w:sz w:val="24"/>
          <w:szCs w:val="24"/>
          <w:highlight w:val="none"/>
        </w:rPr>
        <w:t>8. 重新招标和不再招标</w:t>
      </w:r>
      <w:bookmarkEnd w:id="306"/>
      <w:bookmarkEnd w:id="307"/>
      <w:bookmarkEnd w:id="308"/>
      <w:bookmarkEnd w:id="309"/>
      <w:bookmarkEnd w:id="310"/>
      <w:bookmarkEnd w:id="311"/>
      <w:bookmarkEnd w:id="312"/>
    </w:p>
    <w:p>
      <w:pPr>
        <w:pStyle w:val="46"/>
        <w:spacing w:line="440" w:lineRule="exact"/>
        <w:rPr>
          <w:rFonts w:asciiTheme="minorEastAsia" w:hAnsiTheme="minorEastAsia" w:eastAsiaTheme="minorEastAsia" w:cstheme="minorEastAsia"/>
          <w:b/>
          <w:color w:val="auto"/>
          <w:szCs w:val="24"/>
          <w:highlight w:val="none"/>
        </w:rPr>
      </w:pPr>
      <w:bookmarkStart w:id="313" w:name="_Toc245036639"/>
      <w:bookmarkStart w:id="314" w:name="_Toc323711787"/>
      <w:bookmarkStart w:id="315" w:name="_Toc392345951"/>
      <w:bookmarkStart w:id="316" w:name="_Toc144974540"/>
      <w:bookmarkStart w:id="317" w:name="_Toc152042348"/>
      <w:bookmarkStart w:id="318" w:name="_Toc17490"/>
      <w:bookmarkStart w:id="319" w:name="_Toc322615435"/>
      <w:bookmarkStart w:id="320" w:name="_Toc152045572"/>
      <w:bookmarkStart w:id="321" w:name="_Toc319408108"/>
      <w:bookmarkStart w:id="322" w:name="_Toc319407873"/>
      <w:r>
        <w:rPr>
          <w:rFonts w:hint="eastAsia" w:asciiTheme="minorEastAsia" w:hAnsiTheme="minorEastAsia" w:eastAsiaTheme="minorEastAsia" w:cstheme="minorEastAsia"/>
          <w:b/>
          <w:color w:val="auto"/>
          <w:szCs w:val="24"/>
          <w:highlight w:val="none"/>
        </w:rPr>
        <w:t>8.1 重新招标</w:t>
      </w:r>
      <w:bookmarkEnd w:id="313"/>
      <w:bookmarkEnd w:id="314"/>
      <w:bookmarkEnd w:id="315"/>
      <w:bookmarkEnd w:id="316"/>
      <w:bookmarkEnd w:id="317"/>
      <w:bookmarkEnd w:id="318"/>
      <w:bookmarkEnd w:id="319"/>
      <w:bookmarkEnd w:id="320"/>
      <w:bookmarkEnd w:id="321"/>
      <w:bookmarkEnd w:id="32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有下列情形之一的，招标人将重新招标：</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（1）投标截止时间止，投标人少于3个的；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（2）经评标委员会评审后确定的有效投标少于</w:t>
      </w:r>
      <w:r>
        <w:rPr>
          <w:rFonts w:asciiTheme="minorEastAsia" w:hAnsiTheme="minorEastAsia" w:eastAsiaTheme="minorEastAsia" w:cstheme="minorEastAsia"/>
          <w:color w:val="auto"/>
          <w:sz w:val="24"/>
          <w:szCs w:val="24"/>
          <w:highlight w:val="none"/>
        </w:rPr>
        <w:t>3个的</w:t>
      </w:r>
      <w:r>
        <w:rPr>
          <w:rFonts w:hint="eastAsia" w:asciiTheme="minorEastAsia" w:hAnsiTheme="minorEastAsia" w:eastAsiaTheme="minorEastAsia" w:cstheme="minorEastAsia"/>
          <w:color w:val="auto"/>
          <w:sz w:val="24"/>
          <w:szCs w:val="24"/>
          <w:highlight w:val="none"/>
        </w:rPr>
        <w:t>。</w:t>
      </w:r>
    </w:p>
    <w:p>
      <w:pPr>
        <w:pStyle w:val="46"/>
        <w:spacing w:line="440" w:lineRule="exact"/>
        <w:rPr>
          <w:rFonts w:asciiTheme="minorEastAsia" w:hAnsiTheme="minorEastAsia" w:eastAsiaTheme="minorEastAsia" w:cstheme="minorEastAsia"/>
          <w:b/>
          <w:color w:val="auto"/>
          <w:szCs w:val="24"/>
          <w:highlight w:val="none"/>
        </w:rPr>
      </w:pPr>
      <w:bookmarkStart w:id="323" w:name="_Toc322615436"/>
      <w:bookmarkStart w:id="324" w:name="_Toc323711788"/>
      <w:bookmarkStart w:id="325" w:name="_Toc392345952"/>
      <w:bookmarkStart w:id="326" w:name="_Toc25234"/>
      <w:bookmarkStart w:id="327" w:name="_Toc152042349"/>
      <w:bookmarkStart w:id="328" w:name="_Toc319408109"/>
      <w:bookmarkStart w:id="329" w:name="_Toc144974541"/>
      <w:bookmarkStart w:id="330" w:name="_Toc245036640"/>
      <w:bookmarkStart w:id="331" w:name="_Toc319407874"/>
      <w:bookmarkStart w:id="332" w:name="_Toc152045573"/>
      <w:r>
        <w:rPr>
          <w:rFonts w:hint="eastAsia" w:asciiTheme="minorEastAsia" w:hAnsiTheme="minorEastAsia" w:eastAsiaTheme="minorEastAsia" w:cstheme="minorEastAsia"/>
          <w:b/>
          <w:color w:val="auto"/>
          <w:szCs w:val="24"/>
          <w:highlight w:val="none"/>
        </w:rPr>
        <w:t>8.2 不再招标</w:t>
      </w:r>
      <w:bookmarkEnd w:id="323"/>
      <w:bookmarkEnd w:id="324"/>
      <w:bookmarkEnd w:id="325"/>
      <w:bookmarkEnd w:id="326"/>
      <w:bookmarkEnd w:id="327"/>
      <w:bookmarkEnd w:id="328"/>
      <w:bookmarkEnd w:id="329"/>
      <w:bookmarkEnd w:id="330"/>
      <w:bookmarkEnd w:id="331"/>
      <w:bookmarkEnd w:id="33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重新招标后投标人仍少于3个的，经原审批或核准部门批准后不再进行招标。</w:t>
      </w:r>
    </w:p>
    <w:p>
      <w:pPr>
        <w:pStyle w:val="45"/>
        <w:spacing w:line="440" w:lineRule="exact"/>
        <w:rPr>
          <w:rFonts w:asciiTheme="minorEastAsia" w:hAnsiTheme="minorEastAsia" w:eastAsiaTheme="minorEastAsia" w:cstheme="minorEastAsia"/>
          <w:color w:val="auto"/>
          <w:sz w:val="24"/>
          <w:szCs w:val="24"/>
          <w:highlight w:val="none"/>
        </w:rPr>
      </w:pPr>
      <w:bookmarkStart w:id="333" w:name="_Toc152042350"/>
      <w:bookmarkStart w:id="334" w:name="_Toc17513"/>
      <w:bookmarkStart w:id="335" w:name="_Toc152045574"/>
      <w:bookmarkStart w:id="336" w:name="_Toc144974542"/>
      <w:bookmarkStart w:id="337" w:name="_Toc323711789"/>
      <w:bookmarkStart w:id="338" w:name="_Toc245036641"/>
      <w:bookmarkStart w:id="339" w:name="_Toc392345953"/>
      <w:r>
        <w:rPr>
          <w:rFonts w:hint="eastAsia" w:asciiTheme="minorEastAsia" w:hAnsiTheme="minorEastAsia" w:eastAsiaTheme="minorEastAsia" w:cstheme="minorEastAsia"/>
          <w:color w:val="auto"/>
          <w:sz w:val="24"/>
          <w:szCs w:val="24"/>
          <w:highlight w:val="none"/>
        </w:rPr>
        <w:t>9. 纪律和监督</w:t>
      </w:r>
      <w:bookmarkEnd w:id="333"/>
      <w:bookmarkEnd w:id="334"/>
      <w:bookmarkEnd w:id="335"/>
      <w:bookmarkEnd w:id="336"/>
      <w:bookmarkEnd w:id="337"/>
      <w:bookmarkEnd w:id="338"/>
      <w:bookmarkEnd w:id="339"/>
    </w:p>
    <w:p>
      <w:pPr>
        <w:pStyle w:val="46"/>
        <w:spacing w:line="440" w:lineRule="exact"/>
        <w:rPr>
          <w:rFonts w:asciiTheme="minorEastAsia" w:hAnsiTheme="minorEastAsia" w:eastAsiaTheme="minorEastAsia" w:cstheme="minorEastAsia"/>
          <w:b/>
          <w:color w:val="auto"/>
          <w:szCs w:val="24"/>
          <w:highlight w:val="none"/>
        </w:rPr>
      </w:pPr>
      <w:bookmarkStart w:id="340" w:name="_Toc392345954"/>
      <w:bookmarkStart w:id="341" w:name="_Toc9358"/>
      <w:bookmarkStart w:id="342" w:name="_Toc245036642"/>
      <w:bookmarkStart w:id="343" w:name="_Toc319408111"/>
      <w:bookmarkStart w:id="344" w:name="_Toc144974543"/>
      <w:bookmarkStart w:id="345" w:name="_Toc152042351"/>
      <w:bookmarkStart w:id="346" w:name="_Toc322615438"/>
      <w:bookmarkStart w:id="347" w:name="_Toc319407876"/>
      <w:bookmarkStart w:id="348" w:name="_Toc323711790"/>
      <w:bookmarkStart w:id="349" w:name="_Toc152045575"/>
      <w:r>
        <w:rPr>
          <w:rFonts w:hint="eastAsia" w:asciiTheme="minorEastAsia" w:hAnsiTheme="minorEastAsia" w:eastAsiaTheme="minorEastAsia" w:cstheme="minorEastAsia"/>
          <w:b/>
          <w:color w:val="auto"/>
          <w:szCs w:val="24"/>
          <w:highlight w:val="none"/>
        </w:rPr>
        <w:t>9.1 对招标人的纪律要求</w:t>
      </w:r>
      <w:bookmarkEnd w:id="340"/>
      <w:bookmarkEnd w:id="341"/>
      <w:bookmarkEnd w:id="342"/>
      <w:bookmarkEnd w:id="343"/>
      <w:bookmarkEnd w:id="344"/>
      <w:bookmarkEnd w:id="345"/>
      <w:bookmarkEnd w:id="346"/>
      <w:bookmarkEnd w:id="347"/>
      <w:bookmarkEnd w:id="348"/>
      <w:bookmarkEnd w:id="34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招标人不得泄漏招标投标活动中应当保密的情况和资料，不得与投标人串通损害国家利益、社会公共利益或者他人合法权益。</w:t>
      </w:r>
    </w:p>
    <w:p>
      <w:pPr>
        <w:pStyle w:val="46"/>
        <w:spacing w:line="440" w:lineRule="exact"/>
        <w:rPr>
          <w:rFonts w:asciiTheme="minorEastAsia" w:hAnsiTheme="minorEastAsia" w:eastAsiaTheme="minorEastAsia" w:cstheme="minorEastAsia"/>
          <w:b/>
          <w:color w:val="auto"/>
          <w:szCs w:val="24"/>
          <w:highlight w:val="none"/>
        </w:rPr>
      </w:pPr>
      <w:bookmarkStart w:id="350" w:name="_Toc152045576"/>
      <w:bookmarkStart w:id="351" w:name="_Toc144974544"/>
      <w:bookmarkStart w:id="352" w:name="_Toc392345955"/>
      <w:bookmarkStart w:id="353" w:name="_Toc319408112"/>
      <w:bookmarkStart w:id="354" w:name="_Toc319407877"/>
      <w:bookmarkStart w:id="355" w:name="_Toc152042352"/>
      <w:bookmarkStart w:id="356" w:name="_Toc245036643"/>
      <w:bookmarkStart w:id="357" w:name="_Toc322615439"/>
      <w:bookmarkStart w:id="358" w:name="_Toc214"/>
      <w:bookmarkStart w:id="359" w:name="_Toc323711791"/>
      <w:r>
        <w:rPr>
          <w:rFonts w:hint="eastAsia" w:asciiTheme="minorEastAsia" w:hAnsiTheme="minorEastAsia" w:eastAsiaTheme="minorEastAsia" w:cstheme="minorEastAsia"/>
          <w:b/>
          <w:color w:val="auto"/>
          <w:szCs w:val="24"/>
          <w:highlight w:val="none"/>
        </w:rPr>
        <w:t>9.2 对投标人的纪律要求</w:t>
      </w:r>
      <w:bookmarkEnd w:id="350"/>
      <w:bookmarkEnd w:id="351"/>
      <w:bookmarkEnd w:id="352"/>
      <w:bookmarkEnd w:id="353"/>
      <w:bookmarkEnd w:id="354"/>
      <w:bookmarkEnd w:id="355"/>
      <w:bookmarkEnd w:id="356"/>
      <w:bookmarkEnd w:id="357"/>
      <w:bookmarkEnd w:id="358"/>
      <w:bookmarkEnd w:id="35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6"/>
        <w:spacing w:line="440" w:lineRule="exact"/>
        <w:rPr>
          <w:rFonts w:asciiTheme="minorEastAsia" w:hAnsiTheme="minorEastAsia" w:eastAsiaTheme="minorEastAsia" w:cstheme="minorEastAsia"/>
          <w:b/>
          <w:color w:val="auto"/>
          <w:szCs w:val="24"/>
          <w:highlight w:val="none"/>
        </w:rPr>
      </w:pPr>
      <w:bookmarkStart w:id="360" w:name="_Toc323711792"/>
      <w:bookmarkStart w:id="361" w:name="_Toc152042353"/>
      <w:bookmarkStart w:id="362" w:name="_Toc322615440"/>
      <w:bookmarkStart w:id="363" w:name="_Toc392345956"/>
      <w:bookmarkStart w:id="364" w:name="_Toc144974545"/>
      <w:bookmarkStart w:id="365" w:name="_Toc3266"/>
      <w:bookmarkStart w:id="366" w:name="_Toc319407878"/>
      <w:bookmarkStart w:id="367" w:name="_Toc152045577"/>
      <w:bookmarkStart w:id="368" w:name="_Toc245036644"/>
      <w:bookmarkStart w:id="369" w:name="_Toc319408113"/>
      <w:r>
        <w:rPr>
          <w:rFonts w:hint="eastAsia" w:asciiTheme="minorEastAsia" w:hAnsiTheme="minorEastAsia" w:eastAsiaTheme="minorEastAsia" w:cstheme="minorEastAsia"/>
          <w:b/>
          <w:color w:val="auto"/>
          <w:szCs w:val="24"/>
          <w:highlight w:val="none"/>
        </w:rPr>
        <w:t>9.3 对评标委员会成员的纪律要求</w:t>
      </w:r>
      <w:bookmarkEnd w:id="360"/>
      <w:bookmarkEnd w:id="361"/>
      <w:bookmarkEnd w:id="362"/>
      <w:bookmarkEnd w:id="363"/>
      <w:bookmarkEnd w:id="364"/>
      <w:bookmarkEnd w:id="365"/>
      <w:bookmarkEnd w:id="366"/>
      <w:bookmarkEnd w:id="367"/>
      <w:bookmarkEnd w:id="368"/>
      <w:bookmarkEnd w:id="36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6"/>
        <w:spacing w:line="440" w:lineRule="exact"/>
        <w:rPr>
          <w:rFonts w:asciiTheme="minorEastAsia" w:hAnsiTheme="minorEastAsia" w:eastAsiaTheme="minorEastAsia" w:cstheme="minorEastAsia"/>
          <w:b/>
          <w:color w:val="auto"/>
          <w:szCs w:val="24"/>
          <w:highlight w:val="none"/>
        </w:rPr>
      </w:pPr>
      <w:bookmarkStart w:id="370" w:name="_Toc480"/>
      <w:bookmarkStart w:id="371" w:name="_Toc319407879"/>
      <w:bookmarkStart w:id="372" w:name="_Toc392345957"/>
      <w:bookmarkStart w:id="373" w:name="_Toc323711793"/>
      <w:bookmarkStart w:id="374" w:name="_Toc322615441"/>
      <w:bookmarkStart w:id="375" w:name="_Toc152042354"/>
      <w:bookmarkStart w:id="376" w:name="_Toc319408114"/>
      <w:bookmarkStart w:id="377" w:name="_Toc152045578"/>
      <w:bookmarkStart w:id="378" w:name="_Toc245036645"/>
      <w:bookmarkStart w:id="379" w:name="_Toc144974546"/>
      <w:r>
        <w:rPr>
          <w:rFonts w:hint="eastAsia" w:asciiTheme="minorEastAsia" w:hAnsiTheme="minorEastAsia" w:eastAsiaTheme="minorEastAsia" w:cstheme="minorEastAsia"/>
          <w:b/>
          <w:color w:val="auto"/>
          <w:szCs w:val="24"/>
          <w:highlight w:val="none"/>
        </w:rPr>
        <w:t>9.4 对与评标活动有关的工作人员的纪律要求</w:t>
      </w:r>
      <w:bookmarkEnd w:id="370"/>
      <w:bookmarkEnd w:id="371"/>
      <w:bookmarkEnd w:id="372"/>
      <w:bookmarkEnd w:id="373"/>
      <w:bookmarkEnd w:id="374"/>
      <w:bookmarkEnd w:id="375"/>
      <w:bookmarkEnd w:id="376"/>
      <w:bookmarkEnd w:id="377"/>
      <w:bookmarkEnd w:id="378"/>
    </w:p>
    <w:p>
      <w:pPr>
        <w:ind w:firstLine="480" w:firstLineChars="200"/>
        <w:rPr>
          <w:rFonts w:asciiTheme="minorEastAsia" w:hAnsiTheme="minorEastAsia" w:eastAsiaTheme="minorEastAsia" w:cstheme="minorEastAsia"/>
          <w:color w:val="auto"/>
          <w:sz w:val="24"/>
          <w:szCs w:val="24"/>
          <w:highlight w:val="none"/>
        </w:rPr>
      </w:pPr>
      <w:bookmarkStart w:id="380" w:name="_Toc152042355"/>
      <w:r>
        <w:rPr>
          <w:rFonts w:hint="eastAsia" w:asciiTheme="minorEastAsia" w:hAnsiTheme="minorEastAsia" w:eastAsiaTheme="minorEastAsia" w:cstheme="minorEastAsia"/>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80"/>
    </w:p>
    <w:p>
      <w:pPr>
        <w:pStyle w:val="46"/>
        <w:spacing w:line="440" w:lineRule="exact"/>
        <w:rPr>
          <w:rFonts w:asciiTheme="minorEastAsia" w:hAnsiTheme="minorEastAsia" w:eastAsiaTheme="minorEastAsia" w:cstheme="minorEastAsia"/>
          <w:b/>
          <w:color w:val="auto"/>
          <w:szCs w:val="24"/>
          <w:highlight w:val="none"/>
        </w:rPr>
      </w:pPr>
      <w:bookmarkStart w:id="381" w:name="_Toc319407880"/>
      <w:bookmarkStart w:id="382" w:name="_Toc152042356"/>
      <w:bookmarkStart w:id="383" w:name="_Toc322615442"/>
      <w:bookmarkStart w:id="384" w:name="_Toc392345958"/>
      <w:bookmarkStart w:id="385" w:name="_Toc323711794"/>
      <w:bookmarkStart w:id="386" w:name="_Toc319408115"/>
      <w:bookmarkStart w:id="387" w:name="_Toc245036646"/>
      <w:bookmarkStart w:id="388" w:name="_Toc152045579"/>
      <w:bookmarkStart w:id="389" w:name="_Toc9812"/>
      <w:r>
        <w:rPr>
          <w:rFonts w:hint="eastAsia" w:asciiTheme="minorEastAsia" w:hAnsiTheme="minorEastAsia" w:eastAsiaTheme="minorEastAsia" w:cstheme="minorEastAsia"/>
          <w:b/>
          <w:color w:val="auto"/>
          <w:szCs w:val="24"/>
          <w:highlight w:val="none"/>
        </w:rPr>
        <w:t>9.5</w:t>
      </w:r>
      <w:bookmarkEnd w:id="379"/>
      <w:bookmarkEnd w:id="381"/>
      <w:bookmarkEnd w:id="382"/>
      <w:bookmarkEnd w:id="383"/>
      <w:bookmarkEnd w:id="384"/>
      <w:bookmarkEnd w:id="385"/>
      <w:bookmarkEnd w:id="386"/>
      <w:bookmarkEnd w:id="387"/>
      <w:bookmarkEnd w:id="388"/>
      <w:bookmarkStart w:id="390" w:name="_Toc247085737"/>
      <w:bookmarkStart w:id="391" w:name="_Toc246996223"/>
      <w:bookmarkStart w:id="392" w:name="_Toc246996966"/>
      <w:bookmarkStart w:id="393" w:name="_Toc179632597"/>
      <w:bookmarkStart w:id="394" w:name="_Toc357955317"/>
      <w:bookmarkStart w:id="395" w:name="_Toc296602466"/>
      <w:bookmarkStart w:id="396" w:name="_Toc152045580"/>
      <w:bookmarkStart w:id="397" w:name="_Toc152042357"/>
      <w:bookmarkStart w:id="398" w:name="_Toc245036647"/>
      <w:bookmarkStart w:id="399" w:name="_Toc144974547"/>
      <w:bookmarkStart w:id="400" w:name="_Toc323711795"/>
      <w:bookmarkStart w:id="401" w:name="_Toc392345959"/>
      <w:r>
        <w:rPr>
          <w:rFonts w:hint="eastAsia" w:asciiTheme="minorEastAsia" w:hAnsiTheme="minorEastAsia" w:eastAsiaTheme="minorEastAsia" w:cstheme="minorEastAsia"/>
          <w:b/>
          <w:color w:val="auto"/>
          <w:szCs w:val="24"/>
          <w:highlight w:val="none"/>
        </w:rPr>
        <w:t>异议与投诉</w:t>
      </w:r>
      <w:bookmarkEnd w:id="389"/>
      <w:bookmarkEnd w:id="390"/>
      <w:bookmarkEnd w:id="391"/>
      <w:bookmarkEnd w:id="392"/>
      <w:bookmarkEnd w:id="393"/>
      <w:bookmarkEnd w:id="394"/>
      <w:bookmarkEnd w:id="39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rPr>
        <w:t>投标人及其他利害关系人由提出异议与投诉的权利，但应遵守国家相关法律法规的规定和本章第10.2条的要求。</w:t>
      </w:r>
    </w:p>
    <w:p>
      <w:pPr>
        <w:pStyle w:val="46"/>
        <w:spacing w:line="440" w:lineRule="exact"/>
        <w:rPr>
          <w:rFonts w:asciiTheme="minorEastAsia" w:hAnsiTheme="minorEastAsia" w:eastAsiaTheme="minorEastAsia" w:cstheme="minorEastAsia"/>
          <w:color w:val="auto"/>
          <w:szCs w:val="24"/>
          <w:highlight w:val="none"/>
        </w:rPr>
      </w:pPr>
      <w:bookmarkStart w:id="402" w:name="_Toc576"/>
      <w:r>
        <w:rPr>
          <w:rFonts w:hint="eastAsia" w:asciiTheme="minorEastAsia" w:hAnsiTheme="minorEastAsia" w:eastAsiaTheme="minorEastAsia" w:cstheme="minorEastAsia"/>
          <w:color w:val="auto"/>
          <w:szCs w:val="24"/>
          <w:highlight w:val="none"/>
        </w:rPr>
        <w:t xml:space="preserve">10. </w:t>
      </w:r>
      <w:bookmarkEnd w:id="396"/>
      <w:bookmarkEnd w:id="397"/>
      <w:bookmarkEnd w:id="398"/>
      <w:bookmarkEnd w:id="399"/>
      <w:bookmarkEnd w:id="400"/>
      <w:bookmarkEnd w:id="401"/>
      <w:r>
        <w:rPr>
          <w:rFonts w:hint="eastAsia" w:asciiTheme="minorEastAsia" w:hAnsiTheme="minorEastAsia" w:eastAsiaTheme="minorEastAsia" w:cstheme="minorEastAsia"/>
          <w:color w:val="auto"/>
          <w:szCs w:val="24"/>
          <w:highlight w:val="none"/>
        </w:rPr>
        <w:t>需要补充的其他内容</w:t>
      </w:r>
      <w:bookmarkEnd w:id="402"/>
    </w:p>
    <w:p>
      <w:pPr>
        <w:ind w:firstLine="480" w:firstLineChars="200"/>
        <w:rPr>
          <w:rFonts w:asciiTheme="minorEastAsia" w:hAnsiTheme="minorEastAsia" w:eastAsiaTheme="minorEastAsia" w:cstheme="minorEastAsia"/>
          <w:color w:val="auto"/>
          <w:sz w:val="24"/>
          <w:szCs w:val="24"/>
          <w:highlight w:val="none"/>
        </w:rPr>
      </w:pPr>
      <w:bookmarkStart w:id="403" w:name="_Toc323711796"/>
      <w:bookmarkStart w:id="404" w:name="_Toc322615444"/>
      <w:r>
        <w:rPr>
          <w:rFonts w:hint="eastAsia" w:asciiTheme="minorEastAsia" w:hAnsiTheme="minorEastAsia" w:eastAsiaTheme="minorEastAsia" w:cstheme="minorEastAsia"/>
          <w:color w:val="auto"/>
          <w:sz w:val="24"/>
          <w:szCs w:val="24"/>
          <w:highlight w:val="none"/>
        </w:rPr>
        <w:t>10.1否决投标的情形</w:t>
      </w:r>
      <w:bookmarkEnd w:id="403"/>
      <w:bookmarkEnd w:id="404"/>
      <w:r>
        <w:rPr>
          <w:rFonts w:hint="eastAsia" w:asciiTheme="minorEastAsia" w:hAnsiTheme="minorEastAsia" w:eastAsiaTheme="minorEastAsia" w:cstheme="minorEastAsia"/>
          <w:color w:val="auto"/>
          <w:sz w:val="24"/>
          <w:szCs w:val="24"/>
          <w:highlight w:val="none"/>
        </w:rPr>
        <w:t>：见投标人须知前附表</w:t>
      </w:r>
    </w:p>
    <w:p>
      <w:pPr>
        <w:ind w:firstLine="480" w:firstLineChars="200"/>
        <w:rPr>
          <w:rFonts w:asciiTheme="minorEastAsia" w:hAnsiTheme="minorEastAsia" w:eastAsiaTheme="minorEastAsia" w:cstheme="minorEastAsia"/>
          <w:color w:val="auto"/>
          <w:sz w:val="24"/>
          <w:szCs w:val="24"/>
          <w:highlight w:val="none"/>
        </w:rPr>
      </w:pPr>
      <w:bookmarkStart w:id="405" w:name="_Toc322615445"/>
      <w:bookmarkStart w:id="406" w:name="_Toc323711797"/>
      <w:r>
        <w:rPr>
          <w:rFonts w:hint="eastAsia" w:asciiTheme="minorEastAsia" w:hAnsiTheme="minorEastAsia" w:eastAsiaTheme="minorEastAsia" w:cstheme="minorEastAsia"/>
          <w:color w:val="auto"/>
          <w:sz w:val="24"/>
          <w:szCs w:val="24"/>
          <w:highlight w:val="none"/>
        </w:rPr>
        <w:t>10.2</w:t>
      </w:r>
      <w:bookmarkEnd w:id="405"/>
      <w:bookmarkEnd w:id="406"/>
      <w:r>
        <w:rPr>
          <w:rFonts w:hint="eastAsia" w:asciiTheme="minorEastAsia" w:hAnsiTheme="minorEastAsia" w:eastAsiaTheme="minorEastAsia" w:cstheme="minorEastAsia"/>
          <w:color w:val="auto"/>
          <w:sz w:val="24"/>
          <w:szCs w:val="24"/>
          <w:highlight w:val="none"/>
        </w:rPr>
        <w:t>异议与投诉：见投标人须知前附表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10.3定标：见投标人须知前附表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10.4特别说明：见投标人须知前附表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pPr>
        <w:pStyle w:val="4"/>
        <w:ind w:firstLine="482"/>
        <w:rPr>
          <w:rFonts w:asciiTheme="minorEastAsia" w:hAnsiTheme="minorEastAsia" w:eastAsiaTheme="minorEastAsia" w:cstheme="minorEastAsia"/>
          <w:color w:val="auto"/>
          <w:sz w:val="24"/>
          <w:szCs w:val="24"/>
          <w:highlight w:val="none"/>
        </w:rPr>
      </w:pPr>
      <w:bookmarkStart w:id="407" w:name="_Toc21652"/>
      <w:bookmarkStart w:id="408" w:name="_Toc413527432"/>
      <w:bookmarkStart w:id="409" w:name="_Toc184635081"/>
      <w:bookmarkStart w:id="410" w:name="_Toc323711800"/>
      <w:r>
        <w:rPr>
          <w:rFonts w:hint="eastAsia" w:asciiTheme="minorEastAsia" w:hAnsiTheme="minorEastAsia" w:eastAsiaTheme="minorEastAsia" w:cstheme="minorEastAsia"/>
          <w:color w:val="auto"/>
          <w:sz w:val="24"/>
          <w:szCs w:val="24"/>
          <w:highlight w:val="none"/>
        </w:rPr>
        <w:t>附表一：开标记录表</w:t>
      </w:r>
      <w:bookmarkEnd w:id="407"/>
      <w:r>
        <w:rPr>
          <w:rFonts w:hint="eastAsia" w:asciiTheme="minorEastAsia" w:hAnsiTheme="minorEastAsia" w:eastAsiaTheme="minorEastAsia" w:cstheme="minorEastAsia"/>
          <w:color w:val="auto"/>
          <w:sz w:val="24"/>
          <w:szCs w:val="24"/>
          <w:highlight w:val="none"/>
        </w:rPr>
        <w:t>（略）</w:t>
      </w:r>
    </w:p>
    <w:p>
      <w:pPr>
        <w:pStyle w:val="4"/>
        <w:ind w:firstLine="48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附表二：问题澄清通知</w:t>
      </w:r>
    </w:p>
    <w:p>
      <w:pPr>
        <w:rPr>
          <w:color w:val="auto"/>
          <w:highlight w:val="none"/>
        </w:rPr>
      </w:pPr>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请将上述问题的澄清于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（详细地址）或传真至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（传真号码）。采用传真方式的，应在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时前将原件递交至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w:t>
      </w: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6240" w:firstLineChars="26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6240" w:firstLineChars="2600"/>
        <w:rPr>
          <w:rFonts w:asciiTheme="minorEastAsia" w:hAnsiTheme="minorEastAsia" w:eastAsiaTheme="minorEastAsia" w:cstheme="minorEastAsia"/>
          <w:color w:val="auto"/>
          <w:sz w:val="24"/>
          <w:szCs w:val="24"/>
          <w:highlight w:val="none"/>
        </w:rPr>
        <w:sectPr>
          <w:footerReference r:id="rId4" w:type="default"/>
          <w:pgSz w:w="11906" w:h="16838"/>
          <w:pgMar w:top="1418" w:right="1134" w:bottom="1418" w:left="1134" w:header="851" w:footer="992" w:gutter="0"/>
          <w:cols w:space="720" w:num="1"/>
          <w:docGrid w:type="lines" w:linePitch="312" w:charSpace="0"/>
        </w:sectPr>
      </w:pPr>
    </w:p>
    <w:p>
      <w:pPr>
        <w:pStyle w:val="4"/>
        <w:ind w:firstLine="482"/>
        <w:rPr>
          <w:rFonts w:asciiTheme="minorEastAsia" w:hAnsiTheme="minorEastAsia" w:eastAsiaTheme="minorEastAsia" w:cstheme="minorEastAsia"/>
          <w:color w:val="auto"/>
          <w:sz w:val="24"/>
          <w:szCs w:val="24"/>
          <w:highlight w:val="none"/>
        </w:rPr>
      </w:pPr>
      <w:bookmarkStart w:id="411" w:name="_Toc9597"/>
      <w:r>
        <w:rPr>
          <w:rFonts w:hint="eastAsia" w:asciiTheme="minorEastAsia" w:hAnsiTheme="minorEastAsia" w:eastAsiaTheme="minorEastAsia" w:cstheme="minorEastAsia"/>
          <w:color w:val="auto"/>
          <w:sz w:val="24"/>
          <w:szCs w:val="24"/>
          <w:highlight w:val="none"/>
        </w:rPr>
        <w:t>附表三：问题的澄清</w:t>
      </w:r>
      <w:bookmarkEnd w:id="411"/>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问题的澄清</w:t>
      </w: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(项目名称）招标评标委员会：</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问题澄清通知（编号：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）已收悉，现澄清如下：</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200" w:firstLineChars="17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5880" w:firstLineChars="2450"/>
        <w:rPr>
          <w:rFonts w:asciiTheme="minorEastAsia" w:hAnsiTheme="minorEastAsia" w:eastAsiaTheme="minorEastAsia" w:cstheme="minorEastAsia"/>
          <w:color w:val="auto"/>
          <w:sz w:val="24"/>
          <w:szCs w:val="24"/>
          <w:highlight w:val="none"/>
          <w:u w:val="single"/>
        </w:rPr>
      </w:pPr>
    </w:p>
    <w:p>
      <w:pPr>
        <w:spacing w:line="360" w:lineRule="auto"/>
        <w:ind w:firstLine="5880" w:firstLineChars="24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5880" w:firstLineChars="245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4"/>
        <w:ind w:firstLine="482"/>
        <w:rPr>
          <w:rFonts w:asciiTheme="minorEastAsia" w:hAnsiTheme="minorEastAsia" w:eastAsiaTheme="minorEastAsia" w:cstheme="minorEastAsia"/>
          <w:color w:val="auto"/>
          <w:sz w:val="24"/>
          <w:szCs w:val="24"/>
          <w:highlight w:val="none"/>
        </w:rPr>
      </w:pPr>
      <w:bookmarkStart w:id="412" w:name="_Toc11393"/>
      <w:r>
        <w:rPr>
          <w:rFonts w:hint="eastAsia" w:asciiTheme="minorEastAsia" w:hAnsiTheme="minorEastAsia" w:eastAsiaTheme="minorEastAsia" w:cstheme="minorEastAsia"/>
          <w:color w:val="auto"/>
          <w:sz w:val="24"/>
          <w:szCs w:val="24"/>
          <w:highlight w:val="none"/>
        </w:rPr>
        <w:t>附表四：中标通知书</w:t>
      </w:r>
      <w:bookmarkEnd w:id="412"/>
    </w:p>
    <w:p>
      <w:pPr>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中标通知书</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w:t>
      </w:r>
      <w:r>
        <w:rPr>
          <w:rFonts w:hint="eastAsia" w:asciiTheme="minorEastAsia" w:hAnsiTheme="minorEastAsia" w:eastAsiaTheme="minorEastAsia" w:cstheme="minorEastAsia"/>
          <w:color w:val="auto"/>
          <w:sz w:val="24"/>
          <w:szCs w:val="24"/>
          <w:highlight w:val="none"/>
          <w:lang w:eastAsia="zh-CN"/>
        </w:rPr>
        <w:t>履约保证金为中标金额的</w:t>
      </w:r>
      <w:r>
        <w:rPr>
          <w:rFonts w:hint="eastAsia" w:asciiTheme="minorEastAsia" w:hAnsiTheme="minorEastAsia" w:eastAsiaTheme="minorEastAsia" w:cstheme="minorEastAsia"/>
          <w:color w:val="auto"/>
          <w:sz w:val="24"/>
          <w:szCs w:val="24"/>
          <w:highlight w:val="none"/>
          <w:lang w:val="en-US" w:eastAsia="zh-CN"/>
        </w:rPr>
        <w:t>2%，应在合同签订后15日内缴纳。</w:t>
      </w:r>
      <w:r>
        <w:rPr>
          <w:rFonts w:hint="eastAsia" w:asciiTheme="minorEastAsia" w:hAnsiTheme="minorEastAsia" w:eastAsiaTheme="minorEastAsia" w:cstheme="minorEastAsia"/>
          <w:color w:val="auto"/>
          <w:sz w:val="24"/>
          <w:szCs w:val="24"/>
          <w:highlight w:val="none"/>
        </w:rPr>
        <w:t>中标具体内容如下：</w:t>
      </w:r>
    </w:p>
    <w:p>
      <w:pPr>
        <w:spacing w:line="360" w:lineRule="auto"/>
        <w:ind w:firstLine="480" w:firstLineChars="200"/>
        <w:rPr>
          <w:rFonts w:asciiTheme="minorEastAsia" w:hAnsiTheme="minorEastAsia" w:eastAsiaTheme="minorEastAsia" w:cstheme="minorEastAsia"/>
          <w:color w:val="auto"/>
          <w:sz w:val="24"/>
          <w:szCs w:val="24"/>
          <w:highlight w:val="none"/>
        </w:rPr>
      </w:pPr>
    </w:p>
    <w:tbl>
      <w:tblPr>
        <w:tblStyle w:val="28"/>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中标金额</w:t>
            </w:r>
          </w:p>
        </w:tc>
        <w:tc>
          <w:tcPr>
            <w:tcW w:w="8106" w:type="dxa"/>
            <w:vAlign w:val="center"/>
          </w:tcPr>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bl>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10"/>
        <w:jc w:val="right"/>
        <w:rPr>
          <w:rFonts w:ascii="宋体" w:hAnsi="宋体" w:cs="宋体"/>
          <w:color w:val="auto"/>
          <w:sz w:val="24"/>
          <w:szCs w:val="24"/>
          <w:highlight w:val="none"/>
          <w:u w:val="single"/>
        </w:rPr>
      </w:pPr>
      <w:r>
        <w:rPr>
          <w:rFonts w:hint="eastAsia" w:ascii="宋体" w:hAnsi="宋体" w:cs="宋体"/>
          <w:color w:val="auto"/>
          <w:sz w:val="24"/>
          <w:szCs w:val="24"/>
          <w:highlight w:val="none"/>
        </w:rPr>
        <w:t>招标人：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rPr>
        <w:t>招标代理：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（盖章）  </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rPr>
        <w:t>备案部门：</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（盖章）            </w:t>
      </w:r>
    </w:p>
    <w:p>
      <w:pPr>
        <w:spacing w:line="360" w:lineRule="auto"/>
        <w:ind w:firstLine="210"/>
        <w:jc w:val="righ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年   月   日</w:t>
      </w:r>
    </w:p>
    <w:p>
      <w:pPr>
        <w:pStyle w:val="4"/>
        <w:ind w:firstLine="0" w:firstLineChars="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413" w:name="_Toc30185"/>
      <w:r>
        <w:rPr>
          <w:rFonts w:hint="eastAsia" w:asciiTheme="minorEastAsia" w:hAnsiTheme="minorEastAsia" w:eastAsiaTheme="minorEastAsia" w:cstheme="minorEastAsia"/>
          <w:color w:val="auto"/>
          <w:sz w:val="24"/>
          <w:szCs w:val="24"/>
          <w:highlight w:val="none"/>
        </w:rPr>
        <w:t>附表五：中标结果通知书</w:t>
      </w:r>
      <w:bookmarkEnd w:id="413"/>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中标结果通知书</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（未中标人名称）: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我方已接受</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（投标日期）所递交的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（项目名称）投标文件，确定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（中标人名称）为中标人。</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感谢你单位对我们工作的大力支持！</w:t>
      </w: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520" w:firstLineChars="2300"/>
        <w:rPr>
          <w:rFonts w:asciiTheme="minorEastAsia" w:hAnsiTheme="minorEastAsia" w:eastAsiaTheme="minorEastAsia" w:cstheme="minorEastAsia"/>
          <w:color w:val="auto"/>
          <w:sz w:val="24"/>
          <w:szCs w:val="24"/>
          <w:highlight w:val="none"/>
          <w:u w:val="single"/>
        </w:rPr>
      </w:pPr>
    </w:p>
    <w:p>
      <w:pPr>
        <w:spacing w:line="360" w:lineRule="auto"/>
        <w:ind w:firstLine="5520" w:firstLineChars="23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tabs>
          <w:tab w:val="left" w:pos="6624"/>
        </w:tabs>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4"/>
        <w:ind w:firstLine="482"/>
        <w:rPr>
          <w:rFonts w:asciiTheme="minorEastAsia" w:hAnsiTheme="minorEastAsia" w:eastAsiaTheme="minorEastAsia" w:cstheme="minorEastAsia"/>
          <w:color w:val="auto"/>
          <w:sz w:val="24"/>
          <w:szCs w:val="24"/>
          <w:highlight w:val="none"/>
        </w:rPr>
      </w:pPr>
      <w:bookmarkStart w:id="414" w:name="_Toc23370"/>
      <w:r>
        <w:rPr>
          <w:rFonts w:hint="eastAsia" w:asciiTheme="minorEastAsia" w:hAnsiTheme="minorEastAsia" w:eastAsiaTheme="minorEastAsia" w:cstheme="minorEastAsia"/>
          <w:color w:val="auto"/>
          <w:sz w:val="24"/>
          <w:szCs w:val="24"/>
          <w:highlight w:val="none"/>
        </w:rPr>
        <w:t>附表六：确认通知</w:t>
      </w:r>
      <w:bookmarkEnd w:id="414"/>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确认通知</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我方已接到你方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日发出的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（项目名称）招标关于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的通知，我方已于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日收到。</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特此确认。</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bookmarkEnd w:id="408"/>
    <w:bookmarkEnd w:id="409"/>
    <w:bookmarkEnd w:id="410"/>
    <w:p>
      <w:pPr>
        <w:rPr>
          <w:rFonts w:asciiTheme="minorEastAsia" w:hAnsiTheme="minorEastAsia" w:eastAsiaTheme="minorEastAsia" w:cstheme="minorEastAsia"/>
          <w:color w:val="auto"/>
          <w:sz w:val="24"/>
          <w:szCs w:val="24"/>
          <w:highlight w:val="none"/>
          <w:u w:val="single"/>
        </w:rPr>
      </w:pPr>
    </w:p>
    <w:p>
      <w:pPr>
        <w:rPr>
          <w:rFonts w:asciiTheme="minorEastAsia" w:hAnsiTheme="minorEastAsia" w:eastAsiaTheme="minorEastAsia" w:cstheme="minorEastAsia"/>
          <w:color w:val="auto"/>
          <w:sz w:val="24"/>
          <w:szCs w:val="24"/>
          <w:highlight w:val="none"/>
        </w:rPr>
      </w:pPr>
      <w:bookmarkStart w:id="415" w:name="_Toc321687881"/>
      <w:bookmarkStart w:id="416" w:name="_Toc413527636"/>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color w:val="auto"/>
          <w:highlight w:val="none"/>
        </w:rPr>
      </w:pPr>
      <w:bookmarkStart w:id="417" w:name="_Toc3979"/>
      <w:r>
        <w:rPr>
          <w:rFonts w:hint="eastAsia"/>
          <w:color w:val="auto"/>
          <w:highlight w:val="none"/>
        </w:rPr>
        <w:t>第三章</w:t>
      </w:r>
      <w:r>
        <w:rPr>
          <w:color w:val="auto"/>
          <w:highlight w:val="none"/>
        </w:rPr>
        <w:t xml:space="preserve"> </w:t>
      </w:r>
      <w:r>
        <w:rPr>
          <w:rFonts w:hint="eastAsia"/>
          <w:color w:val="auto"/>
          <w:highlight w:val="none"/>
        </w:rPr>
        <w:t>评标办法</w:t>
      </w:r>
      <w:bookmarkEnd w:id="415"/>
      <w:bookmarkEnd w:id="416"/>
      <w:bookmarkEnd w:id="417"/>
    </w:p>
    <w:p>
      <w:pPr>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浙江省人民政府关于进一步严格规范工程建设项目招标投标活动的意见》(浙政发〔2014〕39号)等有关规定，制定本办法。</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一、评标原则</w:t>
      </w:r>
    </w:p>
    <w:p>
      <w:pPr>
        <w:snapToGrid w:val="0"/>
        <w:ind w:firstLine="540" w:firstLineChars="225"/>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评标应遵循公平、公正、科学、择优的原则。</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二、评标组织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评标工作由招标人依法组建的评标委员会负责，评标委员会的组建见投标人须知前附表，评标委员会成员为不少于5人的单数。</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评标委员会组建后报绍兴公共资源交易中心备案。</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评标委员会应当按照招标文件确定的评标标准和方法，客观、公正对投标文件进行评审和比较，招标文件没有规定的评标标准和方法不得作为评标的依据。</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评标委员会对投标文件作出的评审结论，应当符合有关法律、法规、规章和招标文件的规定。</w:t>
      </w:r>
    </w:p>
    <w:p>
      <w:pPr>
        <w:snapToGrid w:val="0"/>
        <w:ind w:firstLine="559" w:firstLineChars="232"/>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三、评标程序和内容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（一）熟悉招标文件和评标办法；</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（三）投标文件的资信、业绩评审；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（四）投标文件的技术标评审；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（五）投标文件的商务标评审；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（六）必要时对投标文件中的问题进行询标，包括拟作出否决投标决定前对相关投标人进行的询问核实；</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（七）根据评标办法和标准对投标文件进行综合评分、排序；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（八）完成评标报告，推荐中标候选人。</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四、评审细则</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1.评标委员会应依照招标文件的要求和规定，首先对投标人的投标资格和投标文件进行符合性评审。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（1）投标文件中有含义不明确的内容、明显文字或计算错误，评标委员会认为需要投标人作出必要澄清、说明的，应当组织询标。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（3）询标应通过专用录音电话通知相关投标人。询标内容及投标人的澄清、说明应当采用书面形式，并不得超出投标文件的范围或者改变投标文件的实质性内容。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（4）评标委员会不得暗示或者诱导投标人作出澄清、说明，不得接受投标人主动提出的澄清、说明。</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（二）资信、技术评审（满分60分）</w:t>
      </w:r>
    </w:p>
    <w:tbl>
      <w:tblPr>
        <w:tblStyle w:val="28"/>
        <w:tblW w:w="9924" w:type="dxa"/>
        <w:jc w:val="center"/>
        <w:tblLayout w:type="fixed"/>
        <w:tblCellMar>
          <w:top w:w="0" w:type="dxa"/>
          <w:left w:w="10" w:type="dxa"/>
          <w:bottom w:w="0" w:type="dxa"/>
          <w:right w:w="10" w:type="dxa"/>
        </w:tblCellMar>
      </w:tblPr>
      <w:tblGrid>
        <w:gridCol w:w="694"/>
        <w:gridCol w:w="1443"/>
        <w:gridCol w:w="2127"/>
        <w:gridCol w:w="5660"/>
      </w:tblGrid>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评审因素</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分值构成</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（总分60分）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A=资信部分评审：</w:t>
            </w:r>
            <w:r>
              <w:rPr>
                <w:rFonts w:hint="eastAsia" w:asciiTheme="minorEastAsia" w:hAnsiTheme="minorEastAsia" w:eastAsiaTheme="minorEastAsia" w:cstheme="minorEastAsia"/>
                <w:color w:val="auto"/>
                <w:sz w:val="24"/>
                <w:szCs w:val="24"/>
                <w:highlight w:val="none"/>
                <w:u w:val="single"/>
              </w:rPr>
              <w:t xml:space="preserve">  25  </w:t>
            </w:r>
            <w:r>
              <w:rPr>
                <w:rFonts w:hint="eastAsia" w:asciiTheme="minorEastAsia" w:hAnsiTheme="minorEastAsia" w:eastAsiaTheme="minorEastAsia" w:cstheme="minorEastAsia"/>
                <w:color w:val="auto"/>
                <w:sz w:val="24"/>
                <w:szCs w:val="24"/>
                <w:highlight w:val="none"/>
              </w:rPr>
              <w:t>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B=技术部分评审：</w:t>
            </w:r>
            <w:r>
              <w:rPr>
                <w:rFonts w:hint="eastAsia" w:asciiTheme="minorEastAsia" w:hAnsiTheme="minorEastAsia" w:eastAsiaTheme="minorEastAsia" w:cstheme="minorEastAsia"/>
                <w:color w:val="auto"/>
                <w:sz w:val="24"/>
                <w:szCs w:val="24"/>
                <w:highlight w:val="none"/>
                <w:u w:val="single"/>
              </w:rPr>
              <w:t xml:space="preserve">  35  </w:t>
            </w:r>
            <w:r>
              <w:rPr>
                <w:rFonts w:hint="eastAsia" w:asciiTheme="minorEastAsia" w:hAnsiTheme="minorEastAsia" w:eastAsiaTheme="minorEastAsia" w:cstheme="minorEastAsia"/>
                <w:color w:val="auto"/>
                <w:sz w:val="24"/>
                <w:szCs w:val="24"/>
                <w:highlight w:val="none"/>
              </w:rPr>
              <w:t>分；</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资信部分</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评分标准</w:t>
            </w:r>
            <w:r>
              <w:rPr>
                <w:rFonts w:hint="eastAsia" w:asciiTheme="minorEastAsia" w:hAnsiTheme="minorEastAsia" w:eastAsiaTheme="minorEastAsia" w:cstheme="minorEastAsia"/>
                <w:color w:val="auto"/>
                <w:sz w:val="24"/>
                <w:szCs w:val="24"/>
                <w:highlight w:val="none"/>
              </w:rPr>
              <w:br w:type="textWrapping"/>
            </w:r>
            <w:r>
              <w:rPr>
                <w:rFonts w:hint="eastAsia" w:asciiTheme="minorEastAsia" w:hAnsiTheme="minorEastAsia" w:eastAsiaTheme="minorEastAsia" w:cstheme="minorEastAsia"/>
                <w:color w:val="auto"/>
                <w:sz w:val="24"/>
                <w:szCs w:val="24"/>
                <w:highlight w:val="none"/>
              </w:rPr>
              <w:t>（A=25分）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权威认证（3分）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投标人具有IS09001质量管理体系认证、ISO14001环境管理体系认证、ISO45001职业健康安全管理体系认证。每项认证得1分，最多得3分，若某个证书未提供或者不在有效期内则该证书不得分。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注：投标文件中须提供有效认证证书复印件加盖投标人公章，否则不得分。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投标人资信（4分）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1、投标人具有机电安装工程专业承包三级及以上或机电工程施工总承包三级及以上资质的，得2分。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b/>
                <w:bCs/>
                <w:color w:val="auto"/>
                <w:sz w:val="24"/>
                <w:szCs w:val="24"/>
                <w:highlight w:val="none"/>
              </w:rPr>
              <w:t>投标文件中须提供资质证书复印件加盖投标人公章，否则不得分</w:t>
            </w:r>
            <w:r>
              <w:rPr>
                <w:rFonts w:hint="eastAsia" w:asciiTheme="minorEastAsia" w:hAnsiTheme="minorEastAsia" w:eastAsiaTheme="minorEastAsia" w:cstheme="minorEastAsia"/>
                <w:color w:val="auto"/>
                <w:sz w:val="24"/>
                <w:szCs w:val="24"/>
                <w:highlight w:val="none"/>
              </w:rPr>
              <w:t>。</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2、投标人提供第三方“第一类医疗器械生产备案凭证（医用射线防护玻璃板）”的，得2分。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b/>
                <w:bCs/>
                <w:color w:val="auto"/>
                <w:sz w:val="24"/>
                <w:szCs w:val="24"/>
                <w:highlight w:val="none"/>
              </w:rPr>
              <w:t>投标文件中须</w:t>
            </w:r>
            <w:r>
              <w:rPr>
                <w:rFonts w:hint="eastAsia" w:asciiTheme="minorEastAsia" w:hAnsiTheme="minorEastAsia" w:eastAsiaTheme="minorEastAsia" w:cstheme="minorEastAsia"/>
                <w:color w:val="auto"/>
                <w:sz w:val="24"/>
                <w:szCs w:val="24"/>
                <w:highlight w:val="none"/>
              </w:rPr>
              <w:t>提供第三方“第一类医疗器械生产备案凭证（医用射线防护玻璃板）”复印件加盖投标人公章</w:t>
            </w:r>
            <w:r>
              <w:rPr>
                <w:rFonts w:hint="eastAsia" w:asciiTheme="minorEastAsia" w:hAnsiTheme="minorEastAsia" w:eastAsiaTheme="minorEastAsia" w:cstheme="minorEastAsia"/>
                <w:b/>
                <w:bCs/>
                <w:color w:val="auto"/>
                <w:sz w:val="24"/>
                <w:szCs w:val="24"/>
                <w:highlight w:val="none"/>
              </w:rPr>
              <w:t>，否则不得分</w:t>
            </w:r>
            <w:r>
              <w:rPr>
                <w:rFonts w:hint="eastAsia" w:asciiTheme="minorEastAsia" w:hAnsiTheme="minorEastAsia" w:eastAsiaTheme="minorEastAsia" w:cstheme="minorEastAsia"/>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成功案例及业绩（6分）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自2016年1月1日至投标截止日止（时间以竣工验收报告上的时间为准），完成过单项金额100万元（含）-200万元（不含）的类似辐射防护工程施工业绩的，每项得1分；完成过单项金额200万元及以上的类似辐射防护工程施工业绩的，每项得2分。本项最多提供3个业绩，最高得6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w:t>
            </w:r>
            <w:r>
              <w:rPr>
                <w:rFonts w:hint="eastAsia" w:ascii="宋体" w:hAnsi="宋体" w:cs="宋体"/>
                <w:b/>
                <w:bCs/>
                <w:color w:val="auto"/>
                <w:sz w:val="24"/>
                <w:szCs w:val="24"/>
                <w:highlight w:val="none"/>
              </w:rPr>
              <w:t>同时提供合同和竣工报告的复印件加盖投标人公章，二者必须兼备，若缺其中任何一项则业绩不予认可</w:t>
            </w:r>
            <w:r>
              <w:rPr>
                <w:rFonts w:hint="eastAsia" w:asciiTheme="minorEastAsia" w:hAnsiTheme="minorEastAsia" w:eastAsiaTheme="minorEastAsia" w:cstheme="minorEastAsia"/>
                <w:b/>
                <w:bCs/>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项目负责人业绩（2分）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负责人自2016年1月1日起至投标截止日前（时间以竣工验收报告上的时间为准）完成过单项金额100万元（含）-200万元（不含）的类似辐射防护工程施工业绩的，每项得0.5分；完成过单项金额200万元及以上的类似辐射防护工程施工业绩的，每项业绩得1分。本项最多提供2个业绩，最高得2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w:t>
            </w:r>
            <w:r>
              <w:rPr>
                <w:rFonts w:hint="eastAsia" w:ascii="宋体" w:hAnsi="宋体" w:cs="宋体"/>
                <w:b/>
                <w:bCs/>
                <w:color w:val="auto"/>
                <w:sz w:val="24"/>
                <w:szCs w:val="24"/>
                <w:highlight w:val="none"/>
              </w:rPr>
              <w:t>同时提供合同和竣工报告（若合同、竣工报告不能体现项目负责人的还须提供业主单位的有效证明材料）的复印件加盖投标人公章，二者必须兼备，若缺其中任何一项则业绩不予认可</w:t>
            </w:r>
            <w:r>
              <w:rPr>
                <w:rFonts w:hint="eastAsia" w:asciiTheme="minorEastAsia" w:hAnsiTheme="minorEastAsia" w:eastAsiaTheme="minorEastAsia" w:cstheme="minorEastAsia"/>
                <w:b/>
                <w:bCs/>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项目人员配备（4分）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1、项目负责人具备高级工程师及以上职称的，得2分。</w:t>
            </w:r>
          </w:p>
          <w:p>
            <w:pPr>
              <w:spacing w:line="320" w:lineRule="auto"/>
              <w:rPr>
                <w:rFonts w:ascii="宋体" w:hAnsi="宋体" w:cs="宋体"/>
                <w:color w:val="auto"/>
                <w:szCs w:val="21"/>
                <w:highlight w:val="none"/>
              </w:rPr>
            </w:pPr>
            <w:r>
              <w:rPr>
                <w:rFonts w:hint="eastAsia" w:asciiTheme="minorEastAsia" w:hAnsiTheme="minorEastAsia" w:eastAsiaTheme="minorEastAsia" w:cstheme="minorEastAsia"/>
                <w:color w:val="auto"/>
                <w:sz w:val="24"/>
                <w:szCs w:val="24"/>
                <w:highlight w:val="none"/>
              </w:rPr>
              <w:t>2、技术负责人具有高级工程师及以上职称的或建筑工程二级及以上注册建造师证书的，得2分。</w:t>
            </w:r>
            <w:r>
              <w:rPr>
                <w:rFonts w:hint="eastAsia" w:ascii="宋体" w:hAnsi="宋体" w:cs="宋体"/>
                <w:color w:val="auto"/>
                <w:szCs w:val="21"/>
                <w:highlight w:val="none"/>
              </w:rPr>
              <w:t xml:space="preserve"> </w:t>
            </w:r>
          </w:p>
          <w:p>
            <w:pPr>
              <w:tabs>
                <w:tab w:val="left" w:pos="3060"/>
              </w:tabs>
              <w:rPr>
                <w:rFonts w:ascii="宋体" w:hAnsi="宋体" w:cs="宋体"/>
                <w:color w:val="auto"/>
                <w:sz w:val="24"/>
                <w:szCs w:val="24"/>
                <w:highlight w:val="none"/>
              </w:rPr>
            </w:pPr>
            <w:r>
              <w:rPr>
                <w:rFonts w:hint="eastAsia" w:ascii="宋体" w:hAnsi="宋体" w:cs="宋体"/>
                <w:b/>
                <w:bCs/>
                <w:color w:val="auto"/>
                <w:sz w:val="24"/>
                <w:szCs w:val="24"/>
                <w:highlight w:val="none"/>
              </w:rPr>
              <w:t>注：</w:t>
            </w:r>
            <w:r>
              <w:rPr>
                <w:rFonts w:hint="eastAsia" w:asciiTheme="minorEastAsia" w:hAnsiTheme="minorEastAsia" w:eastAsiaTheme="minorEastAsia" w:cstheme="minorEastAsia"/>
                <w:b/>
                <w:bCs/>
                <w:color w:val="auto"/>
                <w:sz w:val="24"/>
                <w:szCs w:val="24"/>
                <w:highlight w:val="none"/>
              </w:rPr>
              <w:t>投标文件中须提供证书复印件，同时须提供拟派项目人员缴费期限包含 2021年0</w:t>
            </w:r>
            <w:r>
              <w:rPr>
                <w:rFonts w:hint="eastAsia" w:asciiTheme="minorEastAsia" w:hAnsiTheme="minorEastAsia" w:eastAsiaTheme="minorEastAsia" w:cstheme="minorEastAsia"/>
                <w:b/>
                <w:bCs/>
                <w:color w:val="auto"/>
                <w:sz w:val="24"/>
                <w:szCs w:val="24"/>
                <w:highlight w:val="none"/>
                <w:lang w:val="en-US" w:eastAsia="zh-CN"/>
              </w:rPr>
              <w:t>8</w:t>
            </w:r>
            <w:r>
              <w:rPr>
                <w:rFonts w:hint="eastAsia" w:asciiTheme="minorEastAsia" w:hAnsiTheme="minorEastAsia" w:eastAsiaTheme="minorEastAsia" w:cstheme="minorEastAsia"/>
                <w:b/>
                <w:bCs/>
                <w:color w:val="auto"/>
                <w:sz w:val="24"/>
                <w:szCs w:val="24"/>
                <w:highlight w:val="none"/>
              </w:rPr>
              <w:t xml:space="preserve">月至 2021年 </w:t>
            </w:r>
            <w:r>
              <w:rPr>
                <w:rFonts w:hint="eastAsia" w:asciiTheme="minorEastAsia" w:hAnsiTheme="minorEastAsia" w:eastAsiaTheme="minorEastAsia" w:cstheme="minorEastAsia"/>
                <w:b/>
                <w:bCs/>
                <w:color w:val="auto"/>
                <w:sz w:val="24"/>
                <w:szCs w:val="24"/>
                <w:highlight w:val="none"/>
                <w:lang w:val="en-US" w:eastAsia="zh-CN"/>
              </w:rPr>
              <w:t>10</w:t>
            </w:r>
            <w:r>
              <w:rPr>
                <w:rFonts w:hint="eastAsia" w:asciiTheme="minorEastAsia" w:hAnsiTheme="minorEastAsia" w:eastAsiaTheme="minorEastAsia" w:cstheme="minorEastAsia"/>
                <w:b/>
                <w:bCs/>
                <w:color w:val="auto"/>
                <w:sz w:val="24"/>
                <w:szCs w:val="24"/>
                <w:highlight w:val="none"/>
              </w:rPr>
              <w:t>月的投标人所属社保机构养老保险交纳清单或证明（缴费单位和投标单位名称必须一致，并加盖社保缴费证明专用章），否则不得分</w:t>
            </w:r>
            <w:r>
              <w:rPr>
                <w:rFonts w:hint="eastAsia" w:ascii="宋体" w:hAnsi="宋体" w:cs="宋体"/>
                <w:b/>
                <w:bCs/>
                <w:color w:val="auto"/>
                <w:sz w:val="24"/>
                <w:szCs w:val="24"/>
                <w:highlight w:val="none"/>
              </w:rPr>
              <w:t>。</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质保期优惠（6分）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rPr>
                <w:rFonts w:ascii="宋体" w:hAnsi="宋体" w:cs="宋体"/>
                <w:color w:val="auto"/>
                <w:sz w:val="24"/>
                <w:szCs w:val="24"/>
                <w:highlight w:val="none"/>
              </w:rPr>
            </w:pPr>
            <w:r>
              <w:rPr>
                <w:rFonts w:hint="eastAsia" w:ascii="宋体" w:hAnsi="宋体" w:cs="宋体"/>
                <w:color w:val="auto"/>
                <w:sz w:val="24"/>
                <w:szCs w:val="24"/>
                <w:highlight w:val="none"/>
              </w:rPr>
              <w:t>质保期期限仅满足招标文件规定的质保期（至少36个月）要求的得0分，超过招标文件规定的质保期每12个月的得2分，最高得6分。</w:t>
            </w:r>
          </w:p>
          <w:p>
            <w:pPr>
              <w:pStyle w:val="27"/>
              <w:ind w:firstLine="0" w:firstLineChars="0"/>
              <w:rPr>
                <w:rFonts w:ascii="宋体" w:hAnsi="宋体" w:cs="宋体"/>
                <w:color w:val="auto"/>
                <w:sz w:val="24"/>
                <w:szCs w:val="24"/>
                <w:highlight w:val="none"/>
              </w:rPr>
            </w:pPr>
            <w:r>
              <w:rPr>
                <w:rFonts w:hint="eastAsia" w:ascii="宋体" w:hAnsi="宋体" w:cs="宋体"/>
                <w:b/>
                <w:bCs/>
                <w:color w:val="auto"/>
                <w:sz w:val="24"/>
                <w:szCs w:val="24"/>
                <w:highlight w:val="none"/>
              </w:rPr>
              <w:t>注：质保期优惠包含人工、差旅住宿费、材料及配件费等质保期间产生的一切费用。</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技术部分评分标准（B=35分）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运维服务承诺（5分）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rPr>
                <w:rFonts w:ascii="宋体" w:hAnsi="宋体" w:cs="宋体"/>
                <w:color w:val="auto"/>
                <w:sz w:val="24"/>
                <w:szCs w:val="24"/>
                <w:highlight w:val="none"/>
              </w:rPr>
            </w:pPr>
            <w:r>
              <w:rPr>
                <w:rFonts w:hint="eastAsia" w:ascii="宋体" w:hAnsi="宋体" w:cs="宋体"/>
                <w:color w:val="auto"/>
                <w:sz w:val="24"/>
                <w:szCs w:val="24"/>
                <w:highlight w:val="none"/>
              </w:rPr>
              <w:t>投标人提供全面的售后服务方案，并承诺2小时内到达现场响应。根据整套售后服务方案及运维合同的规模进行横向打分，0-5分。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施工组织设计（30分）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1、施工方案内容完整，编制规范统一、齐全，施工方案和技术措施科</w:t>
            </w:r>
            <w:bookmarkStart w:id="457" w:name="_GoBack"/>
            <w:bookmarkEnd w:id="457"/>
            <w:r>
              <w:rPr>
                <w:rFonts w:hint="eastAsia" w:ascii="宋体" w:hAnsi="宋体" w:cs="宋体"/>
                <w:color w:val="auto"/>
                <w:sz w:val="24"/>
                <w:szCs w:val="24"/>
                <w:highlight w:val="none"/>
              </w:rPr>
              <w:t>学、合理，有针对性，满足施工要求。</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优秀得4.1-6.0分、良好得2.1-4.0分、一般得0-2.0分。本小项最高得6分。</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2、施工进度安排合理，工期安排满足施工要求，施工中劳动力计划安排合理，拟投入的机械设备及材料安排科学、合理，有针对性，满足施工要求。</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优秀得4.1-6.0分、良好得2.1-4.0分、一般得0-2.0分。本小项最高得6分。</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质量保证措施、安全生产保证措施、工期保证措施以及文明施工和环境保护的措施科学、合理、全面、有针对性。</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优秀得4.1-6.0分、良好得2.1-4.0分、一般得0-2.0分。本小项最高得6分。</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4、制定本项目总体安装、调试、验收方案，包括但不限于质量控制措施、质量检测手段、应急预案等优秀得4.1-6.0分、良好得2.1-4.0分、一般得0-2.0分。本小项最高得6分。</w:t>
            </w:r>
          </w:p>
          <w:p>
            <w:pPr>
              <w:spacing w:line="280" w:lineRule="exact"/>
              <w:rPr>
                <w:rFonts w:ascii="宋体" w:hAnsi="宋体" w:cs="宋体"/>
                <w:color w:val="auto"/>
                <w:sz w:val="24"/>
                <w:szCs w:val="24"/>
                <w:highlight w:val="none"/>
              </w:rPr>
            </w:pPr>
            <w:r>
              <w:rPr>
                <w:rFonts w:hint="eastAsia" w:ascii="宋体" w:hAnsi="宋体" w:cs="宋体"/>
                <w:color w:val="auto"/>
                <w:sz w:val="24"/>
                <w:szCs w:val="24"/>
                <w:highlight w:val="none"/>
              </w:rPr>
              <w:t>5、组织结构合理、专业齐全。</w:t>
            </w:r>
          </w:p>
          <w:p>
            <w:pPr>
              <w:spacing w:line="280" w:lineRule="exact"/>
              <w:rPr>
                <w:rFonts w:hAnsi="宋体"/>
                <w:color w:val="auto"/>
                <w:highlight w:val="none"/>
              </w:rPr>
            </w:pPr>
            <w:r>
              <w:rPr>
                <w:rFonts w:hint="eastAsia" w:ascii="宋体" w:hAnsi="宋体" w:cs="宋体"/>
                <w:color w:val="auto"/>
                <w:sz w:val="24"/>
                <w:szCs w:val="24"/>
                <w:highlight w:val="none"/>
              </w:rPr>
              <w:t>优秀得4.1-6.0分、良好得2.1-4.0分、一般得0-2.0分。本小项最高得6分。</w:t>
            </w:r>
          </w:p>
        </w:tc>
      </w:tr>
    </w:tbl>
    <w:p>
      <w:pPr>
        <w:adjustRightInd w:val="0"/>
        <w:snapToGrid w:val="0"/>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注：</w:t>
      </w:r>
      <w:r>
        <w:rPr>
          <w:rFonts w:hint="eastAsia" w:asciiTheme="minorEastAsia" w:hAnsiTheme="minorEastAsia" w:eastAsiaTheme="minorEastAsia" w:cstheme="minorEastAsia"/>
          <w:color w:val="auto"/>
          <w:sz w:val="24"/>
          <w:szCs w:val="24"/>
          <w:highlight w:val="none"/>
        </w:rPr>
        <w:t>由评标委员会全体成员负责对投标文件的服务大纲部分采用记名方式各自评分。如发现某个单项的评分超出了规定的分值范围的，则该张评分表无效。此项评分为：从评标专家的有效评分中扣除一个最高总分和一个最低总分后的算术平均值（保留小数2位）</w:t>
      </w:r>
    </w:p>
    <w:p>
      <w:pPr>
        <w:pStyle w:val="48"/>
        <w:spacing w:before="0" w:beforeAutospacing="0" w:after="0" w:afterAutospacing="0"/>
        <w:ind w:firstLine="271" w:firstLineChars="113"/>
        <w:rPr>
          <w:rFonts w:asciiTheme="minorEastAsia" w:hAnsiTheme="minorEastAsia" w:eastAsiaTheme="minorEastAsia" w:cstheme="minorEastAsia"/>
          <w:strike/>
          <w:color w:val="auto"/>
          <w:kern w:val="2"/>
          <w:szCs w:val="24"/>
          <w:highlight w:val="none"/>
        </w:rPr>
      </w:pPr>
      <w:r>
        <w:rPr>
          <w:rFonts w:hint="eastAsia" w:asciiTheme="minorEastAsia" w:hAnsiTheme="minorEastAsia" w:eastAsiaTheme="minorEastAsia" w:cstheme="minorEastAsia"/>
          <w:strike/>
          <w:color w:val="auto"/>
          <w:kern w:val="2"/>
          <w:szCs w:val="24"/>
          <w:highlight w:val="none"/>
        </w:rPr>
        <w:t>注：业绩证明材料应提供合同复印件。</w:t>
      </w:r>
      <w:r>
        <w:rPr>
          <w:rFonts w:hint="eastAsia" w:asciiTheme="minorEastAsia" w:hAnsiTheme="minorEastAsia" w:eastAsiaTheme="minorEastAsia" w:cstheme="minorEastAsia"/>
          <w:i/>
          <w:strike/>
          <w:color w:val="auto"/>
          <w:kern w:val="2"/>
          <w:szCs w:val="24"/>
          <w:highlight w:val="none"/>
        </w:rPr>
        <w:t>投标资格证明中的业绩</w:t>
      </w:r>
      <w:r>
        <w:rPr>
          <w:rFonts w:hint="eastAsia" w:asciiTheme="minorEastAsia" w:hAnsiTheme="minorEastAsia" w:eastAsiaTheme="minorEastAsia" w:cstheme="minorEastAsia"/>
          <w:i/>
          <w:strike/>
          <w:color w:val="auto"/>
          <w:kern w:val="2"/>
          <w:szCs w:val="24"/>
          <w:highlight w:val="none"/>
          <w:u w:val="single"/>
        </w:rPr>
        <w:t>可以</w:t>
      </w:r>
      <w:r>
        <w:rPr>
          <w:rFonts w:hint="eastAsia" w:asciiTheme="minorEastAsia" w:hAnsiTheme="minorEastAsia" w:eastAsiaTheme="minorEastAsia" w:cstheme="minorEastAsia"/>
          <w:i/>
          <w:strike/>
          <w:color w:val="auto"/>
          <w:kern w:val="2"/>
          <w:szCs w:val="24"/>
          <w:highlight w:val="none"/>
        </w:rPr>
        <w:t>作为本项计分业绩。</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（三）投标文件的商务标评审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2、报价评审应以报价口径范围一致的投标评标价为依据。投标评标价应在最终报价的基础上，按照招标文件约定的因素和方法进行计算。</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3、评标基准价由评标委员会依据下述方法计算，除计算差错外，确认后的评标基准价在本次招标期间保持不变。</w:t>
      </w:r>
    </w:p>
    <w:p>
      <w:pPr>
        <w:adjustRightInd w:val="0"/>
        <w:snapToGrid w:val="0"/>
        <w:spacing w:line="500" w:lineRule="exa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50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4、报价评分（0-40分）</w:t>
      </w:r>
    </w:p>
    <w:p>
      <w:pPr>
        <w:adjustRightInd w:val="0"/>
        <w:snapToGrid w:val="0"/>
        <w:spacing w:line="500" w:lineRule="exact"/>
        <w:ind w:firstLine="480"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color w:val="auto"/>
          <w:sz w:val="24"/>
          <w:szCs w:val="24"/>
          <w:highlight w:val="none"/>
        </w:rPr>
        <w:t xml:space="preserve">  平均价法</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（1）评分范围：通过符合性审查的所有投标文件进入评分范围。</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（2）评标基准价：进入评分范围的投标评标价的算术平均值为评标基准价（投标评标价在5个至7个时，去除一个最高价和一个最低价；投标评标价在8个及以上时，去除一个最高、次高价和一个最低、次低价）。</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（3）根据投标文件的投标评标价与评标基准价对比，计算投标人的商务报价的得分值。即：</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a.投标评标价等于评标基准价时，得满分</w:t>
      </w:r>
      <w:r>
        <w:rPr>
          <w:rFonts w:hint="eastAsia" w:asciiTheme="minorEastAsia" w:hAnsiTheme="minorEastAsia" w:eastAsiaTheme="minorEastAsia" w:cstheme="minorEastAsia"/>
          <w:b/>
          <w:color w:val="auto"/>
          <w:sz w:val="24"/>
          <w:szCs w:val="24"/>
          <w:highlight w:val="none"/>
        </w:rPr>
        <w:t>（40分）</w:t>
      </w:r>
      <w:r>
        <w:rPr>
          <w:rFonts w:hint="eastAsia" w:asciiTheme="minorEastAsia" w:hAnsiTheme="minorEastAsia" w:eastAsiaTheme="minorEastAsia" w:cstheme="minorEastAsia"/>
          <w:color w:val="auto"/>
          <w:sz w:val="24"/>
          <w:szCs w:val="24"/>
          <w:highlight w:val="none"/>
        </w:rPr>
        <w:t>；</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b.投标评标价每低于评标基准价1个百分点，扣1分；</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c.投标评标价每高于评标基准价1个百分点，扣2分。</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以上报价得分不足一个百分点时，使用直线插入法计算，保留小数2位。</w:t>
      </w:r>
    </w:p>
    <w:p>
      <w:pPr>
        <w:adjustRightInd w:val="0"/>
        <w:snapToGrid w:val="0"/>
        <w:spacing w:line="400" w:lineRule="exact"/>
        <w:ind w:firstLine="480" w:firstLineChars="200"/>
        <w:jc w:val="left"/>
        <w:rPr>
          <w:color w:val="auto"/>
          <w:highlight w:val="none"/>
        </w:rPr>
      </w:pPr>
      <w:r>
        <w:rPr>
          <w:rFonts w:hint="eastAsia" w:asciiTheme="minorEastAsia" w:hAnsiTheme="minorEastAsia" w:eastAsiaTheme="minorEastAsia" w:cstheme="minorEastAsia"/>
          <w:color w:val="auto"/>
          <w:sz w:val="24"/>
          <w:szCs w:val="24"/>
          <w:highlight w:val="none"/>
        </w:rPr>
        <w:t xml:space="preserve"> 投标文件的商务标评分不足0分的，计为0分。</w:t>
      </w:r>
    </w:p>
    <w:p>
      <w:pPr>
        <w:adjustRightInd w:val="0"/>
        <w:snapToGrid w:val="0"/>
        <w:ind w:firstLine="479" w:firstLineChars="19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（四）投标文件的综合评分：</w:t>
      </w:r>
      <w:r>
        <w:rPr>
          <w:rFonts w:hint="eastAsia" w:asciiTheme="minorEastAsia" w:hAnsiTheme="minorEastAsia" w:eastAsiaTheme="minorEastAsia" w:cstheme="minorEastAsia"/>
          <w:color w:val="auto"/>
          <w:sz w:val="24"/>
          <w:szCs w:val="24"/>
          <w:highlight w:val="none"/>
        </w:rPr>
        <w:t>投标文件的技术标评分、商务评分的总和。</w:t>
      </w:r>
    </w:p>
    <w:p>
      <w:pPr>
        <w:adjustRightInd w:val="0"/>
        <w:snapToGrid w:val="0"/>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（五）对投标人进行排序，推荐中标候选人</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或记名投票表决）方式排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2、评标委员会根据投标人须知前附表7.1规定，</w:t>
      </w:r>
      <w:r>
        <w:rPr>
          <w:rFonts w:hint="eastAsia" w:asciiTheme="minorEastAsia" w:hAnsiTheme="minorEastAsia" w:eastAsiaTheme="minorEastAsia" w:cstheme="minorEastAsia"/>
          <w:strike/>
          <w:color w:val="auto"/>
          <w:sz w:val="24"/>
          <w:szCs w:val="24"/>
          <w:highlight w:val="none"/>
        </w:rPr>
        <w:t>确定中标人或</w:t>
      </w:r>
      <w:r>
        <w:rPr>
          <w:rFonts w:hint="eastAsia" w:asciiTheme="minorEastAsia" w:hAnsiTheme="minorEastAsia" w:eastAsiaTheme="minorEastAsia" w:cstheme="minorEastAsia"/>
          <w:color w:val="auto"/>
          <w:sz w:val="24"/>
          <w:szCs w:val="24"/>
          <w:highlight w:val="none"/>
        </w:rPr>
        <w:t>推荐中标候选人。</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五、完成评标报告</w:t>
      </w:r>
    </w:p>
    <w:p>
      <w:pPr>
        <w:adjustRightInd w:val="0"/>
        <w:snapToGrid w:val="0"/>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（一）评标委员会应当向招标人提交书面评标报告。</w:t>
      </w:r>
      <w:r>
        <w:rPr>
          <w:rFonts w:hint="eastAsia" w:asciiTheme="minorEastAsia" w:hAnsiTheme="minorEastAsia" w:eastAsiaTheme="minorEastAsia" w:cstheme="minorEastAsia"/>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（二）评标报告应包括以下内容：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1、开标记录；</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2、评标内容、过程和结果；</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3、询标澄清纪要；</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4、否决投标情况说明及依据；</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5、推荐中标候选人；</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6、中标候选人投标资格条件业绩和评分业绩</w:t>
      </w:r>
      <w:r>
        <w:rPr>
          <w:rFonts w:hint="eastAsia" w:asciiTheme="minorEastAsia" w:hAnsiTheme="minorEastAsia" w:eastAsiaTheme="minorEastAsia" w:cstheme="minorEastAsia"/>
          <w:i/>
          <w:color w:val="auto"/>
          <w:sz w:val="24"/>
          <w:szCs w:val="24"/>
          <w:highlight w:val="none"/>
        </w:rPr>
        <w:t>（招标文件对投标资格或评分有业绩要求的）</w:t>
      </w:r>
      <w:r>
        <w:rPr>
          <w:rFonts w:hint="eastAsia" w:asciiTheme="minorEastAsia" w:hAnsiTheme="minorEastAsia" w:eastAsiaTheme="minorEastAsia" w:cstheme="minorEastAsia"/>
          <w:color w:val="auto"/>
          <w:sz w:val="24"/>
          <w:szCs w:val="24"/>
          <w:highlight w:val="none"/>
        </w:rPr>
        <w:t>；</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7、其他建议。</w:t>
      </w:r>
    </w:p>
    <w:p>
      <w:pPr>
        <w:rPr>
          <w:rFonts w:asciiTheme="minorEastAsia" w:hAnsiTheme="minorEastAsia" w:eastAsiaTheme="minorEastAsia" w:cstheme="minorEastAsia"/>
          <w:color w:val="auto"/>
          <w:sz w:val="24"/>
          <w:szCs w:val="24"/>
          <w:highlight w:val="none"/>
        </w:rPr>
      </w:pPr>
      <w:bookmarkStart w:id="418" w:name="_Toc229646768"/>
      <w:bookmarkStart w:id="419" w:name="_Toc392345963"/>
      <w:bookmarkStart w:id="420" w:name="_Toc152045609"/>
      <w:bookmarkStart w:id="421" w:name="_Toc152042387"/>
      <w:bookmarkStart w:id="422" w:name="_Toc144974577"/>
    </w:p>
    <w:p>
      <w:pPr>
        <w:rPr>
          <w:rFonts w:asciiTheme="minorEastAsia" w:hAnsiTheme="minorEastAsia" w:eastAsiaTheme="minorEastAsia" w:cstheme="minorEastAsia"/>
          <w:color w:val="auto"/>
          <w:sz w:val="24"/>
          <w:szCs w:val="24"/>
          <w:highlight w:val="none"/>
        </w:rPr>
      </w:pPr>
    </w:p>
    <w:p>
      <w:pPr>
        <w:pStyle w:val="9"/>
        <w:rPr>
          <w:rFonts w:asciiTheme="minorEastAsia" w:hAnsiTheme="minorEastAsia" w:eastAsiaTheme="minorEastAsia" w:cstheme="minorEastAsia"/>
          <w:color w:val="auto"/>
          <w:highlight w:val="none"/>
        </w:rPr>
      </w:pPr>
    </w:p>
    <w:p>
      <w:pPr>
        <w:pStyle w:val="1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9"/>
        <w:rPr>
          <w:rFonts w:asciiTheme="minorEastAsia" w:hAnsiTheme="minorEastAsia" w:eastAsiaTheme="minorEastAsia" w:cstheme="minorEastAsia"/>
          <w:color w:val="auto"/>
          <w:highlight w:val="none"/>
        </w:rPr>
      </w:pPr>
    </w:p>
    <w:p>
      <w:pPr>
        <w:pStyle w:val="1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9"/>
        <w:rPr>
          <w:rFonts w:asciiTheme="minorEastAsia" w:hAnsiTheme="minorEastAsia" w:eastAsiaTheme="minorEastAsia" w:cstheme="minorEastAsia"/>
          <w:color w:val="auto"/>
          <w:highlight w:val="none"/>
        </w:rPr>
      </w:pPr>
    </w:p>
    <w:p>
      <w:pPr>
        <w:pStyle w:val="1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9"/>
        <w:rPr>
          <w:rFonts w:asciiTheme="minorEastAsia" w:hAnsiTheme="minorEastAsia" w:eastAsiaTheme="minorEastAsia" w:cstheme="minorEastAsia"/>
          <w:color w:val="auto"/>
          <w:highlight w:val="none"/>
        </w:rPr>
      </w:pPr>
    </w:p>
    <w:p>
      <w:pPr>
        <w:pStyle w:val="1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9"/>
        <w:rPr>
          <w:rFonts w:asciiTheme="minorEastAsia" w:hAnsiTheme="minorEastAsia" w:eastAsiaTheme="minorEastAsia" w:cstheme="minorEastAsia"/>
          <w:color w:val="auto"/>
          <w:highlight w:val="none"/>
        </w:rPr>
      </w:pPr>
    </w:p>
    <w:p>
      <w:pPr>
        <w:pStyle w:val="10"/>
        <w:rPr>
          <w:color w:val="auto"/>
          <w:highlight w:val="none"/>
        </w:rPr>
      </w:pPr>
    </w:p>
    <w:p>
      <w:pPr>
        <w:pStyle w:val="27"/>
        <w:ind w:firstLine="340"/>
        <w:rPr>
          <w:color w:val="auto"/>
          <w:highlight w:val="none"/>
        </w:rPr>
      </w:pPr>
    </w:p>
    <w:p>
      <w:pPr>
        <w:pStyle w:val="2"/>
        <w:rPr>
          <w:color w:val="auto"/>
          <w:highlight w:val="none"/>
        </w:rPr>
      </w:pPr>
      <w:bookmarkStart w:id="423" w:name="_Toc2565"/>
      <w:r>
        <w:rPr>
          <w:rFonts w:hint="eastAsia"/>
          <w:color w:val="auto"/>
          <w:highlight w:val="none"/>
        </w:rPr>
        <w:t>第四章</w:t>
      </w:r>
      <w:r>
        <w:rPr>
          <w:color w:val="auto"/>
          <w:highlight w:val="none"/>
        </w:rPr>
        <w:t xml:space="preserve"> </w:t>
      </w:r>
      <w:r>
        <w:rPr>
          <w:rFonts w:hint="eastAsia"/>
          <w:color w:val="auto"/>
          <w:highlight w:val="none"/>
        </w:rPr>
        <w:t>合同条款及格式</w:t>
      </w:r>
      <w:bookmarkEnd w:id="418"/>
      <w:bookmarkEnd w:id="419"/>
      <w:bookmarkEnd w:id="420"/>
      <w:bookmarkEnd w:id="421"/>
      <w:bookmarkEnd w:id="422"/>
      <w:bookmarkEnd w:id="423"/>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color w:val="auto"/>
          <w:sz w:val="24"/>
          <w:szCs w:val="24"/>
          <w:highlight w:val="none"/>
        </w:rPr>
      </w:pPr>
      <w:bookmarkStart w:id="424" w:name="_Toc297017781"/>
      <w:bookmarkStart w:id="425" w:name="_Toc18320"/>
      <w:bookmarkStart w:id="426" w:name="_Toc406074420"/>
      <w:r>
        <w:rPr>
          <w:rFonts w:hint="eastAsia" w:asciiTheme="minorEastAsia" w:hAnsiTheme="minorEastAsia" w:eastAsiaTheme="minorEastAsia" w:cstheme="minorEastAsia"/>
          <w:b/>
          <w:bCs/>
          <w:color w:val="auto"/>
          <w:sz w:val="24"/>
          <w:szCs w:val="24"/>
          <w:highlight w:val="none"/>
        </w:rPr>
        <w:t>一、合同协议书</w:t>
      </w:r>
      <w:bookmarkEnd w:id="424"/>
      <w:bookmarkEnd w:id="425"/>
      <w:bookmarkEnd w:id="426"/>
    </w:p>
    <w:p>
      <w:pPr>
        <w:spacing w:line="360" w:lineRule="auto"/>
        <w:rPr>
          <w:color w:val="auto"/>
          <w:szCs w:val="21"/>
          <w:highlight w:val="none"/>
          <w:u w:val="single"/>
        </w:rPr>
      </w:pPr>
      <w:r>
        <w:rPr>
          <w:rFonts w:hint="eastAsia"/>
          <w:color w:val="auto"/>
          <w:szCs w:val="21"/>
          <w:highlight w:val="none"/>
        </w:rPr>
        <w:t>甲方（招标人、总承包单位）：</w:t>
      </w:r>
      <w:r>
        <w:rPr>
          <w:rFonts w:hint="eastAsia"/>
          <w:color w:val="auto"/>
          <w:szCs w:val="21"/>
          <w:highlight w:val="none"/>
          <w:u w:val="single"/>
        </w:rPr>
        <w:t xml:space="preserve">浙江精工钢结构集团有限公司 </w:t>
      </w:r>
    </w:p>
    <w:p>
      <w:pPr>
        <w:spacing w:line="360" w:lineRule="auto"/>
        <w:rPr>
          <w:color w:val="auto"/>
          <w:szCs w:val="21"/>
          <w:highlight w:val="none"/>
          <w:u w:val="single"/>
        </w:rPr>
      </w:pPr>
      <w:r>
        <w:rPr>
          <w:rFonts w:hint="eastAsia"/>
          <w:color w:val="auto"/>
          <w:szCs w:val="21"/>
          <w:highlight w:val="none"/>
        </w:rPr>
        <w:t>乙方（供应商）：</w:t>
      </w:r>
      <w:r>
        <w:rPr>
          <w:rFonts w:hint="eastAsia"/>
          <w:color w:val="auto"/>
          <w:szCs w:val="21"/>
          <w:highlight w:val="none"/>
          <w:u w:val="single"/>
        </w:rPr>
        <w:t xml:space="preserve">             （供应商名称）           </w:t>
      </w:r>
    </w:p>
    <w:p>
      <w:pPr>
        <w:keepNext/>
        <w:keepLines/>
        <w:spacing w:line="360" w:lineRule="auto"/>
        <w:outlineLvl w:val="1"/>
        <w:rPr>
          <w:color w:val="auto"/>
          <w:szCs w:val="21"/>
          <w:highlight w:val="none"/>
          <w:u w:val="single"/>
        </w:rPr>
      </w:pPr>
      <w:r>
        <w:rPr>
          <w:rFonts w:hint="eastAsia"/>
          <w:color w:val="auto"/>
          <w:szCs w:val="21"/>
          <w:highlight w:val="none"/>
        </w:rPr>
        <w:t>丙方（业主、使用人）：</w:t>
      </w:r>
      <w:r>
        <w:rPr>
          <w:rFonts w:hint="eastAsia"/>
          <w:color w:val="auto"/>
          <w:szCs w:val="21"/>
          <w:highlight w:val="none"/>
          <w:u w:val="single"/>
        </w:rPr>
        <w:t>绍兴市妇幼保健院、</w:t>
      </w:r>
    </w:p>
    <w:p>
      <w:pPr>
        <w:keepNext/>
        <w:keepLines/>
        <w:spacing w:line="360" w:lineRule="auto"/>
        <w:outlineLvl w:val="1"/>
        <w:rPr>
          <w:b/>
          <w:bCs/>
          <w:color w:val="auto"/>
          <w:szCs w:val="21"/>
          <w:highlight w:val="none"/>
        </w:rPr>
      </w:pPr>
      <w:r>
        <w:rPr>
          <w:rFonts w:hint="eastAsia"/>
          <w:color w:val="auto"/>
          <w:szCs w:val="21"/>
          <w:highlight w:val="none"/>
          <w:u w:val="single"/>
        </w:rPr>
        <w:t xml:space="preserve">丁方（代建单位）绍兴市交通建设有限公司     </w:t>
      </w:r>
    </w:p>
    <w:p>
      <w:pPr>
        <w:spacing w:line="360" w:lineRule="auto"/>
        <w:ind w:firstLine="420" w:firstLineChars="200"/>
        <w:rPr>
          <w:snapToGrid w:val="0"/>
          <w:color w:val="auto"/>
          <w:szCs w:val="21"/>
          <w:highlight w:val="none"/>
        </w:rPr>
      </w:pPr>
      <w:r>
        <w:rPr>
          <w:rFonts w:hint="eastAsia"/>
          <w:snapToGrid w:val="0"/>
          <w:color w:val="auto"/>
          <w:szCs w:val="21"/>
          <w:highlight w:val="none"/>
          <w:u w:val="single"/>
        </w:rPr>
        <w:t>鉴于：丙方为</w:t>
      </w:r>
      <w:r>
        <w:rPr>
          <w:rFonts w:hint="eastAsia"/>
          <w:color w:val="auto"/>
          <w:szCs w:val="21"/>
          <w:highlight w:val="none"/>
          <w:u w:val="single"/>
        </w:rPr>
        <w:t>绍兴市妇幼保健院（绍兴市儿童医院）建设项目</w:t>
      </w:r>
      <w:r>
        <w:rPr>
          <w:rFonts w:hint="eastAsia"/>
          <w:snapToGrid w:val="0"/>
          <w:color w:val="auto"/>
          <w:szCs w:val="21"/>
          <w:highlight w:val="none"/>
          <w:u w:val="single"/>
        </w:rPr>
        <w:t>业主单位，丁方为该项目代建方，甲方为该项目总承包单位。现由</w:t>
      </w:r>
      <w:r>
        <w:rPr>
          <w:rFonts w:hint="eastAsia"/>
          <w:snapToGrid w:val="0"/>
          <w:color w:val="auto"/>
          <w:szCs w:val="21"/>
          <w:highlight w:val="none"/>
        </w:rPr>
        <w:t>甲方作为招标人对所需的进行招标（招标编号：         ）。经甲方定标确定为该供应商（乙方）。甲乙丙丁四方同意按照下面的条款和条件，签署本合同。</w:t>
      </w:r>
    </w:p>
    <w:p>
      <w:pPr>
        <w:spacing w:line="360" w:lineRule="auto"/>
        <w:ind w:firstLine="487" w:firstLineChars="231"/>
        <w:rPr>
          <w:b/>
          <w:color w:val="auto"/>
          <w:szCs w:val="21"/>
          <w:highlight w:val="none"/>
        </w:rPr>
      </w:pPr>
      <w:r>
        <w:rPr>
          <w:rFonts w:hint="eastAsia"/>
          <w:b/>
          <w:color w:val="auto"/>
          <w:szCs w:val="21"/>
          <w:highlight w:val="none"/>
        </w:rPr>
        <w:t>一、项目概况</w:t>
      </w:r>
    </w:p>
    <w:p>
      <w:pPr>
        <w:spacing w:line="360" w:lineRule="auto"/>
        <w:ind w:firstLine="420" w:firstLineChars="200"/>
        <w:rPr>
          <w:color w:val="auto"/>
          <w:szCs w:val="21"/>
          <w:highlight w:val="none"/>
          <w:u w:val="single"/>
        </w:rPr>
      </w:pPr>
      <w:r>
        <w:rPr>
          <w:rFonts w:hint="eastAsia"/>
          <w:color w:val="auto"/>
          <w:szCs w:val="21"/>
          <w:highlight w:val="none"/>
        </w:rPr>
        <w:t>1、项目名称：</w:t>
      </w:r>
      <w:r>
        <w:rPr>
          <w:rFonts w:hint="eastAsia"/>
          <w:color w:val="auto"/>
          <w:szCs w:val="21"/>
          <w:highlight w:val="none"/>
          <w:u w:val="single"/>
        </w:rPr>
        <w:t>绍兴市妇幼保健院（绍兴市儿童医院）建设项目医疗辐射防护项目。</w:t>
      </w:r>
    </w:p>
    <w:p>
      <w:pPr>
        <w:pStyle w:val="27"/>
        <w:spacing w:line="360" w:lineRule="auto"/>
        <w:ind w:firstLineChars="200"/>
        <w:rPr>
          <w:color w:val="auto"/>
          <w:sz w:val="21"/>
          <w:szCs w:val="21"/>
          <w:highlight w:val="none"/>
          <w:u w:val="single"/>
        </w:rPr>
      </w:pPr>
      <w:r>
        <w:rPr>
          <w:rFonts w:hint="eastAsia"/>
          <w:color w:val="auto"/>
          <w:sz w:val="21"/>
          <w:szCs w:val="21"/>
          <w:highlight w:val="none"/>
        </w:rPr>
        <w:t>2、项目地点：</w:t>
      </w:r>
      <w:r>
        <w:rPr>
          <w:rFonts w:hint="eastAsia"/>
          <w:color w:val="auto"/>
          <w:sz w:val="21"/>
          <w:szCs w:val="21"/>
          <w:highlight w:val="none"/>
          <w:u w:val="single"/>
        </w:rPr>
        <w:t>绍兴市越城区。</w:t>
      </w:r>
    </w:p>
    <w:p>
      <w:pPr>
        <w:spacing w:line="360" w:lineRule="auto"/>
        <w:ind w:firstLine="420" w:firstLineChars="200"/>
        <w:rPr>
          <w:color w:val="auto"/>
          <w:szCs w:val="21"/>
          <w:highlight w:val="none"/>
          <w:u w:val="single"/>
        </w:rPr>
      </w:pPr>
      <w:r>
        <w:rPr>
          <w:rFonts w:hint="eastAsia"/>
          <w:color w:val="auto"/>
          <w:szCs w:val="21"/>
          <w:highlight w:val="none"/>
        </w:rPr>
        <w:t>3、项目内容：</w:t>
      </w:r>
      <w:r>
        <w:rPr>
          <w:rFonts w:hint="eastAsia" w:ascii="宋体" w:hAnsi="宋体" w:cs="宋体"/>
          <w:b/>
          <w:bCs/>
          <w:color w:val="auto"/>
          <w:szCs w:val="21"/>
          <w:highlight w:val="none"/>
        </w:rPr>
        <w:t>绍兴市妇幼保健院（绍兴市儿童医院）建设项目医疗辐射防护项目，①放射科位于门急诊医技楼一层，设有DR室、CT室、MRI室、造影室以及设备间；②体检中心放射科位于妇科住院楼二层，设有骨密度、DR、CT、钼靶以及控制室；③NICU放射科位于妇科住院楼三层，设有1间X线室(防护)；④发热门诊CT室、移动X射线；⑤手术室的DSA房间等招标图范围内房间。详见招标文件  “技术标准和要求”</w:t>
      </w:r>
      <w:r>
        <w:rPr>
          <w:rFonts w:hint="eastAsia"/>
          <w:color w:val="auto"/>
          <w:szCs w:val="21"/>
          <w:highlight w:val="none"/>
          <w:u w:val="single"/>
        </w:rPr>
        <w:t>。</w:t>
      </w:r>
    </w:p>
    <w:p>
      <w:pPr>
        <w:spacing w:line="360" w:lineRule="auto"/>
        <w:ind w:firstLine="422" w:firstLineChars="200"/>
        <w:rPr>
          <w:color w:val="auto"/>
          <w:szCs w:val="21"/>
          <w:highlight w:val="none"/>
          <w:u w:val="single"/>
        </w:rPr>
      </w:pPr>
      <w:r>
        <w:rPr>
          <w:rFonts w:hint="eastAsia" w:ascii="宋体" w:hAnsi="宋体" w:cs="宋体"/>
          <w:b/>
          <w:bCs/>
          <w:color w:val="auto"/>
          <w:szCs w:val="21"/>
          <w:highlight w:val="none"/>
        </w:rPr>
        <w:t>招标人提供的防辐射系统设备采购及安装的防辐射图纸中的所有工程内容，包括防辐射工程施工图的进一步深化设计、材料供货、运输、卸货、保管、施工、安装、调试、检测、防辐射标识标记等并最终通过验收，同时负责技术服务与培训，提交相关技术资料以及质保期内的维修保养等，并提供磁屏蔽第三方性能检测，放射第三方环评、控评、机房性能检测、放射设备性能检测，及辐射安全许可、放射诊疗许可变更等手续及相关费用</w:t>
      </w:r>
      <w:r>
        <w:rPr>
          <w:rFonts w:hint="eastAsia"/>
          <w:color w:val="auto"/>
          <w:szCs w:val="21"/>
          <w:highlight w:val="none"/>
          <w:u w:val="single"/>
        </w:rPr>
        <w:t>。</w:t>
      </w:r>
    </w:p>
    <w:p>
      <w:pPr>
        <w:spacing w:line="360" w:lineRule="auto"/>
        <w:ind w:firstLine="422" w:firstLineChars="200"/>
        <w:rPr>
          <w:b/>
          <w:color w:val="auto"/>
          <w:szCs w:val="21"/>
          <w:highlight w:val="none"/>
        </w:rPr>
      </w:pPr>
      <w:r>
        <w:rPr>
          <w:rFonts w:hint="eastAsia"/>
          <w:b/>
          <w:color w:val="auto"/>
          <w:szCs w:val="21"/>
          <w:highlight w:val="none"/>
        </w:rPr>
        <w:t>二、合同范围和条件</w:t>
      </w:r>
    </w:p>
    <w:p>
      <w:pPr>
        <w:spacing w:line="360" w:lineRule="auto"/>
        <w:ind w:firstLine="485" w:firstLineChars="231"/>
        <w:rPr>
          <w:color w:val="auto"/>
          <w:szCs w:val="21"/>
          <w:highlight w:val="none"/>
        </w:rPr>
      </w:pPr>
      <w:r>
        <w:rPr>
          <w:rFonts w:hint="eastAsia"/>
          <w:color w:val="auto"/>
          <w:szCs w:val="21"/>
          <w:highlight w:val="none"/>
        </w:rPr>
        <w:t>本合同的范围和条件应与上述规定的合同文件内容一致。</w:t>
      </w:r>
    </w:p>
    <w:p>
      <w:pPr>
        <w:spacing w:line="360" w:lineRule="auto"/>
        <w:ind w:firstLine="487" w:firstLineChars="231"/>
        <w:rPr>
          <w:b/>
          <w:color w:val="auto"/>
          <w:szCs w:val="21"/>
          <w:highlight w:val="none"/>
        </w:rPr>
      </w:pPr>
      <w:r>
        <w:rPr>
          <w:rFonts w:hint="eastAsia"/>
          <w:b/>
          <w:color w:val="auto"/>
          <w:szCs w:val="21"/>
          <w:highlight w:val="none"/>
        </w:rPr>
        <w:t>三、合同标的及数量</w:t>
      </w:r>
    </w:p>
    <w:p>
      <w:pPr>
        <w:spacing w:line="360" w:lineRule="auto"/>
        <w:ind w:firstLine="485" w:firstLineChars="231"/>
        <w:rPr>
          <w:color w:val="auto"/>
          <w:szCs w:val="21"/>
          <w:highlight w:val="none"/>
        </w:rPr>
      </w:pPr>
      <w:r>
        <w:rPr>
          <w:rFonts w:hint="eastAsia"/>
          <w:color w:val="auto"/>
          <w:szCs w:val="21"/>
          <w:highlight w:val="none"/>
        </w:rPr>
        <w:t>本合同要求提供的产品、规格和数量见招标文件相关要求。</w:t>
      </w:r>
    </w:p>
    <w:p>
      <w:pPr>
        <w:spacing w:line="360" w:lineRule="auto"/>
        <w:ind w:firstLine="487" w:firstLineChars="231"/>
        <w:rPr>
          <w:b/>
          <w:color w:val="auto"/>
          <w:szCs w:val="21"/>
          <w:highlight w:val="none"/>
        </w:rPr>
      </w:pPr>
      <w:r>
        <w:rPr>
          <w:rFonts w:hint="eastAsia"/>
          <w:b/>
          <w:color w:val="auto"/>
          <w:szCs w:val="21"/>
          <w:highlight w:val="none"/>
        </w:rPr>
        <w:t>四、合同工期</w:t>
      </w:r>
    </w:p>
    <w:p>
      <w:pPr>
        <w:pStyle w:val="63"/>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计划开工日期：  /  年 / 月 / 日。(以开工报告日期为准）</w:t>
      </w:r>
    </w:p>
    <w:p>
      <w:pPr>
        <w:pStyle w:val="63"/>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计划竣工日期： /  年 / 月 / 日。</w:t>
      </w:r>
    </w:p>
    <w:p>
      <w:pPr>
        <w:pStyle w:val="63"/>
        <w:spacing w:line="360" w:lineRule="auto"/>
        <w:ind w:firstLine="630" w:firstLineChars="300"/>
        <w:rPr>
          <w:rFonts w:ascii="宋体" w:hAnsi="宋体" w:cs="宋体"/>
          <w:color w:val="auto"/>
          <w:highlight w:val="none"/>
        </w:rPr>
      </w:pPr>
      <w:r>
        <w:rPr>
          <w:rFonts w:hint="eastAsia" w:ascii="宋体" w:hAnsi="宋体" w:cs="宋体"/>
          <w:color w:val="auto"/>
          <w:highlight w:val="none"/>
        </w:rPr>
        <w:t>以甲方发出的开工指令后210日历天，具体应与工程施工总进度计划同步。</w:t>
      </w:r>
    </w:p>
    <w:p>
      <w:pPr>
        <w:spacing w:line="360" w:lineRule="auto"/>
        <w:ind w:firstLine="487" w:firstLineChars="231"/>
        <w:rPr>
          <w:b/>
          <w:color w:val="auto"/>
          <w:szCs w:val="21"/>
          <w:highlight w:val="none"/>
        </w:rPr>
      </w:pPr>
      <w:r>
        <w:rPr>
          <w:rFonts w:hint="eastAsia"/>
          <w:b/>
          <w:color w:val="auto"/>
          <w:szCs w:val="21"/>
          <w:highlight w:val="none"/>
        </w:rPr>
        <w:t>五、质量标准</w:t>
      </w:r>
    </w:p>
    <w:p>
      <w:pPr>
        <w:pStyle w:val="9"/>
        <w:spacing w:line="360" w:lineRule="auto"/>
        <w:ind w:firstLine="630" w:firstLineChars="300"/>
        <w:rPr>
          <w:rFonts w:ascii="宋体" w:hAnsi="宋体" w:cs="宋体"/>
          <w:color w:val="auto"/>
          <w:kern w:val="2"/>
          <w:sz w:val="21"/>
          <w:szCs w:val="21"/>
          <w:highlight w:val="none"/>
        </w:rPr>
      </w:pPr>
      <w:r>
        <w:rPr>
          <w:rFonts w:hint="eastAsia" w:ascii="宋体" w:hAnsi="宋体" w:cs="宋体"/>
          <w:color w:val="auto"/>
          <w:kern w:val="2"/>
          <w:sz w:val="21"/>
          <w:szCs w:val="21"/>
          <w:highlight w:val="none"/>
        </w:rPr>
        <w:t>合格。全力配合甲方争创钱江杯、鲁班奖。</w:t>
      </w:r>
    </w:p>
    <w:p>
      <w:pPr>
        <w:spacing w:line="360" w:lineRule="auto"/>
        <w:ind w:firstLine="487" w:firstLineChars="231"/>
        <w:rPr>
          <w:b/>
          <w:color w:val="auto"/>
          <w:szCs w:val="21"/>
          <w:highlight w:val="none"/>
        </w:rPr>
      </w:pPr>
      <w:r>
        <w:rPr>
          <w:rFonts w:hint="eastAsia"/>
          <w:b/>
          <w:color w:val="auto"/>
          <w:szCs w:val="21"/>
          <w:highlight w:val="none"/>
        </w:rPr>
        <w:t>六、合同总价</w:t>
      </w:r>
    </w:p>
    <w:p>
      <w:pPr>
        <w:spacing w:line="360" w:lineRule="auto"/>
        <w:ind w:firstLine="420" w:firstLineChars="200"/>
        <w:rPr>
          <w:color w:val="auto"/>
          <w:szCs w:val="21"/>
          <w:highlight w:val="none"/>
        </w:rPr>
      </w:pPr>
      <w:r>
        <w:rPr>
          <w:rFonts w:hint="eastAsia"/>
          <w:color w:val="auto"/>
          <w:szCs w:val="21"/>
          <w:highlight w:val="none"/>
        </w:rPr>
        <w:t>本合同为固定总价合同，合同总价（含税中标价）为人民币</w:t>
      </w:r>
      <w:r>
        <w:rPr>
          <w:color w:val="auto"/>
          <w:szCs w:val="21"/>
          <w:highlight w:val="none"/>
          <w:u w:val="single"/>
        </w:rPr>
        <w:t xml:space="preserve">          </w:t>
      </w:r>
      <w:r>
        <w:rPr>
          <w:rFonts w:hint="eastAsia"/>
          <w:color w:val="auto"/>
          <w:szCs w:val="21"/>
          <w:highlight w:val="none"/>
        </w:rPr>
        <w:t>元，大写</w:t>
      </w:r>
      <w:r>
        <w:rPr>
          <w:rFonts w:hint="eastAsia"/>
          <w:color w:val="auto"/>
          <w:szCs w:val="21"/>
          <w:highlight w:val="none"/>
          <w:u w:val="single"/>
        </w:rPr>
        <w:t xml:space="preserve">          </w:t>
      </w:r>
      <w:r>
        <w:rPr>
          <w:rFonts w:hint="eastAsia"/>
          <w:color w:val="auto"/>
          <w:szCs w:val="21"/>
          <w:highlight w:val="none"/>
        </w:rPr>
        <w:t xml:space="preserve">元。 </w:t>
      </w:r>
    </w:p>
    <w:p>
      <w:pPr>
        <w:pStyle w:val="27"/>
        <w:spacing w:line="360" w:lineRule="auto"/>
        <w:ind w:firstLineChars="200"/>
        <w:rPr>
          <w:color w:val="auto"/>
          <w:sz w:val="21"/>
          <w:szCs w:val="21"/>
          <w:highlight w:val="none"/>
        </w:rPr>
      </w:pPr>
      <w:r>
        <w:rPr>
          <w:rFonts w:hint="eastAsia"/>
          <w:color w:val="auto"/>
          <w:sz w:val="21"/>
          <w:szCs w:val="21"/>
          <w:highlight w:val="none"/>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丙方同意，工程量及各种相关一切费用不再增加。图纸中设备或材料若已有变更升级的相应设备或材料则需变更为升级后的设备或材料经丙、丁方同意，费用也不再增加。丙、丁方有权增减工作范围，该费用应予以增减。甲方所有的变更，必须经过丙、丁方书面同意。</w:t>
      </w:r>
    </w:p>
    <w:p>
      <w:pPr>
        <w:spacing w:line="360" w:lineRule="auto"/>
        <w:ind w:firstLine="487" w:firstLineChars="231"/>
        <w:rPr>
          <w:b/>
          <w:color w:val="auto"/>
          <w:szCs w:val="21"/>
          <w:highlight w:val="none"/>
        </w:rPr>
      </w:pPr>
      <w:r>
        <w:rPr>
          <w:rFonts w:hint="eastAsia"/>
          <w:b/>
          <w:color w:val="auto"/>
          <w:szCs w:val="21"/>
          <w:highlight w:val="none"/>
        </w:rPr>
        <w:t>七、项目负责人</w:t>
      </w:r>
    </w:p>
    <w:p>
      <w:pPr>
        <w:pStyle w:val="27"/>
        <w:spacing w:line="360" w:lineRule="auto"/>
        <w:ind w:firstLine="630" w:firstLineChars="300"/>
        <w:rPr>
          <w:color w:val="auto"/>
          <w:sz w:val="21"/>
          <w:szCs w:val="21"/>
          <w:highlight w:val="none"/>
          <w:u w:val="single"/>
        </w:rPr>
      </w:pPr>
      <w:r>
        <w:rPr>
          <w:rFonts w:hint="eastAsia"/>
          <w:color w:val="auto"/>
          <w:sz w:val="21"/>
          <w:szCs w:val="21"/>
          <w:highlight w:val="none"/>
        </w:rPr>
        <w:t>乙方项目负责人：身份证号</w:t>
      </w:r>
      <w:r>
        <w:rPr>
          <w:rFonts w:hint="eastAsia"/>
          <w:color w:val="auto"/>
          <w:sz w:val="21"/>
          <w:szCs w:val="21"/>
          <w:highlight w:val="none"/>
          <w:u w:val="single"/>
        </w:rPr>
        <w:t>：                   。</w:t>
      </w:r>
    </w:p>
    <w:p>
      <w:pPr>
        <w:spacing w:line="360" w:lineRule="auto"/>
        <w:ind w:firstLine="487" w:firstLineChars="231"/>
        <w:rPr>
          <w:b/>
          <w:color w:val="auto"/>
          <w:szCs w:val="21"/>
          <w:highlight w:val="none"/>
        </w:rPr>
      </w:pPr>
      <w:r>
        <w:rPr>
          <w:rFonts w:hint="eastAsia"/>
          <w:b/>
          <w:color w:val="auto"/>
          <w:szCs w:val="21"/>
          <w:highlight w:val="none"/>
        </w:rPr>
        <w:t>八、合同文件</w:t>
      </w:r>
    </w:p>
    <w:p>
      <w:pPr>
        <w:spacing w:line="360" w:lineRule="auto"/>
        <w:ind w:firstLine="485" w:firstLineChars="231"/>
        <w:rPr>
          <w:color w:val="auto"/>
          <w:szCs w:val="21"/>
          <w:highlight w:val="none"/>
        </w:rPr>
      </w:pPr>
      <w:r>
        <w:rPr>
          <w:rFonts w:hint="eastAsia"/>
          <w:color w:val="auto"/>
          <w:szCs w:val="21"/>
          <w:highlight w:val="none"/>
        </w:rPr>
        <w:t>下列文件构成本合同的组成部分：</w:t>
      </w:r>
    </w:p>
    <w:p>
      <w:pPr>
        <w:spacing w:line="360" w:lineRule="auto"/>
        <w:ind w:firstLine="485" w:firstLineChars="231"/>
        <w:rPr>
          <w:color w:val="auto"/>
          <w:szCs w:val="21"/>
          <w:highlight w:val="none"/>
        </w:rPr>
      </w:pPr>
      <w:r>
        <w:rPr>
          <w:rFonts w:hint="eastAsia"/>
          <w:color w:val="auto"/>
          <w:szCs w:val="21"/>
          <w:highlight w:val="none"/>
        </w:rPr>
        <w:t>投标文件、招标文件、中标通知书、成交合同、合同补充条款、补充协议或说明（按从后往前的顺序解释）。</w:t>
      </w:r>
    </w:p>
    <w:p>
      <w:pPr>
        <w:spacing w:line="360" w:lineRule="auto"/>
        <w:ind w:firstLine="487" w:firstLineChars="231"/>
        <w:rPr>
          <w:b/>
          <w:color w:val="auto"/>
          <w:szCs w:val="21"/>
          <w:highlight w:val="none"/>
        </w:rPr>
      </w:pPr>
      <w:r>
        <w:rPr>
          <w:rFonts w:hint="eastAsia"/>
          <w:b/>
          <w:color w:val="auto"/>
          <w:szCs w:val="21"/>
          <w:highlight w:val="none"/>
        </w:rPr>
        <w:t>九、签订时间</w:t>
      </w:r>
    </w:p>
    <w:p>
      <w:pPr>
        <w:pStyle w:val="27"/>
        <w:spacing w:line="360" w:lineRule="auto"/>
        <w:ind w:firstLine="630" w:firstLineChars="300"/>
        <w:rPr>
          <w:color w:val="auto"/>
          <w:sz w:val="21"/>
          <w:szCs w:val="21"/>
          <w:highlight w:val="none"/>
        </w:rPr>
      </w:pPr>
      <w:r>
        <w:rPr>
          <w:rFonts w:hint="eastAsia"/>
          <w:color w:val="auto"/>
          <w:sz w:val="21"/>
          <w:szCs w:val="21"/>
          <w:highlight w:val="none"/>
        </w:rPr>
        <w:t>本合同于   年  月  日签订。</w:t>
      </w:r>
    </w:p>
    <w:p>
      <w:pPr>
        <w:spacing w:line="360" w:lineRule="auto"/>
        <w:ind w:firstLine="487" w:firstLineChars="231"/>
        <w:rPr>
          <w:b/>
          <w:color w:val="auto"/>
          <w:szCs w:val="21"/>
          <w:highlight w:val="none"/>
        </w:rPr>
      </w:pPr>
      <w:r>
        <w:rPr>
          <w:rFonts w:hint="eastAsia"/>
          <w:b/>
          <w:color w:val="auto"/>
          <w:szCs w:val="21"/>
          <w:highlight w:val="none"/>
        </w:rPr>
        <w:t>十、签订地点</w:t>
      </w:r>
    </w:p>
    <w:p>
      <w:pPr>
        <w:pStyle w:val="27"/>
        <w:spacing w:line="360" w:lineRule="auto"/>
        <w:ind w:firstLine="630" w:firstLineChars="300"/>
        <w:rPr>
          <w:color w:val="auto"/>
          <w:sz w:val="21"/>
          <w:szCs w:val="21"/>
          <w:highlight w:val="none"/>
        </w:rPr>
      </w:pPr>
      <w:r>
        <w:rPr>
          <w:rFonts w:hint="eastAsia"/>
          <w:color w:val="auto"/>
          <w:sz w:val="21"/>
          <w:szCs w:val="21"/>
          <w:highlight w:val="none"/>
        </w:rPr>
        <w:t>本合同在</w:t>
      </w:r>
      <w:r>
        <w:rPr>
          <w:rFonts w:hint="eastAsia"/>
          <w:color w:val="auto"/>
          <w:sz w:val="21"/>
          <w:szCs w:val="21"/>
          <w:highlight w:val="none"/>
          <w:u w:val="single"/>
        </w:rPr>
        <w:t xml:space="preserve">                       </w:t>
      </w:r>
      <w:r>
        <w:rPr>
          <w:rFonts w:hint="eastAsia"/>
          <w:color w:val="auto"/>
          <w:sz w:val="21"/>
          <w:szCs w:val="21"/>
          <w:highlight w:val="none"/>
        </w:rPr>
        <w:t>签订。</w:t>
      </w:r>
    </w:p>
    <w:p>
      <w:pPr>
        <w:spacing w:line="360" w:lineRule="auto"/>
        <w:ind w:firstLine="487" w:firstLineChars="231"/>
        <w:rPr>
          <w:b/>
          <w:color w:val="auto"/>
          <w:szCs w:val="21"/>
          <w:highlight w:val="none"/>
        </w:rPr>
      </w:pPr>
      <w:r>
        <w:rPr>
          <w:rFonts w:hint="eastAsia"/>
          <w:b/>
          <w:color w:val="auto"/>
          <w:szCs w:val="21"/>
          <w:highlight w:val="none"/>
        </w:rPr>
        <w:t>十一、补充地点</w:t>
      </w:r>
    </w:p>
    <w:p>
      <w:pPr>
        <w:pStyle w:val="27"/>
        <w:spacing w:line="360" w:lineRule="auto"/>
        <w:ind w:firstLine="630" w:firstLineChars="300"/>
        <w:rPr>
          <w:color w:val="auto"/>
          <w:sz w:val="21"/>
          <w:szCs w:val="21"/>
          <w:highlight w:val="none"/>
        </w:rPr>
      </w:pPr>
      <w:r>
        <w:rPr>
          <w:rFonts w:hint="eastAsia"/>
          <w:color w:val="auto"/>
          <w:sz w:val="21"/>
          <w:szCs w:val="21"/>
          <w:highlight w:val="none"/>
        </w:rPr>
        <w:t>合同未尽事宜，合同当事人另行签订补充协议，补充协议是合同的组成部分。</w:t>
      </w:r>
    </w:p>
    <w:p>
      <w:pPr>
        <w:spacing w:line="360" w:lineRule="auto"/>
        <w:ind w:firstLine="487" w:firstLineChars="231"/>
        <w:rPr>
          <w:b/>
          <w:color w:val="auto"/>
          <w:szCs w:val="21"/>
          <w:highlight w:val="none"/>
        </w:rPr>
      </w:pPr>
      <w:r>
        <w:rPr>
          <w:rFonts w:hint="eastAsia"/>
          <w:b/>
          <w:color w:val="auto"/>
          <w:szCs w:val="21"/>
          <w:highlight w:val="none"/>
        </w:rPr>
        <w:t>十二、合同的生效</w:t>
      </w:r>
    </w:p>
    <w:p>
      <w:pPr>
        <w:spacing w:line="360" w:lineRule="auto"/>
        <w:ind w:firstLine="510"/>
        <w:rPr>
          <w:color w:val="auto"/>
          <w:szCs w:val="21"/>
          <w:highlight w:val="none"/>
        </w:rPr>
      </w:pPr>
      <w:r>
        <w:rPr>
          <w:rFonts w:hint="eastAsia"/>
          <w:color w:val="auto"/>
          <w:szCs w:val="21"/>
          <w:highlight w:val="none"/>
        </w:rPr>
        <w:t>本合同在乙方向甲方提交全部履约保证金后，且经甲乙丙丁四方法定代表人或授权代表签字并加盖公章之日起生效。</w:t>
      </w:r>
    </w:p>
    <w:p>
      <w:pPr>
        <w:spacing w:line="360" w:lineRule="auto"/>
        <w:ind w:firstLine="510"/>
        <w:rPr>
          <w:color w:val="auto"/>
          <w:szCs w:val="21"/>
          <w:highlight w:val="none"/>
        </w:rPr>
      </w:pPr>
      <w:r>
        <w:rPr>
          <w:rFonts w:hint="eastAsia"/>
          <w:color w:val="auto"/>
          <w:szCs w:val="21"/>
          <w:highlight w:val="none"/>
        </w:rPr>
        <w:t>合同一式</w:t>
      </w:r>
      <w:r>
        <w:rPr>
          <w:color w:val="auto"/>
          <w:szCs w:val="21"/>
          <w:highlight w:val="none"/>
        </w:rPr>
        <w:t>16</w:t>
      </w:r>
      <w:r>
        <w:rPr>
          <w:rFonts w:hint="eastAsia"/>
          <w:color w:val="auto"/>
          <w:szCs w:val="21"/>
          <w:highlight w:val="none"/>
        </w:rPr>
        <w:t>份，正</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 xml:space="preserve"> 份（甲、乙、丙、丁方各3份）。</w:t>
      </w:r>
    </w:p>
    <w:p>
      <w:pPr>
        <w:spacing w:line="360" w:lineRule="auto"/>
        <w:ind w:firstLine="210"/>
        <w:rPr>
          <w:color w:val="auto"/>
          <w:szCs w:val="21"/>
          <w:highlight w:val="none"/>
        </w:rPr>
      </w:pPr>
    </w:p>
    <w:p>
      <w:pPr>
        <w:spacing w:line="360" w:lineRule="auto"/>
        <w:rPr>
          <w:color w:val="auto"/>
          <w:szCs w:val="21"/>
          <w:highlight w:val="none"/>
          <w:u w:val="single"/>
        </w:rPr>
      </w:pPr>
      <w:r>
        <w:rPr>
          <w:rFonts w:hint="eastAsia"/>
          <w:color w:val="auto"/>
          <w:szCs w:val="21"/>
          <w:highlight w:val="none"/>
        </w:rPr>
        <w:t>甲方：                                                              乙方：</w:t>
      </w:r>
    </w:p>
    <w:p>
      <w:pPr>
        <w:spacing w:line="360" w:lineRule="auto"/>
        <w:rPr>
          <w:color w:val="auto"/>
          <w:szCs w:val="21"/>
          <w:highlight w:val="none"/>
        </w:rPr>
      </w:pPr>
      <w:r>
        <w:rPr>
          <w:rFonts w:hint="eastAsia"/>
          <w:color w:val="auto"/>
          <w:szCs w:val="21"/>
          <w:highlight w:val="none"/>
          <w:u w:val="single"/>
        </w:rPr>
        <w:t xml:space="preserve">  (盖章）                                                           (盖章）               </w:t>
      </w:r>
    </w:p>
    <w:p>
      <w:pPr>
        <w:spacing w:line="360" w:lineRule="auto"/>
        <w:rPr>
          <w:color w:val="auto"/>
          <w:szCs w:val="21"/>
          <w:highlight w:val="none"/>
          <w:u w:val="singl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r>
        <w:rPr>
          <w:rFonts w:hint="eastAsia"/>
          <w:color w:val="auto"/>
          <w:szCs w:val="21"/>
          <w:highlight w:val="none"/>
        </w:rPr>
        <w:t xml:space="preserve">                    委托代理人：</w:t>
      </w:r>
      <w:r>
        <w:rPr>
          <w:rFonts w:hint="eastAsia"/>
          <w:color w:val="auto"/>
          <w:szCs w:val="21"/>
          <w:highlight w:val="none"/>
          <w:u w:val="single"/>
        </w:rPr>
        <w:t xml:space="preserve">     (签字)        </w:t>
      </w:r>
    </w:p>
    <w:p>
      <w:pPr>
        <w:tabs>
          <w:tab w:val="left" w:pos="4500"/>
        </w:tabs>
        <w:spacing w:line="360" w:lineRule="auto"/>
        <w:rPr>
          <w:color w:val="auto"/>
          <w:szCs w:val="21"/>
          <w:highlight w:val="none"/>
        </w:rPr>
      </w:pPr>
      <w:r>
        <w:rPr>
          <w:rFonts w:hint="eastAsia"/>
          <w:color w:val="auto"/>
          <w:szCs w:val="21"/>
          <w:highlight w:val="none"/>
        </w:rPr>
        <w:t>地址：                                                                 地址：</w:t>
      </w:r>
    </w:p>
    <w:p>
      <w:pPr>
        <w:spacing w:line="360" w:lineRule="auto"/>
        <w:rPr>
          <w:color w:val="auto"/>
          <w:szCs w:val="21"/>
          <w:highlight w:val="none"/>
        </w:rPr>
      </w:pPr>
      <w:r>
        <w:rPr>
          <w:rFonts w:hint="eastAsia"/>
          <w:color w:val="auto"/>
          <w:szCs w:val="21"/>
          <w:highlight w:val="none"/>
        </w:rPr>
        <w:t>邮政编码：                                                          邮政编码：</w:t>
      </w:r>
    </w:p>
    <w:p>
      <w:pPr>
        <w:spacing w:line="360" w:lineRule="auto"/>
        <w:rPr>
          <w:color w:val="auto"/>
          <w:szCs w:val="21"/>
          <w:highlight w:val="none"/>
        </w:rPr>
      </w:pPr>
      <w:r>
        <w:rPr>
          <w:rFonts w:hint="eastAsia"/>
          <w:color w:val="auto"/>
          <w:szCs w:val="21"/>
          <w:highlight w:val="none"/>
        </w:rPr>
        <w:t>电    话：                                                             电    话：</w:t>
      </w:r>
    </w:p>
    <w:p>
      <w:pPr>
        <w:spacing w:line="360" w:lineRule="auto"/>
        <w:rPr>
          <w:color w:val="auto"/>
          <w:szCs w:val="21"/>
          <w:highlight w:val="none"/>
          <w:u w:val="single"/>
        </w:rPr>
      </w:pPr>
      <w:r>
        <w:rPr>
          <w:rFonts w:hint="eastAsia"/>
          <w:color w:val="auto"/>
          <w:szCs w:val="21"/>
          <w:highlight w:val="none"/>
        </w:rPr>
        <w:t>传    真：                                                            传    真：</w:t>
      </w:r>
    </w:p>
    <w:p>
      <w:pPr>
        <w:spacing w:line="360" w:lineRule="auto"/>
        <w:ind w:left="5355" w:hanging="5355" w:hangingChars="2550"/>
        <w:rPr>
          <w:color w:val="auto"/>
          <w:spacing w:val="-6"/>
          <w:szCs w:val="21"/>
          <w:highlight w:val="none"/>
          <w:u w:val="single"/>
        </w:rPr>
      </w:pPr>
      <w:r>
        <w:rPr>
          <w:rFonts w:hint="eastAsia"/>
          <w:color w:val="auto"/>
          <w:szCs w:val="21"/>
          <w:highlight w:val="none"/>
        </w:rPr>
        <w:t>开户银行：                                                        开户银行：</w:t>
      </w:r>
    </w:p>
    <w:p>
      <w:pPr>
        <w:spacing w:line="360" w:lineRule="auto"/>
        <w:rPr>
          <w:color w:val="auto"/>
          <w:szCs w:val="21"/>
          <w:highlight w:val="none"/>
          <w:u w:val="single"/>
        </w:rPr>
      </w:pPr>
      <w:r>
        <w:rPr>
          <w:rFonts w:hint="eastAsia"/>
          <w:color w:val="auto"/>
          <w:szCs w:val="21"/>
          <w:highlight w:val="none"/>
        </w:rPr>
        <w:t>银行账号：                                                      银行账号：</w:t>
      </w:r>
    </w:p>
    <w:p>
      <w:pPr>
        <w:tabs>
          <w:tab w:val="left" w:pos="4680"/>
        </w:tabs>
        <w:spacing w:line="360" w:lineRule="auto"/>
        <w:rPr>
          <w:color w:val="auto"/>
          <w:szCs w:val="21"/>
          <w:highlight w:val="none"/>
        </w:rPr>
      </w:pPr>
      <w:r>
        <w:rPr>
          <w:rFonts w:hint="eastAsia"/>
          <w:color w:val="auto"/>
          <w:szCs w:val="21"/>
          <w:highlight w:val="none"/>
        </w:rPr>
        <w:t>丙方：</w:t>
      </w:r>
      <w:r>
        <w:rPr>
          <w:rFonts w:hint="eastAsia"/>
          <w:color w:val="auto"/>
          <w:szCs w:val="21"/>
          <w:highlight w:val="none"/>
          <w:u w:val="single"/>
        </w:rPr>
        <w:t>绍兴市妇幼保健院</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rPr>
      </w:pPr>
      <w:r>
        <w:rPr>
          <w:rFonts w:hint="eastAsia"/>
          <w:color w:val="auto"/>
          <w:szCs w:val="21"/>
          <w:highlight w:val="none"/>
        </w:rPr>
        <w:t>传    真：0575-88269882</w:t>
      </w:r>
    </w:p>
    <w:p>
      <w:pPr>
        <w:tabs>
          <w:tab w:val="left" w:pos="4680"/>
        </w:tabs>
        <w:spacing w:line="360" w:lineRule="auto"/>
        <w:rPr>
          <w:color w:val="auto"/>
          <w:szCs w:val="21"/>
          <w:highlight w:val="none"/>
        </w:rPr>
      </w:pPr>
      <w:r>
        <w:rPr>
          <w:rFonts w:hint="eastAsia"/>
          <w:color w:val="auto"/>
          <w:szCs w:val="21"/>
          <w:highlight w:val="none"/>
        </w:rPr>
        <w:t>丁方：</w:t>
      </w:r>
      <w:r>
        <w:rPr>
          <w:rFonts w:hint="eastAsia"/>
          <w:color w:val="auto"/>
          <w:szCs w:val="21"/>
          <w:highlight w:val="none"/>
          <w:u w:val="single"/>
        </w:rPr>
        <w:t xml:space="preserve">绍兴市交通建设有限公司    </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u w:val="single"/>
        </w:rPr>
      </w:pPr>
      <w:r>
        <w:rPr>
          <w:rFonts w:hint="eastAsia"/>
          <w:color w:val="auto"/>
          <w:szCs w:val="21"/>
          <w:highlight w:val="none"/>
        </w:rPr>
        <w:t>传    真：</w:t>
      </w:r>
    </w:p>
    <w:p>
      <w:pPr>
        <w:pStyle w:val="27"/>
        <w:ind w:firstLine="340"/>
        <w:rPr>
          <w:color w:val="auto"/>
          <w:highlight w:val="none"/>
        </w:rPr>
      </w:pPr>
    </w:p>
    <w:p>
      <w:pPr>
        <w:tabs>
          <w:tab w:val="left" w:pos="4500"/>
          <w:tab w:val="left" w:pos="4680"/>
        </w:tabs>
        <w:spacing w:line="360" w:lineRule="auto"/>
        <w:jc w:val="right"/>
        <w:rPr>
          <w:color w:val="auto"/>
          <w:szCs w:val="21"/>
          <w:highlight w:val="none"/>
        </w:rPr>
      </w:pPr>
      <w:r>
        <w:rPr>
          <w:rFonts w:hint="eastAsia"/>
          <w:color w:val="auto"/>
          <w:szCs w:val="21"/>
          <w:highlight w:val="none"/>
        </w:rPr>
        <w:t>签订日期：   年  月  日</w:t>
      </w: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highlight w:val="none"/>
        </w:rPr>
      </w:pPr>
    </w:p>
    <w:p>
      <w:pPr>
        <w:spacing w:line="360" w:lineRule="auto"/>
        <w:jc w:val="center"/>
        <w:rPr>
          <w:b/>
          <w:color w:val="auto"/>
          <w:szCs w:val="21"/>
          <w:highlight w:val="none"/>
        </w:rPr>
      </w:pPr>
      <w:bookmarkStart w:id="427" w:name="_Toc297017782"/>
      <w:bookmarkStart w:id="428" w:name="_Toc406074421"/>
      <w:r>
        <w:rPr>
          <w:rFonts w:hint="eastAsia"/>
          <w:b/>
          <w:color w:val="auto"/>
          <w:szCs w:val="21"/>
          <w:highlight w:val="none"/>
        </w:rPr>
        <w:t>二、合同一般条款</w:t>
      </w:r>
      <w:bookmarkEnd w:id="427"/>
      <w:bookmarkEnd w:id="428"/>
    </w:p>
    <w:p>
      <w:pPr>
        <w:spacing w:line="360" w:lineRule="auto"/>
        <w:rPr>
          <w:b/>
          <w:color w:val="auto"/>
          <w:szCs w:val="21"/>
          <w:highlight w:val="none"/>
        </w:rPr>
      </w:pPr>
    </w:p>
    <w:p>
      <w:pPr>
        <w:spacing w:line="360" w:lineRule="auto"/>
        <w:ind w:firstLine="420" w:firstLineChars="200"/>
        <w:outlineLvl w:val="0"/>
        <w:rPr>
          <w:color w:val="auto"/>
          <w:szCs w:val="21"/>
          <w:highlight w:val="none"/>
        </w:rPr>
      </w:pPr>
      <w:r>
        <w:rPr>
          <w:rFonts w:hint="eastAsia"/>
          <w:color w:val="auto"/>
          <w:szCs w:val="21"/>
          <w:highlight w:val="none"/>
        </w:rPr>
        <w:t>1、合同产品的名称、技术规范和数量应与中标通知书、招标文件及被甲方及丙方接受的规格性能偏离表相一致。</w:t>
      </w:r>
    </w:p>
    <w:p>
      <w:pPr>
        <w:spacing w:line="360" w:lineRule="auto"/>
        <w:ind w:firstLine="420" w:firstLineChars="200"/>
        <w:outlineLvl w:val="0"/>
        <w:rPr>
          <w:color w:val="auto"/>
          <w:szCs w:val="21"/>
          <w:highlight w:val="none"/>
        </w:rPr>
      </w:pPr>
      <w:bookmarkStart w:id="429" w:name="_Toc28660"/>
      <w:r>
        <w:rPr>
          <w:rFonts w:hint="eastAsia"/>
          <w:color w:val="auto"/>
          <w:szCs w:val="21"/>
          <w:highlight w:val="none"/>
        </w:rPr>
        <w:t>2、产品的质量、技术标准</w:t>
      </w:r>
      <w:bookmarkEnd w:id="429"/>
    </w:p>
    <w:p>
      <w:pPr>
        <w:spacing w:line="360" w:lineRule="auto"/>
        <w:ind w:firstLine="420" w:firstLineChars="200"/>
        <w:rPr>
          <w:color w:val="auto"/>
          <w:szCs w:val="21"/>
          <w:highlight w:val="none"/>
        </w:rPr>
      </w:pPr>
      <w:r>
        <w:rPr>
          <w:rFonts w:hint="eastAsia"/>
          <w:color w:val="auto"/>
          <w:szCs w:val="21"/>
          <w:highlight w:val="none"/>
        </w:rPr>
        <w:t>合同产品的质量、技术标准如在招投标文件中无相应说明，则按国家有关部门颁布的最新的国家或专业（部）标准执行及相应的国际标准执行。</w:t>
      </w:r>
    </w:p>
    <w:p>
      <w:pPr>
        <w:spacing w:line="360" w:lineRule="auto"/>
        <w:ind w:firstLine="420" w:firstLineChars="200"/>
        <w:outlineLvl w:val="0"/>
        <w:rPr>
          <w:color w:val="auto"/>
          <w:szCs w:val="21"/>
          <w:highlight w:val="none"/>
        </w:rPr>
      </w:pPr>
      <w:r>
        <w:rPr>
          <w:rFonts w:hint="eastAsia"/>
          <w:color w:val="auto"/>
          <w:szCs w:val="21"/>
          <w:highlight w:val="none"/>
        </w:rPr>
        <w:t>3、质量保证</w:t>
      </w:r>
    </w:p>
    <w:p>
      <w:pPr>
        <w:spacing w:line="360" w:lineRule="auto"/>
        <w:ind w:firstLine="420" w:firstLineChars="200"/>
        <w:rPr>
          <w:color w:val="auto"/>
          <w:szCs w:val="21"/>
          <w:highlight w:val="none"/>
        </w:rPr>
      </w:pPr>
      <w:r>
        <w:rPr>
          <w:rFonts w:hint="eastAsia"/>
          <w:color w:val="auto"/>
          <w:szCs w:val="21"/>
          <w:highlight w:val="none"/>
        </w:rPr>
        <w:t>3.1乙方保证所提供的设备是全新的、未使用过的。</w:t>
      </w:r>
    </w:p>
    <w:p>
      <w:pPr>
        <w:spacing w:line="360" w:lineRule="auto"/>
        <w:ind w:firstLine="420" w:firstLineChars="200"/>
        <w:rPr>
          <w:color w:val="auto"/>
          <w:szCs w:val="21"/>
          <w:highlight w:val="none"/>
        </w:rPr>
      </w:pPr>
      <w:r>
        <w:rPr>
          <w:rFonts w:hint="eastAsia"/>
          <w:color w:val="auto"/>
          <w:szCs w:val="21"/>
          <w:highlight w:val="none"/>
        </w:rPr>
        <w:t>3.2乙方保证采用先进的技术、优质的材料和零部件、一流的工艺、严格的质量管理为甲方及丙方提供技术先进、质量上乘、外表美观并完全符合合同规定的质量、规格、性能要求的产品。</w:t>
      </w:r>
    </w:p>
    <w:p>
      <w:pPr>
        <w:spacing w:line="360" w:lineRule="auto"/>
        <w:ind w:firstLine="420" w:firstLineChars="200"/>
        <w:rPr>
          <w:color w:val="auto"/>
          <w:szCs w:val="21"/>
          <w:highlight w:val="none"/>
        </w:rPr>
      </w:pPr>
      <w:r>
        <w:rPr>
          <w:rFonts w:hint="eastAsia"/>
          <w:color w:val="auto"/>
          <w:szCs w:val="21"/>
          <w:highlight w:val="none"/>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color w:val="auto"/>
          <w:szCs w:val="21"/>
          <w:highlight w:val="none"/>
        </w:rPr>
      </w:pPr>
      <w:r>
        <w:rPr>
          <w:rFonts w:hint="eastAsia"/>
          <w:color w:val="auto"/>
          <w:szCs w:val="21"/>
          <w:highlight w:val="none"/>
        </w:rPr>
        <w:t>3.4乙方保证所提供的设备在正确安装、正常使用和维护保养的情况下，具有使甲方及丙方满意的使用性能和使用寿命。</w:t>
      </w:r>
    </w:p>
    <w:p>
      <w:pPr>
        <w:spacing w:line="360" w:lineRule="auto"/>
        <w:ind w:firstLine="420" w:firstLineChars="200"/>
        <w:outlineLvl w:val="0"/>
        <w:rPr>
          <w:color w:val="auto"/>
          <w:szCs w:val="21"/>
          <w:highlight w:val="none"/>
        </w:rPr>
      </w:pPr>
      <w:bookmarkStart w:id="430" w:name="_Toc23533"/>
      <w:r>
        <w:rPr>
          <w:rFonts w:hint="eastAsia"/>
          <w:color w:val="auto"/>
          <w:szCs w:val="21"/>
          <w:highlight w:val="none"/>
        </w:rPr>
        <w:t>4、质量保证期</w:t>
      </w:r>
      <w:bookmarkEnd w:id="430"/>
    </w:p>
    <w:p>
      <w:pPr>
        <w:spacing w:line="360" w:lineRule="auto"/>
        <w:ind w:firstLine="420" w:firstLineChars="200"/>
        <w:rPr>
          <w:color w:val="auto"/>
          <w:szCs w:val="21"/>
          <w:highlight w:val="none"/>
        </w:rPr>
      </w:pPr>
      <w:r>
        <w:rPr>
          <w:rFonts w:hint="eastAsia"/>
          <w:color w:val="auto"/>
          <w:szCs w:val="21"/>
          <w:highlight w:val="none"/>
        </w:rPr>
        <w:t xml:space="preserve">产品的质量保证期为使用人使用产品之日起至少 </w:t>
      </w:r>
      <w:r>
        <w:rPr>
          <w:rFonts w:hint="eastAsia"/>
          <w:color w:val="auto"/>
          <w:szCs w:val="21"/>
          <w:highlight w:val="none"/>
          <w:u w:val="single"/>
        </w:rPr>
        <w:t xml:space="preserve">36 </w:t>
      </w:r>
      <w:r>
        <w:rPr>
          <w:rFonts w:hint="eastAsia"/>
          <w:bCs/>
          <w:color w:val="auto"/>
          <w:szCs w:val="21"/>
          <w:highlight w:val="none"/>
        </w:rPr>
        <w:t>个月</w:t>
      </w:r>
      <w:r>
        <w:rPr>
          <w:rFonts w:hint="eastAsia"/>
          <w:color w:val="auto"/>
          <w:szCs w:val="21"/>
          <w:highlight w:val="none"/>
        </w:rPr>
        <w:t>。在产品质量保证期之内，乙方对由于产品设计、工艺、材料、配套件的缺陷而造成的任何产品质量问题或故障，均承担免费提供同类产品的责任。</w:t>
      </w:r>
    </w:p>
    <w:p>
      <w:pPr>
        <w:spacing w:line="360" w:lineRule="auto"/>
        <w:ind w:firstLine="210"/>
        <w:outlineLvl w:val="0"/>
        <w:rPr>
          <w:color w:val="auto"/>
          <w:szCs w:val="21"/>
          <w:highlight w:val="none"/>
        </w:rPr>
      </w:pPr>
      <w:bookmarkStart w:id="431" w:name="_Toc4104"/>
      <w:r>
        <w:rPr>
          <w:rFonts w:hint="eastAsia"/>
          <w:color w:val="auto"/>
          <w:szCs w:val="21"/>
          <w:highlight w:val="none"/>
        </w:rPr>
        <w:t>5、合同修改</w:t>
      </w:r>
      <w:bookmarkEnd w:id="431"/>
    </w:p>
    <w:p>
      <w:pPr>
        <w:spacing w:line="360" w:lineRule="auto"/>
        <w:ind w:firstLine="420" w:firstLineChars="200"/>
        <w:rPr>
          <w:color w:val="auto"/>
          <w:szCs w:val="21"/>
          <w:highlight w:val="none"/>
        </w:rPr>
      </w:pPr>
      <w:r>
        <w:rPr>
          <w:rFonts w:hint="eastAsia"/>
          <w:color w:val="auto"/>
          <w:szCs w:val="21"/>
          <w:highlight w:val="none"/>
        </w:rPr>
        <w:t>5.1甲乙丙丁的任何一方对合同内容提出修改，均应以书面形式通知其他方，并达成由四方签署的合同修改书。</w:t>
      </w:r>
    </w:p>
    <w:p>
      <w:pPr>
        <w:spacing w:line="360" w:lineRule="auto"/>
        <w:ind w:firstLine="420" w:firstLineChars="200"/>
        <w:rPr>
          <w:color w:val="auto"/>
          <w:szCs w:val="21"/>
          <w:highlight w:val="none"/>
        </w:rPr>
      </w:pPr>
      <w:r>
        <w:rPr>
          <w:rFonts w:hint="eastAsia"/>
          <w:color w:val="auto"/>
          <w:szCs w:val="21"/>
          <w:highlight w:val="none"/>
        </w:rPr>
        <w:t>5.2除非甲方及丙方对设备的型号、规格和涉及价格因素的技术参数和配套件提出修改，乙方不得对合同价格提出修改要求。</w:t>
      </w:r>
    </w:p>
    <w:p>
      <w:pPr>
        <w:spacing w:line="360" w:lineRule="auto"/>
        <w:ind w:firstLine="315" w:firstLineChars="150"/>
        <w:outlineLvl w:val="0"/>
        <w:rPr>
          <w:color w:val="auto"/>
          <w:szCs w:val="21"/>
          <w:highlight w:val="none"/>
        </w:rPr>
      </w:pPr>
      <w:bookmarkStart w:id="432" w:name="_Toc21842"/>
      <w:r>
        <w:rPr>
          <w:rFonts w:hint="eastAsia"/>
          <w:color w:val="auto"/>
          <w:szCs w:val="21"/>
          <w:highlight w:val="none"/>
        </w:rPr>
        <w:t>6、违约责任</w:t>
      </w:r>
      <w:bookmarkEnd w:id="432"/>
    </w:p>
    <w:p>
      <w:pPr>
        <w:spacing w:line="360" w:lineRule="auto"/>
        <w:ind w:firstLine="210"/>
        <w:rPr>
          <w:color w:val="auto"/>
          <w:szCs w:val="21"/>
          <w:highlight w:val="none"/>
        </w:rPr>
      </w:pPr>
      <w:r>
        <w:rPr>
          <w:rFonts w:hint="eastAsia"/>
          <w:color w:val="auto"/>
          <w:szCs w:val="21"/>
          <w:highlight w:val="none"/>
        </w:rPr>
        <w:t xml:space="preserve">    6.1产品质量责任</w:t>
      </w:r>
    </w:p>
    <w:p>
      <w:pPr>
        <w:spacing w:line="360" w:lineRule="auto"/>
        <w:ind w:firstLine="420" w:firstLineChars="200"/>
        <w:rPr>
          <w:color w:val="auto"/>
          <w:szCs w:val="21"/>
          <w:highlight w:val="none"/>
        </w:rPr>
      </w:pPr>
      <w:r>
        <w:rPr>
          <w:rFonts w:hint="eastAsia"/>
          <w:color w:val="auto"/>
          <w:szCs w:val="21"/>
          <w:highlight w:val="none"/>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w:t>
      </w:r>
      <w:r>
        <w:rPr>
          <w:rFonts w:hint="eastAsia" w:ascii="宋体" w:hAnsi="宋体" w:cs="宋体"/>
          <w:color w:val="auto"/>
          <w:szCs w:val="21"/>
          <w:highlight w:val="none"/>
        </w:rPr>
        <w:t>全部</w:t>
      </w:r>
      <w:r>
        <w:rPr>
          <w:rFonts w:hint="eastAsia"/>
          <w:color w:val="auto"/>
          <w:szCs w:val="21"/>
          <w:highlight w:val="none"/>
        </w:rPr>
        <w:t>经济损失。</w:t>
      </w:r>
    </w:p>
    <w:p>
      <w:pPr>
        <w:spacing w:line="360" w:lineRule="auto"/>
        <w:ind w:firstLine="420" w:firstLineChars="200"/>
        <w:rPr>
          <w:color w:val="auto"/>
          <w:szCs w:val="21"/>
          <w:highlight w:val="none"/>
        </w:rPr>
      </w:pPr>
      <w:r>
        <w:rPr>
          <w:rFonts w:hint="eastAsia"/>
          <w:color w:val="auto"/>
          <w:szCs w:val="21"/>
          <w:highlight w:val="none"/>
        </w:rPr>
        <w:t>2）乙方在接到甲方及</w:t>
      </w:r>
      <w:r>
        <w:rPr>
          <w:rFonts w:hint="eastAsia" w:ascii="宋体" w:hAnsi="宋体" w:cs="宋体"/>
          <w:color w:val="auto"/>
          <w:szCs w:val="21"/>
          <w:highlight w:val="none"/>
        </w:rPr>
        <w:t>/或</w:t>
      </w:r>
      <w:r>
        <w:rPr>
          <w:rFonts w:hint="eastAsia"/>
          <w:color w:val="auto"/>
          <w:szCs w:val="21"/>
          <w:highlight w:val="none"/>
        </w:rPr>
        <w:t>丙方通知后，2小时内派人赴现场处理设备质量问题。质保期内乙方须安排专业维保人员驻场，驻场人员数量及资质须满足甲方及</w:t>
      </w:r>
      <w:r>
        <w:rPr>
          <w:rFonts w:hint="eastAsia" w:ascii="宋体" w:hAnsi="宋体" w:cs="宋体"/>
          <w:color w:val="auto"/>
          <w:szCs w:val="21"/>
          <w:highlight w:val="none"/>
        </w:rPr>
        <w:t>/或</w:t>
      </w:r>
      <w:r>
        <w:rPr>
          <w:rFonts w:hint="eastAsia"/>
          <w:color w:val="auto"/>
          <w:szCs w:val="21"/>
          <w:highlight w:val="none"/>
        </w:rPr>
        <w:t>丙、丁方需求并获得书面审批。</w:t>
      </w:r>
    </w:p>
    <w:p>
      <w:pPr>
        <w:spacing w:line="360" w:lineRule="auto"/>
        <w:ind w:firstLine="210"/>
        <w:rPr>
          <w:color w:val="auto"/>
          <w:szCs w:val="21"/>
          <w:highlight w:val="none"/>
        </w:rPr>
      </w:pPr>
      <w:r>
        <w:rPr>
          <w:rFonts w:hint="eastAsia"/>
          <w:color w:val="auto"/>
          <w:szCs w:val="21"/>
          <w:highlight w:val="none"/>
        </w:rPr>
        <w:t xml:space="preserve">  3）在产品质量保证期内，由于甲方及</w:t>
      </w:r>
      <w:r>
        <w:rPr>
          <w:rFonts w:hint="eastAsia" w:ascii="宋体" w:hAnsi="宋体" w:cs="宋体"/>
          <w:color w:val="auto"/>
          <w:szCs w:val="21"/>
          <w:highlight w:val="none"/>
        </w:rPr>
        <w:t>/或</w:t>
      </w:r>
      <w:r>
        <w:rPr>
          <w:rFonts w:hint="eastAsia"/>
          <w:color w:val="auto"/>
          <w:szCs w:val="21"/>
          <w:highlight w:val="none"/>
        </w:rPr>
        <w:t>丙方保管不善或使用不当造成设备短缺、故障或损坏，由甲方及</w:t>
      </w:r>
      <w:r>
        <w:rPr>
          <w:rFonts w:hint="eastAsia" w:ascii="宋体" w:hAnsi="宋体" w:cs="宋体"/>
          <w:color w:val="auto"/>
          <w:szCs w:val="21"/>
          <w:highlight w:val="none"/>
        </w:rPr>
        <w:t>/或</w:t>
      </w:r>
      <w:r>
        <w:rPr>
          <w:rFonts w:hint="eastAsia"/>
          <w:color w:val="auto"/>
          <w:szCs w:val="21"/>
          <w:highlight w:val="none"/>
        </w:rPr>
        <w:t xml:space="preserve">丙方负责。但乙方保证及时给予补齐或修复。   </w:t>
      </w:r>
    </w:p>
    <w:p>
      <w:pPr>
        <w:spacing w:line="360" w:lineRule="auto"/>
        <w:ind w:firstLine="210"/>
        <w:rPr>
          <w:color w:val="auto"/>
          <w:szCs w:val="21"/>
          <w:highlight w:val="none"/>
        </w:rPr>
      </w:pPr>
      <w:r>
        <w:rPr>
          <w:rFonts w:hint="eastAsia"/>
          <w:color w:val="auto"/>
          <w:szCs w:val="21"/>
          <w:highlight w:val="none"/>
        </w:rPr>
        <w:t xml:space="preserve">  6.2违约赔偿      </w:t>
      </w:r>
    </w:p>
    <w:p>
      <w:pPr>
        <w:spacing w:line="360" w:lineRule="auto"/>
        <w:ind w:firstLine="392" w:firstLineChars="187"/>
        <w:rPr>
          <w:color w:val="auto"/>
          <w:szCs w:val="21"/>
          <w:highlight w:val="none"/>
        </w:rPr>
      </w:pPr>
      <w:r>
        <w:rPr>
          <w:rFonts w:hint="eastAsia"/>
          <w:color w:val="auto"/>
          <w:szCs w:val="21"/>
          <w:highlight w:val="none"/>
        </w:rPr>
        <w:t>除不可抗拒力外，如乙方发生不能按期交货或提供服务；甲方及丙方发生中途退货等情况，应及时以书面形式通知对方，并按照合同专用条款承担违约或赔偿责任。</w:t>
      </w:r>
    </w:p>
    <w:p>
      <w:pPr>
        <w:spacing w:line="360" w:lineRule="auto"/>
        <w:ind w:firstLine="315" w:firstLineChars="150"/>
        <w:outlineLvl w:val="0"/>
        <w:rPr>
          <w:color w:val="auto"/>
          <w:szCs w:val="21"/>
          <w:highlight w:val="none"/>
        </w:rPr>
      </w:pPr>
      <w:r>
        <w:rPr>
          <w:rFonts w:hint="eastAsia"/>
          <w:color w:val="auto"/>
          <w:szCs w:val="21"/>
          <w:highlight w:val="none"/>
        </w:rPr>
        <w:t xml:space="preserve">7、争议处理    </w:t>
      </w:r>
    </w:p>
    <w:p>
      <w:pPr>
        <w:spacing w:line="360" w:lineRule="auto"/>
        <w:ind w:firstLine="210"/>
        <w:rPr>
          <w:color w:val="auto"/>
          <w:szCs w:val="21"/>
          <w:highlight w:val="none"/>
        </w:rPr>
      </w:pPr>
      <w:r>
        <w:rPr>
          <w:rFonts w:hint="eastAsia"/>
          <w:color w:val="auto"/>
          <w:szCs w:val="21"/>
          <w:highlight w:val="none"/>
        </w:rPr>
        <w:t xml:space="preserve">  7.1凡有关本合同或执行本合同中发生的争端，</w:t>
      </w:r>
      <w:r>
        <w:rPr>
          <w:rFonts w:hint="eastAsia" w:ascii="宋体" w:hAnsi="宋体" w:cs="宋体"/>
          <w:color w:val="auto"/>
          <w:szCs w:val="21"/>
          <w:highlight w:val="none"/>
        </w:rPr>
        <w:t>各</w:t>
      </w:r>
      <w:r>
        <w:rPr>
          <w:rFonts w:hint="eastAsia"/>
          <w:color w:val="auto"/>
          <w:szCs w:val="21"/>
          <w:highlight w:val="none"/>
        </w:rPr>
        <w:t>方应通过友好协商，妥善解决。如通过协商仍不能解决时，</w:t>
      </w:r>
      <w:r>
        <w:rPr>
          <w:rFonts w:hint="eastAsia" w:ascii="宋体" w:hAnsi="宋体" w:cs="宋体"/>
          <w:color w:val="auto"/>
          <w:szCs w:val="21"/>
          <w:highlight w:val="none"/>
        </w:rPr>
        <w:t>可向项目所在</w:t>
      </w:r>
      <w:r>
        <w:rPr>
          <w:rFonts w:hint="eastAsia" w:ascii="宋体" w:hAnsi="宋体" w:cs="宋体"/>
          <w:color w:val="auto"/>
          <w:szCs w:val="21"/>
          <w:highlight w:val="none"/>
          <w:lang w:val="en-US" w:eastAsia="zh-CN"/>
        </w:rPr>
        <w:t>人民</w:t>
      </w:r>
      <w:r>
        <w:rPr>
          <w:rFonts w:hint="eastAsia" w:ascii="宋体" w:hAnsi="宋体" w:cs="宋体"/>
          <w:color w:val="auto"/>
          <w:szCs w:val="21"/>
          <w:highlight w:val="none"/>
        </w:rPr>
        <w:t>法院申请调解或处理</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7.2</w:t>
      </w:r>
      <w:r>
        <w:rPr>
          <w:rFonts w:hint="eastAsia" w:ascii="宋体" w:hAnsi="宋体" w:cs="宋体"/>
          <w:color w:val="auto"/>
          <w:szCs w:val="21"/>
          <w:highlight w:val="none"/>
        </w:rPr>
        <w:t>争议费用除决裁机构另有裁决外</w:t>
      </w:r>
      <w:r>
        <w:rPr>
          <w:rFonts w:hint="eastAsia"/>
          <w:color w:val="auto"/>
          <w:szCs w:val="21"/>
          <w:highlight w:val="none"/>
        </w:rPr>
        <w:t>，由败诉方承担。</w:t>
      </w:r>
    </w:p>
    <w:p>
      <w:pPr>
        <w:spacing w:line="360" w:lineRule="auto"/>
        <w:ind w:firstLine="210"/>
        <w:rPr>
          <w:color w:val="auto"/>
          <w:szCs w:val="21"/>
          <w:highlight w:val="none"/>
        </w:rPr>
      </w:pPr>
      <w:r>
        <w:rPr>
          <w:rFonts w:hint="eastAsia"/>
          <w:color w:val="auto"/>
          <w:szCs w:val="21"/>
          <w:highlight w:val="none"/>
        </w:rPr>
        <w:t xml:space="preserve">  7.3</w:t>
      </w:r>
      <w:r>
        <w:rPr>
          <w:rFonts w:hint="eastAsia" w:ascii="宋体" w:hAnsi="宋体" w:cs="宋体"/>
          <w:color w:val="auto"/>
          <w:szCs w:val="21"/>
          <w:highlight w:val="none"/>
        </w:rPr>
        <w:t>在决裁期间</w:t>
      </w:r>
      <w:r>
        <w:rPr>
          <w:rFonts w:hint="eastAsia"/>
          <w:color w:val="auto"/>
          <w:szCs w:val="21"/>
          <w:highlight w:val="none"/>
        </w:rPr>
        <w:t>，除争议部分外，本合同其他部分应继续执行。</w:t>
      </w:r>
    </w:p>
    <w:p>
      <w:pPr>
        <w:spacing w:line="360" w:lineRule="auto"/>
        <w:ind w:firstLine="315" w:firstLineChars="150"/>
        <w:outlineLvl w:val="0"/>
        <w:rPr>
          <w:color w:val="auto"/>
          <w:szCs w:val="21"/>
          <w:highlight w:val="none"/>
        </w:rPr>
      </w:pPr>
      <w:r>
        <w:rPr>
          <w:rFonts w:hint="eastAsia"/>
          <w:color w:val="auto"/>
          <w:szCs w:val="21"/>
          <w:highlight w:val="none"/>
        </w:rPr>
        <w:t>8、合同生效及其他</w:t>
      </w:r>
    </w:p>
    <w:p>
      <w:pPr>
        <w:spacing w:line="360" w:lineRule="auto"/>
        <w:ind w:firstLine="210"/>
        <w:rPr>
          <w:color w:val="auto"/>
          <w:szCs w:val="21"/>
          <w:highlight w:val="none"/>
        </w:rPr>
      </w:pPr>
      <w:r>
        <w:rPr>
          <w:rFonts w:hint="eastAsia"/>
          <w:color w:val="auto"/>
          <w:szCs w:val="21"/>
          <w:highlight w:val="none"/>
        </w:rPr>
        <w:t xml:space="preserve">  8.1合同应在各方签字盖章后开始生效。</w:t>
      </w:r>
    </w:p>
    <w:p>
      <w:pPr>
        <w:spacing w:line="360" w:lineRule="auto"/>
        <w:ind w:firstLine="420" w:firstLineChars="200"/>
        <w:rPr>
          <w:color w:val="auto"/>
          <w:szCs w:val="21"/>
          <w:highlight w:val="none"/>
        </w:rPr>
      </w:pPr>
      <w:r>
        <w:rPr>
          <w:rFonts w:hint="eastAsia"/>
          <w:color w:val="auto"/>
          <w:szCs w:val="21"/>
          <w:highlight w:val="none"/>
        </w:rPr>
        <w:t>8.2本合同一式</w:t>
      </w:r>
      <w:r>
        <w:rPr>
          <w:color w:val="auto"/>
          <w:szCs w:val="21"/>
          <w:highlight w:val="none"/>
        </w:rPr>
        <w:t>16</w:t>
      </w:r>
      <w:r>
        <w:rPr>
          <w:rFonts w:hint="eastAsia"/>
          <w:color w:val="auto"/>
          <w:szCs w:val="21"/>
          <w:highlight w:val="none"/>
        </w:rPr>
        <w:t>份，正本</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份（甲、乙、丙、丁方各3份），同等生效。</w:t>
      </w:r>
    </w:p>
    <w:p>
      <w:pPr>
        <w:keepNext/>
        <w:keepLines/>
        <w:spacing w:before="360" w:beforeLines="150" w:after="120" w:afterLines="50" w:line="360" w:lineRule="auto"/>
        <w:jc w:val="center"/>
        <w:outlineLvl w:val="1"/>
        <w:rPr>
          <w:b/>
          <w:bCs/>
          <w:color w:val="auto"/>
          <w:szCs w:val="21"/>
          <w:highlight w:val="none"/>
        </w:rPr>
      </w:pPr>
      <w:r>
        <w:rPr>
          <w:rFonts w:hint="eastAsia"/>
          <w:b/>
          <w:bCs/>
          <w:color w:val="auto"/>
          <w:szCs w:val="21"/>
          <w:highlight w:val="none"/>
        </w:rPr>
        <w:br w:type="page"/>
      </w:r>
      <w:bookmarkStart w:id="433" w:name="_Toc406074422"/>
      <w:bookmarkStart w:id="434" w:name="_Toc17297"/>
      <w:bookmarkStart w:id="435" w:name="_Toc297017783"/>
      <w:r>
        <w:rPr>
          <w:rFonts w:hint="eastAsia"/>
          <w:b/>
          <w:bCs/>
          <w:color w:val="auto"/>
          <w:szCs w:val="21"/>
          <w:highlight w:val="none"/>
        </w:rPr>
        <w:t>三、合同专用条款</w:t>
      </w:r>
      <w:bookmarkEnd w:id="433"/>
      <w:bookmarkEnd w:id="434"/>
      <w:bookmarkEnd w:id="435"/>
    </w:p>
    <w:p>
      <w:pPr>
        <w:snapToGrid w:val="0"/>
        <w:spacing w:line="360" w:lineRule="auto"/>
        <w:ind w:firstLine="210"/>
        <w:rPr>
          <w:color w:val="auto"/>
          <w:szCs w:val="21"/>
          <w:highlight w:val="none"/>
        </w:rPr>
      </w:pPr>
      <w:r>
        <w:rPr>
          <w:rFonts w:hint="eastAsia"/>
          <w:color w:val="auto"/>
          <w:szCs w:val="21"/>
          <w:highlight w:val="none"/>
        </w:rPr>
        <w:t xml:space="preserve">   本合同专用条款是对合同一般条款的补充，两者之间如有抵触，以本专用条款为准。</w:t>
      </w:r>
    </w:p>
    <w:p>
      <w:pPr>
        <w:tabs>
          <w:tab w:val="left" w:pos="732"/>
        </w:tabs>
        <w:spacing w:line="360" w:lineRule="auto"/>
        <w:ind w:left="210" w:leftChars="100"/>
        <w:rPr>
          <w:color w:val="auto"/>
          <w:szCs w:val="21"/>
          <w:highlight w:val="none"/>
        </w:rPr>
      </w:pPr>
      <w:r>
        <w:rPr>
          <w:rFonts w:hint="eastAsia"/>
          <w:color w:val="auto"/>
          <w:szCs w:val="21"/>
          <w:highlight w:val="none"/>
        </w:rPr>
        <w:t xml:space="preserve">   1、合同交货期    </w:t>
      </w:r>
    </w:p>
    <w:p>
      <w:pPr>
        <w:snapToGrid w:val="0"/>
        <w:spacing w:line="360" w:lineRule="auto"/>
        <w:ind w:firstLine="630" w:firstLineChars="300"/>
        <w:rPr>
          <w:color w:val="auto"/>
          <w:szCs w:val="21"/>
          <w:highlight w:val="none"/>
        </w:rPr>
      </w:pPr>
      <w:r>
        <w:rPr>
          <w:rFonts w:hint="eastAsia"/>
          <w:color w:val="auto"/>
          <w:szCs w:val="21"/>
          <w:highlight w:val="none"/>
        </w:rPr>
        <w:t xml:space="preserve">总工期为 </w:t>
      </w:r>
      <w:r>
        <w:rPr>
          <w:rFonts w:hint="eastAsia"/>
          <w:color w:val="auto"/>
          <w:szCs w:val="21"/>
          <w:highlight w:val="none"/>
          <w:u w:val="single"/>
        </w:rPr>
        <w:t xml:space="preserve">210 </w:t>
      </w:r>
      <w:r>
        <w:rPr>
          <w:rFonts w:hint="eastAsia"/>
          <w:color w:val="auto"/>
          <w:szCs w:val="21"/>
          <w:highlight w:val="none"/>
        </w:rPr>
        <w:t xml:space="preserve"> 天。其中深化设计</w:t>
      </w:r>
      <w:r>
        <w:rPr>
          <w:rFonts w:hint="eastAsia"/>
          <w:color w:val="auto"/>
          <w:szCs w:val="21"/>
          <w:highlight w:val="none"/>
          <w:u w:val="single"/>
        </w:rPr>
        <w:t xml:space="preserve">  20 </w:t>
      </w:r>
      <w:r>
        <w:rPr>
          <w:rFonts w:hint="eastAsia"/>
          <w:color w:val="auto"/>
          <w:szCs w:val="21"/>
          <w:highlight w:val="none"/>
        </w:rPr>
        <w:t>天（深化</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 xml:space="preserve">设计图纸须经主体设计单位及监理、甲方及丙方、丁方书面审批通过后实施），制造、采购工期 </w:t>
      </w:r>
      <w:r>
        <w:rPr>
          <w:rFonts w:hint="eastAsia"/>
          <w:color w:val="auto"/>
          <w:szCs w:val="21"/>
          <w:highlight w:val="none"/>
          <w:u w:val="single"/>
        </w:rPr>
        <w:t xml:space="preserve"> 50 </w:t>
      </w:r>
      <w:r>
        <w:rPr>
          <w:rFonts w:hint="eastAsia"/>
          <w:color w:val="auto"/>
          <w:szCs w:val="21"/>
          <w:highlight w:val="none"/>
        </w:rPr>
        <w:t>天，现场安装、调试、交验</w:t>
      </w:r>
      <w:r>
        <w:rPr>
          <w:rFonts w:hint="eastAsia"/>
          <w:color w:val="auto"/>
          <w:szCs w:val="21"/>
          <w:highlight w:val="none"/>
          <w:u w:val="single"/>
        </w:rPr>
        <w:t xml:space="preserve">  140   </w:t>
      </w:r>
      <w:r>
        <w:rPr>
          <w:rFonts w:hint="eastAsia"/>
          <w:color w:val="auto"/>
          <w:szCs w:val="21"/>
          <w:highlight w:val="none"/>
        </w:rPr>
        <w:t>天；</w:t>
      </w:r>
      <w:r>
        <w:rPr>
          <w:rFonts w:hint="eastAsia" w:ascii="宋体" w:hAnsi="宋体" w:cs="宋体"/>
          <w:color w:val="auto"/>
          <w:szCs w:val="21"/>
          <w:highlight w:val="none"/>
        </w:rPr>
        <w:t>自</w:t>
      </w:r>
      <w:r>
        <w:rPr>
          <w:rFonts w:hint="eastAsia"/>
          <w:color w:val="auto"/>
          <w:szCs w:val="21"/>
          <w:highlight w:val="none"/>
        </w:rPr>
        <w:t>甲方及丙、丁方发出书面排产通知日开始计算工期。</w:t>
      </w:r>
    </w:p>
    <w:p>
      <w:pPr>
        <w:snapToGrid w:val="0"/>
        <w:spacing w:line="360" w:lineRule="auto"/>
        <w:ind w:left="105" w:hanging="105" w:hangingChars="50"/>
        <w:rPr>
          <w:color w:val="auto"/>
          <w:szCs w:val="21"/>
          <w:highlight w:val="none"/>
        </w:rPr>
      </w:pPr>
      <w:r>
        <w:rPr>
          <w:rFonts w:hint="eastAsia"/>
          <w:color w:val="auto"/>
          <w:szCs w:val="21"/>
          <w:highlight w:val="none"/>
        </w:rPr>
        <w:t xml:space="preserve">     2、交货方式</w:t>
      </w:r>
      <w:r>
        <w:rPr>
          <w:rFonts w:hint="eastAsia"/>
          <w:color w:val="auto"/>
          <w:szCs w:val="21"/>
          <w:highlight w:val="none"/>
          <w:u w:val="single"/>
        </w:rPr>
        <w:t xml:space="preserve">  绍兴市妇幼保健院（绍兴儿童医院）  </w:t>
      </w:r>
      <w:r>
        <w:rPr>
          <w:rFonts w:hint="eastAsia"/>
          <w:color w:val="auto"/>
          <w:szCs w:val="21"/>
          <w:highlight w:val="none"/>
        </w:rPr>
        <w:t>项目现场交货。乙方将设备运抵工地现场并初验合格的日期为交货日期。甲方及</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丙、丁方可以要求乙方根据工程进度要求分批交货但不再额外增加其他费用。</w:t>
      </w:r>
    </w:p>
    <w:p>
      <w:pPr>
        <w:snapToGrid w:val="0"/>
        <w:spacing w:line="360" w:lineRule="auto"/>
        <w:ind w:firstLine="210"/>
        <w:rPr>
          <w:color w:val="auto"/>
          <w:szCs w:val="21"/>
          <w:highlight w:val="none"/>
        </w:rPr>
      </w:pPr>
      <w:r>
        <w:rPr>
          <w:rFonts w:hint="eastAsia"/>
          <w:color w:val="auto"/>
          <w:szCs w:val="21"/>
          <w:highlight w:val="none"/>
        </w:rPr>
        <w:t xml:space="preserve">   3、交货地点</w:t>
      </w:r>
    </w:p>
    <w:p>
      <w:pPr>
        <w:snapToGrid w:val="0"/>
        <w:spacing w:line="360" w:lineRule="auto"/>
        <w:ind w:firstLine="105" w:firstLineChars="50"/>
        <w:rPr>
          <w:color w:val="auto"/>
          <w:szCs w:val="21"/>
          <w:highlight w:val="none"/>
        </w:rPr>
      </w:pPr>
      <w:r>
        <w:rPr>
          <w:rFonts w:hint="eastAsia"/>
          <w:color w:val="auto"/>
          <w:szCs w:val="21"/>
          <w:highlight w:val="none"/>
          <w:u w:val="single"/>
        </w:rPr>
        <w:t xml:space="preserve">   绍兴市妇幼保健院（绍兴儿童医院）   </w:t>
      </w:r>
      <w:r>
        <w:rPr>
          <w:rFonts w:hint="eastAsia"/>
          <w:color w:val="auto"/>
          <w:szCs w:val="21"/>
          <w:highlight w:val="none"/>
        </w:rPr>
        <w:t>项目现场交货，并堆放至指定仓库。</w:t>
      </w:r>
    </w:p>
    <w:p>
      <w:pPr>
        <w:snapToGrid w:val="0"/>
        <w:spacing w:line="360" w:lineRule="auto"/>
        <w:ind w:firstLine="105" w:firstLineChars="50"/>
        <w:rPr>
          <w:color w:val="auto"/>
          <w:szCs w:val="21"/>
          <w:highlight w:val="none"/>
        </w:rPr>
      </w:pPr>
      <w:r>
        <w:rPr>
          <w:rFonts w:hint="eastAsia"/>
          <w:color w:val="auto"/>
          <w:szCs w:val="21"/>
          <w:highlight w:val="none"/>
        </w:rPr>
        <w:t xml:space="preserve">    4、接货通知</w:t>
      </w:r>
    </w:p>
    <w:p>
      <w:pPr>
        <w:snapToGrid w:val="0"/>
        <w:spacing w:line="360" w:lineRule="auto"/>
        <w:ind w:firstLine="210"/>
        <w:rPr>
          <w:b/>
          <w:bCs/>
          <w:color w:val="auto"/>
          <w:szCs w:val="21"/>
          <w:highlight w:val="none"/>
        </w:rPr>
      </w:pPr>
      <w:r>
        <w:rPr>
          <w:rFonts w:hint="eastAsia"/>
          <w:color w:val="auto"/>
          <w:szCs w:val="21"/>
          <w:highlight w:val="none"/>
        </w:rPr>
        <w:t xml:space="preserve">   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w:t>
      </w:r>
      <w:r>
        <w:rPr>
          <w:rFonts w:hint="eastAsia" w:ascii="宋体" w:hAnsi="宋体" w:cs="宋体"/>
          <w:color w:val="auto"/>
          <w:szCs w:val="21"/>
          <w:highlight w:val="none"/>
        </w:rPr>
        <w:t>责任</w:t>
      </w:r>
      <w:r>
        <w:rPr>
          <w:rFonts w:hint="eastAsia"/>
          <w:color w:val="auto"/>
          <w:szCs w:val="21"/>
          <w:highlight w:val="none"/>
        </w:rPr>
        <w:t>均由乙方负责，并承担相应费用。</w:t>
      </w:r>
    </w:p>
    <w:p>
      <w:pPr>
        <w:snapToGrid w:val="0"/>
        <w:spacing w:line="360" w:lineRule="auto"/>
        <w:ind w:firstLine="210"/>
        <w:rPr>
          <w:color w:val="auto"/>
          <w:szCs w:val="21"/>
          <w:highlight w:val="none"/>
        </w:rPr>
      </w:pPr>
      <w:r>
        <w:rPr>
          <w:rFonts w:hint="eastAsia"/>
          <w:color w:val="auto"/>
          <w:szCs w:val="21"/>
          <w:highlight w:val="none"/>
        </w:rPr>
        <w:t xml:space="preserve">   5、运输及装卸保险</w:t>
      </w:r>
    </w:p>
    <w:p>
      <w:pPr>
        <w:snapToGrid w:val="0"/>
        <w:spacing w:line="360" w:lineRule="auto"/>
        <w:ind w:firstLine="210"/>
        <w:rPr>
          <w:color w:val="auto"/>
          <w:szCs w:val="21"/>
          <w:highlight w:val="none"/>
        </w:rPr>
      </w:pPr>
      <w:r>
        <w:rPr>
          <w:rFonts w:hint="eastAsia"/>
          <w:color w:val="auto"/>
          <w:szCs w:val="21"/>
          <w:highlight w:val="none"/>
        </w:rPr>
        <w:t xml:space="preserve">   5.1货物在装运前由乙方投保，一旦货物在装卸、运输过程中发生损坏或短缺，由乙方负责索赔。</w:t>
      </w:r>
    </w:p>
    <w:p>
      <w:pPr>
        <w:snapToGrid w:val="0"/>
        <w:spacing w:line="360" w:lineRule="auto"/>
        <w:ind w:firstLine="210"/>
        <w:rPr>
          <w:color w:val="auto"/>
          <w:szCs w:val="21"/>
          <w:highlight w:val="none"/>
        </w:rPr>
      </w:pPr>
      <w:r>
        <w:rPr>
          <w:rFonts w:hint="eastAsia"/>
          <w:color w:val="auto"/>
          <w:szCs w:val="21"/>
          <w:highlight w:val="none"/>
        </w:rPr>
        <w:t xml:space="preserve">   5.2乙方保证在确认货物因装卸、运输中发生损坏或短缺后，尽快给予调换、修复和补齐缺件，不管其造成的原因如何，也不以办理索赔为由而拖延。</w:t>
      </w:r>
    </w:p>
    <w:p>
      <w:pPr>
        <w:spacing w:line="360" w:lineRule="auto"/>
        <w:ind w:firstLine="210"/>
        <w:rPr>
          <w:color w:val="auto"/>
          <w:szCs w:val="21"/>
          <w:highlight w:val="none"/>
        </w:rPr>
      </w:pPr>
      <w:r>
        <w:rPr>
          <w:rFonts w:hint="eastAsia"/>
          <w:color w:val="auto"/>
          <w:szCs w:val="21"/>
          <w:highlight w:val="none"/>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outlineLvl w:val="2"/>
        <w:rPr>
          <w:color w:val="auto"/>
          <w:szCs w:val="21"/>
          <w:highlight w:val="none"/>
        </w:rPr>
      </w:pPr>
      <w:bookmarkStart w:id="436" w:name="_Toc21937"/>
      <w:r>
        <w:rPr>
          <w:rFonts w:hint="eastAsia"/>
          <w:bCs/>
          <w:color w:val="auto"/>
          <w:szCs w:val="21"/>
          <w:highlight w:val="none"/>
        </w:rPr>
        <w:t>6、</w:t>
      </w:r>
      <w:r>
        <w:rPr>
          <w:rFonts w:hint="eastAsia"/>
          <w:color w:val="auto"/>
          <w:szCs w:val="21"/>
          <w:highlight w:val="none"/>
        </w:rPr>
        <w:t>付款方式</w:t>
      </w:r>
      <w:bookmarkEnd w:id="436"/>
    </w:p>
    <w:p>
      <w:pPr>
        <w:pStyle w:val="64"/>
        <w:adjustRightInd w:val="0"/>
        <w:snapToGrid w:val="0"/>
        <w:spacing w:before="0"/>
        <w:ind w:firstLine="420"/>
        <w:rPr>
          <w:color w:val="auto"/>
          <w:sz w:val="21"/>
          <w:szCs w:val="21"/>
          <w:highlight w:val="none"/>
        </w:rPr>
      </w:pPr>
      <w:r>
        <w:rPr>
          <w:rFonts w:hint="eastAsia"/>
          <w:color w:val="auto"/>
          <w:sz w:val="21"/>
          <w:szCs w:val="21"/>
          <w:highlight w:val="none"/>
        </w:rPr>
        <w:t>（1）预付款</w:t>
      </w:r>
    </w:p>
    <w:p>
      <w:pPr>
        <w:pStyle w:val="64"/>
        <w:adjustRightInd w:val="0"/>
        <w:snapToGrid w:val="0"/>
        <w:spacing w:before="0"/>
        <w:ind w:firstLine="420"/>
        <w:rPr>
          <w:color w:val="auto"/>
          <w:sz w:val="21"/>
          <w:szCs w:val="21"/>
          <w:highlight w:val="none"/>
        </w:rPr>
      </w:pPr>
      <w:r>
        <w:rPr>
          <w:rFonts w:hint="eastAsia"/>
          <w:color w:val="auto"/>
          <w:sz w:val="21"/>
          <w:szCs w:val="21"/>
          <w:highlight w:val="none"/>
        </w:rPr>
        <w:t>第1次付款：合同签订生效后</w:t>
      </w:r>
      <w:r>
        <w:rPr>
          <w:rFonts w:hint="eastAsia" w:ascii="宋体" w:hAnsi="宋体" w:cs="宋体"/>
          <w:color w:val="auto"/>
          <w:sz w:val="21"/>
          <w:szCs w:val="21"/>
          <w:highlight w:val="none"/>
        </w:rPr>
        <w:t>15日内</w:t>
      </w:r>
      <w:r>
        <w:rPr>
          <w:rFonts w:hint="eastAsia"/>
          <w:color w:val="auto"/>
          <w:sz w:val="21"/>
          <w:szCs w:val="21"/>
          <w:highlight w:val="none"/>
        </w:rPr>
        <w:t>，</w:t>
      </w:r>
      <w:r>
        <w:rPr>
          <w:rFonts w:hint="eastAsia" w:ascii="宋体" w:hAnsi="宋体" w:cs="宋体"/>
          <w:color w:val="auto"/>
          <w:sz w:val="21"/>
          <w:szCs w:val="21"/>
          <w:highlight w:val="none"/>
        </w:rPr>
        <w:t>甲方向乙方</w:t>
      </w:r>
      <w:r>
        <w:rPr>
          <w:rFonts w:hint="eastAsia"/>
          <w:color w:val="auto"/>
          <w:sz w:val="21"/>
          <w:szCs w:val="21"/>
          <w:highlight w:val="none"/>
        </w:rPr>
        <w:t>支付合同总价的30%的预付款。预付款与合同履行同步进行，预付款支付进程不得影响合同的履行</w:t>
      </w:r>
      <w:r>
        <w:rPr>
          <w:rFonts w:hint="eastAsia" w:ascii="宋体" w:hAnsi="宋体" w:cs="宋体"/>
          <w:color w:val="auto"/>
          <w:sz w:val="21"/>
          <w:szCs w:val="21"/>
          <w:highlight w:val="none"/>
        </w:rPr>
        <w:t>，乙方不得以预付款支付问题停止合同的履行</w:t>
      </w:r>
      <w:r>
        <w:rPr>
          <w:rFonts w:hint="eastAsia"/>
          <w:color w:val="auto"/>
          <w:sz w:val="21"/>
          <w:szCs w:val="21"/>
          <w:highlight w:val="none"/>
        </w:rPr>
        <w:t>。</w:t>
      </w:r>
    </w:p>
    <w:p>
      <w:pPr>
        <w:pStyle w:val="64"/>
        <w:numPr>
          <w:ilvl w:val="0"/>
          <w:numId w:val="3"/>
        </w:numPr>
        <w:adjustRightInd w:val="0"/>
        <w:snapToGrid w:val="0"/>
        <w:spacing w:before="0"/>
        <w:ind w:firstLine="420"/>
        <w:rPr>
          <w:color w:val="auto"/>
          <w:sz w:val="21"/>
          <w:szCs w:val="21"/>
          <w:highlight w:val="none"/>
        </w:rPr>
      </w:pPr>
      <w:r>
        <w:rPr>
          <w:rFonts w:hint="eastAsia"/>
          <w:color w:val="auto"/>
          <w:sz w:val="21"/>
          <w:szCs w:val="21"/>
          <w:highlight w:val="none"/>
        </w:rPr>
        <w:t>货款支付</w:t>
      </w:r>
    </w:p>
    <w:p>
      <w:pPr>
        <w:pStyle w:val="64"/>
        <w:adjustRightInd w:val="0"/>
        <w:snapToGrid w:val="0"/>
        <w:spacing w:before="0"/>
        <w:ind w:firstLine="420"/>
        <w:rPr>
          <w:color w:val="auto"/>
          <w:sz w:val="21"/>
          <w:szCs w:val="21"/>
          <w:highlight w:val="none"/>
        </w:rPr>
      </w:pPr>
      <w:r>
        <w:rPr>
          <w:rFonts w:hint="eastAsia"/>
          <w:color w:val="auto"/>
          <w:sz w:val="21"/>
          <w:szCs w:val="21"/>
          <w:highlight w:val="none"/>
        </w:rPr>
        <w:t>第2次付款：工程完成总形象进度的60%，</w:t>
      </w:r>
      <w:r>
        <w:rPr>
          <w:rFonts w:hint="eastAsia"/>
          <w:b/>
          <w:color w:val="auto"/>
          <w:sz w:val="21"/>
          <w:szCs w:val="21"/>
          <w:highlight w:val="none"/>
        </w:rPr>
        <w:t>支付至合同总价的50%</w:t>
      </w:r>
      <w:r>
        <w:rPr>
          <w:rFonts w:hint="eastAsia"/>
          <w:color w:val="auto"/>
          <w:sz w:val="21"/>
          <w:szCs w:val="21"/>
          <w:highlight w:val="none"/>
        </w:rPr>
        <w:t>。</w:t>
      </w:r>
    </w:p>
    <w:p>
      <w:pPr>
        <w:pStyle w:val="64"/>
        <w:adjustRightInd w:val="0"/>
        <w:snapToGrid w:val="0"/>
        <w:spacing w:before="0"/>
        <w:ind w:firstLine="420"/>
        <w:rPr>
          <w:color w:val="auto"/>
          <w:sz w:val="21"/>
          <w:szCs w:val="21"/>
          <w:highlight w:val="none"/>
        </w:rPr>
      </w:pPr>
      <w:r>
        <w:rPr>
          <w:rFonts w:hint="eastAsia"/>
          <w:color w:val="auto"/>
          <w:sz w:val="21"/>
          <w:szCs w:val="21"/>
          <w:highlight w:val="none"/>
        </w:rPr>
        <w:t>第3次付款：工程全部完工、</w:t>
      </w:r>
      <w:r>
        <w:rPr>
          <w:rFonts w:hint="eastAsia"/>
          <w:b/>
          <w:color w:val="auto"/>
          <w:sz w:val="21"/>
          <w:szCs w:val="21"/>
          <w:highlight w:val="none"/>
        </w:rPr>
        <w:t>所有设备安装、调试完成，经过试运行，通过验收并按买方要求移交所有资料后15天内支付至合同总价的85%，并退还履约保证金</w:t>
      </w:r>
      <w:r>
        <w:rPr>
          <w:rFonts w:hint="eastAsia"/>
          <w:color w:val="auto"/>
          <w:sz w:val="21"/>
          <w:szCs w:val="21"/>
          <w:highlight w:val="none"/>
        </w:rPr>
        <w:t>。</w:t>
      </w:r>
    </w:p>
    <w:p>
      <w:pPr>
        <w:pStyle w:val="64"/>
        <w:adjustRightInd w:val="0"/>
        <w:snapToGrid w:val="0"/>
        <w:spacing w:before="0"/>
        <w:ind w:firstLine="420"/>
        <w:rPr>
          <w:b/>
          <w:color w:val="auto"/>
          <w:sz w:val="21"/>
          <w:szCs w:val="21"/>
          <w:highlight w:val="none"/>
        </w:rPr>
      </w:pPr>
      <w:r>
        <w:rPr>
          <w:rFonts w:hint="eastAsia"/>
          <w:color w:val="auto"/>
          <w:sz w:val="21"/>
          <w:szCs w:val="21"/>
          <w:highlight w:val="none"/>
        </w:rPr>
        <w:t>第4次付款：</w:t>
      </w:r>
      <w:r>
        <w:rPr>
          <w:rFonts w:hint="eastAsia"/>
          <w:b/>
          <w:color w:val="auto"/>
          <w:sz w:val="21"/>
          <w:szCs w:val="21"/>
          <w:highlight w:val="none"/>
        </w:rPr>
        <w:t>通过验收并试运行二个月后且工程结算审核完毕15天内支付至结算总价的97.5%。</w:t>
      </w:r>
    </w:p>
    <w:p>
      <w:pPr>
        <w:pStyle w:val="64"/>
        <w:adjustRightInd w:val="0"/>
        <w:snapToGrid w:val="0"/>
        <w:spacing w:before="0"/>
        <w:ind w:firstLine="420"/>
        <w:rPr>
          <w:color w:val="auto"/>
          <w:sz w:val="21"/>
          <w:szCs w:val="21"/>
          <w:highlight w:val="none"/>
        </w:rPr>
      </w:pPr>
      <w:r>
        <w:rPr>
          <w:rFonts w:hint="eastAsia" w:ascii="宋体" w:hAnsi="宋体" w:cs="宋体"/>
          <w:color w:val="auto"/>
          <w:sz w:val="21"/>
          <w:szCs w:val="21"/>
          <w:highlight w:val="none"/>
        </w:rPr>
        <w:t>第5次付款：余款2.5%（不计利息）作为保修金，在保修期满后后15日内一次性付清</w:t>
      </w:r>
      <w:r>
        <w:rPr>
          <w:rFonts w:hint="eastAsia"/>
          <w:color w:val="auto"/>
          <w:sz w:val="21"/>
          <w:szCs w:val="21"/>
          <w:highlight w:val="none"/>
        </w:rPr>
        <w:t>。</w:t>
      </w:r>
    </w:p>
    <w:p>
      <w:pPr>
        <w:pStyle w:val="64"/>
        <w:adjustRightInd w:val="0"/>
        <w:snapToGrid w:val="0"/>
        <w:spacing w:before="0"/>
        <w:ind w:firstLine="420"/>
        <w:rPr>
          <w:color w:val="auto"/>
          <w:sz w:val="21"/>
          <w:szCs w:val="21"/>
          <w:highlight w:val="none"/>
        </w:rPr>
      </w:pPr>
      <w:r>
        <w:rPr>
          <w:rFonts w:hint="eastAsia" w:ascii="宋体" w:hAnsi="宋体" w:cs="宋体"/>
          <w:color w:val="auto"/>
          <w:sz w:val="21"/>
          <w:szCs w:val="21"/>
          <w:highlight w:val="none"/>
        </w:rPr>
        <w:t>保修金在项目质保期满且质保期内及时完成维保，售后服务良好，无质量和服务问题，经各方验收认可无误后无息支付。</w:t>
      </w:r>
    </w:p>
    <w:p>
      <w:pPr>
        <w:pStyle w:val="64"/>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注：甲方除收取水电费等1%直接费、总承包服务费3%及招标相关费用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color w:val="auto"/>
          <w:sz w:val="21"/>
          <w:szCs w:val="21"/>
          <w:highlight w:val="none"/>
          <w:u w:val="single"/>
        </w:rPr>
        <w:t>，</w:t>
      </w:r>
      <w:r>
        <w:rPr>
          <w:rFonts w:hint="eastAsia"/>
          <w:b/>
          <w:color w:val="auto"/>
          <w:sz w:val="21"/>
          <w:szCs w:val="21"/>
          <w:highlight w:val="none"/>
          <w:u w:val="single"/>
        </w:rPr>
        <w:t>甲方有权顺延付款</w:t>
      </w:r>
      <w:r>
        <w:rPr>
          <w:b/>
          <w:color w:val="auto"/>
          <w:sz w:val="21"/>
          <w:szCs w:val="21"/>
          <w:highlight w:val="none"/>
          <w:u w:val="single"/>
        </w:rPr>
        <w:t>。</w:t>
      </w:r>
    </w:p>
    <w:p>
      <w:pPr>
        <w:pStyle w:val="64"/>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甲方每次向乙方支付的款项均基于丙方向甲方支付后再支付给乙方，如丙方未支付相应款项给甲方，甲方有权不支付乙方任何款项。</w:t>
      </w:r>
    </w:p>
    <w:p>
      <w:pPr>
        <w:pStyle w:val="64"/>
        <w:adjustRightInd w:val="0"/>
        <w:snapToGrid w:val="0"/>
        <w:spacing w:before="0"/>
        <w:ind w:firstLine="422"/>
        <w:rPr>
          <w:b/>
          <w:strike/>
          <w:color w:val="auto"/>
          <w:sz w:val="21"/>
          <w:szCs w:val="21"/>
          <w:highlight w:val="none"/>
          <w:u w:val="single"/>
        </w:rPr>
      </w:pPr>
      <w:r>
        <w:rPr>
          <w:rFonts w:hint="eastAsia" w:ascii="宋体" w:hAnsi="宋体" w:cs="宋体"/>
          <w:b/>
          <w:color w:val="auto"/>
          <w:sz w:val="21"/>
          <w:szCs w:val="21"/>
          <w:highlight w:val="none"/>
          <w:u w:val="single"/>
        </w:rPr>
        <w:t>每次付款（含预付款）前，乙方应向付款方提交付款申请、具备付款条件的依据及相应金额的发票，否则可暂停支付，相应的不利后果由乙方自行承担。</w:t>
      </w:r>
    </w:p>
    <w:p>
      <w:pPr>
        <w:spacing w:line="360" w:lineRule="auto"/>
        <w:ind w:firstLine="487" w:firstLineChars="231"/>
        <w:rPr>
          <w:b/>
          <w:color w:val="auto"/>
          <w:szCs w:val="21"/>
          <w:highlight w:val="none"/>
        </w:rPr>
      </w:pPr>
      <w:r>
        <w:rPr>
          <w:rFonts w:hint="eastAsia"/>
          <w:b/>
          <w:color w:val="auto"/>
          <w:szCs w:val="21"/>
          <w:highlight w:val="none"/>
        </w:rPr>
        <w:t>7、结算原则</w:t>
      </w:r>
    </w:p>
    <w:p>
      <w:pPr>
        <w:pStyle w:val="65"/>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中标总价一次性包死，不再调整。丙、丁方有权增减工作范围，该费用应予以增减，在结算时按中标单价按实调整。</w:t>
      </w:r>
    </w:p>
    <w:p>
      <w:pPr>
        <w:snapToGrid w:val="0"/>
        <w:spacing w:line="360" w:lineRule="auto"/>
        <w:ind w:firstLine="105" w:firstLineChars="50"/>
        <w:rPr>
          <w:b/>
          <w:color w:val="auto"/>
          <w:szCs w:val="21"/>
          <w:highlight w:val="none"/>
        </w:rPr>
      </w:pPr>
      <w:r>
        <w:rPr>
          <w:rFonts w:hint="eastAsia"/>
          <w:b/>
          <w:color w:val="auto"/>
          <w:szCs w:val="21"/>
          <w:highlight w:val="none"/>
        </w:rPr>
        <w:t xml:space="preserve"> 8、文件和技术资料</w:t>
      </w:r>
    </w:p>
    <w:p>
      <w:pPr>
        <w:snapToGrid w:val="0"/>
        <w:spacing w:line="360" w:lineRule="auto"/>
        <w:ind w:firstLine="210"/>
        <w:rPr>
          <w:color w:val="auto"/>
          <w:szCs w:val="21"/>
          <w:highlight w:val="none"/>
        </w:rPr>
      </w:pPr>
      <w:r>
        <w:rPr>
          <w:rFonts w:hint="eastAsia"/>
          <w:color w:val="auto"/>
          <w:szCs w:val="21"/>
          <w:highlight w:val="none"/>
        </w:rPr>
        <w:t xml:space="preserve">    设备交货时乙方向甲方及丙、丁方提供下列技术资料、图纸和文件：</w:t>
      </w:r>
    </w:p>
    <w:p>
      <w:pPr>
        <w:snapToGrid w:val="0"/>
        <w:spacing w:line="360" w:lineRule="auto"/>
        <w:ind w:firstLine="420" w:firstLineChars="200"/>
        <w:rPr>
          <w:color w:val="auto"/>
          <w:szCs w:val="21"/>
          <w:highlight w:val="none"/>
        </w:rPr>
      </w:pPr>
      <w:r>
        <w:rPr>
          <w:rFonts w:hint="eastAsia"/>
          <w:color w:val="auto"/>
          <w:szCs w:val="21"/>
          <w:highlight w:val="none"/>
        </w:rPr>
        <w:t>1）制作期间的试验、检试报告。</w:t>
      </w:r>
    </w:p>
    <w:p>
      <w:pPr>
        <w:snapToGrid w:val="0"/>
        <w:spacing w:line="360" w:lineRule="auto"/>
        <w:ind w:firstLine="420" w:firstLineChars="200"/>
        <w:rPr>
          <w:color w:val="auto"/>
          <w:szCs w:val="21"/>
          <w:highlight w:val="none"/>
        </w:rPr>
      </w:pPr>
      <w:r>
        <w:rPr>
          <w:rFonts w:hint="eastAsia"/>
          <w:color w:val="auto"/>
          <w:szCs w:val="21"/>
          <w:highlight w:val="none"/>
        </w:rPr>
        <w:t>2）出厂检试报告</w:t>
      </w:r>
    </w:p>
    <w:p>
      <w:pPr>
        <w:snapToGrid w:val="0"/>
        <w:spacing w:line="360" w:lineRule="auto"/>
        <w:ind w:firstLine="420" w:firstLineChars="200"/>
        <w:rPr>
          <w:color w:val="auto"/>
          <w:szCs w:val="21"/>
          <w:highlight w:val="none"/>
        </w:rPr>
      </w:pPr>
      <w:r>
        <w:rPr>
          <w:rFonts w:hint="eastAsia"/>
          <w:color w:val="auto"/>
          <w:szCs w:val="21"/>
          <w:highlight w:val="none"/>
        </w:rPr>
        <w:t>3）设备安装使用说明书。此说明书不应少于如下内容：</w:t>
      </w:r>
    </w:p>
    <w:p>
      <w:pPr>
        <w:tabs>
          <w:tab w:val="left" w:pos="560"/>
          <w:tab w:val="left" w:pos="1400"/>
        </w:tabs>
        <w:snapToGrid w:val="0"/>
        <w:spacing w:line="360" w:lineRule="auto"/>
        <w:ind w:firstLine="210"/>
        <w:rPr>
          <w:color w:val="auto"/>
          <w:szCs w:val="21"/>
          <w:highlight w:val="none"/>
        </w:rPr>
      </w:pPr>
      <w:r>
        <w:rPr>
          <w:rFonts w:hint="eastAsia"/>
          <w:color w:val="auto"/>
          <w:szCs w:val="21"/>
          <w:highlight w:val="none"/>
        </w:rPr>
        <w:t xml:space="preserve">    a、电气接线图；</w:t>
      </w:r>
    </w:p>
    <w:p>
      <w:pPr>
        <w:snapToGrid w:val="0"/>
        <w:spacing w:line="360" w:lineRule="auto"/>
        <w:ind w:firstLine="210"/>
        <w:rPr>
          <w:color w:val="auto"/>
          <w:szCs w:val="21"/>
          <w:highlight w:val="none"/>
        </w:rPr>
      </w:pPr>
      <w:r>
        <w:rPr>
          <w:rFonts w:hint="eastAsia"/>
          <w:color w:val="auto"/>
          <w:szCs w:val="21"/>
          <w:highlight w:val="none"/>
        </w:rPr>
        <w:t xml:space="preserve">    b、设备操作与维修手册。</w:t>
      </w:r>
    </w:p>
    <w:p>
      <w:pPr>
        <w:snapToGrid w:val="0"/>
        <w:spacing w:line="360" w:lineRule="auto"/>
        <w:ind w:firstLine="210"/>
        <w:rPr>
          <w:color w:val="auto"/>
          <w:szCs w:val="21"/>
          <w:highlight w:val="none"/>
        </w:rPr>
      </w:pPr>
      <w:r>
        <w:rPr>
          <w:rFonts w:hint="eastAsia"/>
          <w:color w:val="auto"/>
          <w:szCs w:val="21"/>
          <w:highlight w:val="none"/>
        </w:rPr>
        <w:t xml:space="preserve">  4）产品合格证</w:t>
      </w:r>
    </w:p>
    <w:p>
      <w:pPr>
        <w:snapToGrid w:val="0"/>
        <w:spacing w:line="360" w:lineRule="auto"/>
        <w:ind w:firstLine="210"/>
        <w:rPr>
          <w:b/>
          <w:bCs/>
          <w:color w:val="auto"/>
          <w:szCs w:val="21"/>
          <w:highlight w:val="none"/>
        </w:rPr>
      </w:pPr>
      <w:r>
        <w:rPr>
          <w:rFonts w:hint="eastAsia"/>
          <w:b/>
          <w:bCs/>
          <w:color w:val="auto"/>
          <w:szCs w:val="21"/>
          <w:highlight w:val="none"/>
        </w:rPr>
        <w:t xml:space="preserve">  9、技术服务</w:t>
      </w:r>
    </w:p>
    <w:p>
      <w:pPr>
        <w:snapToGrid w:val="0"/>
        <w:spacing w:line="360" w:lineRule="auto"/>
        <w:ind w:firstLine="210"/>
        <w:rPr>
          <w:color w:val="auto"/>
          <w:szCs w:val="21"/>
          <w:highlight w:val="none"/>
        </w:rPr>
      </w:pPr>
      <w:r>
        <w:rPr>
          <w:rFonts w:hint="eastAsia"/>
          <w:color w:val="auto"/>
          <w:szCs w:val="21"/>
          <w:highlight w:val="none"/>
        </w:rPr>
        <w:t xml:space="preserve">    乙方免费对甲方及丙、丁方的操作、维修人员在厂方或使用地进行技术培训。</w:t>
      </w:r>
    </w:p>
    <w:p>
      <w:pPr>
        <w:tabs>
          <w:tab w:val="left" w:pos="280"/>
        </w:tabs>
        <w:snapToGrid w:val="0"/>
        <w:spacing w:line="360" w:lineRule="auto"/>
        <w:ind w:firstLine="210"/>
        <w:rPr>
          <w:b/>
          <w:color w:val="auto"/>
          <w:szCs w:val="21"/>
          <w:highlight w:val="none"/>
        </w:rPr>
      </w:pPr>
      <w:r>
        <w:rPr>
          <w:rFonts w:hint="eastAsia"/>
          <w:b/>
          <w:color w:val="auto"/>
          <w:szCs w:val="21"/>
          <w:highlight w:val="none"/>
        </w:rPr>
        <w:t xml:space="preserve"> 10、质量、技术标准</w:t>
      </w:r>
    </w:p>
    <w:p>
      <w:pPr>
        <w:tabs>
          <w:tab w:val="left" w:pos="280"/>
        </w:tabs>
        <w:snapToGrid w:val="0"/>
        <w:spacing w:line="360" w:lineRule="auto"/>
        <w:ind w:firstLine="210"/>
        <w:rPr>
          <w:color w:val="auto"/>
          <w:szCs w:val="21"/>
          <w:highlight w:val="none"/>
        </w:rPr>
      </w:pPr>
      <w:r>
        <w:rPr>
          <w:rFonts w:hint="eastAsia"/>
          <w:color w:val="auto"/>
          <w:szCs w:val="21"/>
          <w:highlight w:val="none"/>
        </w:rPr>
        <w:t xml:space="preserve">  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w:t>
      </w:r>
      <w:r>
        <w:rPr>
          <w:color w:val="auto"/>
          <w:szCs w:val="21"/>
          <w:highlight w:val="none"/>
        </w:rPr>
        <w:t>，</w:t>
      </w:r>
      <w:r>
        <w:rPr>
          <w:rFonts w:hint="eastAsia"/>
          <w:color w:val="auto"/>
          <w:szCs w:val="21"/>
          <w:highlight w:val="none"/>
        </w:rPr>
        <w:t>同时承担工期违约的违约责任</w:t>
      </w:r>
      <w:r>
        <w:rPr>
          <w:color w:val="auto"/>
          <w:szCs w:val="21"/>
          <w:highlight w:val="none"/>
        </w:rPr>
        <w:t>。</w:t>
      </w:r>
    </w:p>
    <w:p>
      <w:pPr>
        <w:snapToGrid w:val="0"/>
        <w:spacing w:line="360" w:lineRule="auto"/>
        <w:ind w:firstLine="210"/>
        <w:rPr>
          <w:color w:val="auto"/>
          <w:szCs w:val="21"/>
          <w:highlight w:val="none"/>
        </w:rPr>
      </w:pPr>
      <w:r>
        <w:rPr>
          <w:rFonts w:hint="eastAsia"/>
          <w:color w:val="auto"/>
          <w:szCs w:val="21"/>
          <w:highlight w:val="none"/>
        </w:rPr>
        <w:t xml:space="preserve">  10.2未经甲方及丙、丁方同意，乙方不得擅自更改或换用投标产品的零部件或配件，否则，乙方承担由此发生的费用，并赔偿甲方及丙、丁方的有关损失，延误的供货日期不予顺延。</w:t>
      </w:r>
    </w:p>
    <w:p>
      <w:pPr>
        <w:snapToGrid w:val="0"/>
        <w:spacing w:line="360" w:lineRule="auto"/>
        <w:ind w:firstLine="210"/>
        <w:rPr>
          <w:b/>
          <w:color w:val="auto"/>
          <w:szCs w:val="21"/>
          <w:highlight w:val="none"/>
        </w:rPr>
      </w:pPr>
      <w:r>
        <w:rPr>
          <w:rFonts w:hint="eastAsia"/>
          <w:b/>
          <w:color w:val="auto"/>
          <w:szCs w:val="21"/>
          <w:highlight w:val="none"/>
        </w:rPr>
        <w:t xml:space="preserve">11、设备、材料检验 </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甲方及丙、丁方认为有必要在设备制造过程中派人到生产厂监制，乙方应予以积极配合并对监制或预验收工作提供方便并承担相关费用。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在第一批设备供货之前，丙方将会同丁方、甲方、监理工程师等相关单位到乙方的设备制造厂进行样品审核，乙方应积极配合并对甲方及丙、丁方的工作提供方便并承担相关费用。</w:t>
      </w:r>
    </w:p>
    <w:p>
      <w:pPr>
        <w:pStyle w:val="27"/>
        <w:spacing w:line="360" w:lineRule="auto"/>
        <w:ind w:firstLineChars="200"/>
        <w:rPr>
          <w:color w:val="auto"/>
          <w:sz w:val="21"/>
          <w:szCs w:val="21"/>
          <w:highlight w:val="none"/>
        </w:rPr>
      </w:pPr>
      <w:r>
        <w:rPr>
          <w:rFonts w:hint="eastAsia"/>
          <w:color w:val="auto"/>
          <w:sz w:val="21"/>
          <w:szCs w:val="21"/>
          <w:highlight w:val="none"/>
        </w:rPr>
        <w:t>所有的货物备进场时须同时提供货物出厂合格证书、检测报告。国外生产的必须有合法的进货渠道证明，如海关报关单、原产地证明、商检证明等。</w:t>
      </w:r>
    </w:p>
    <w:p>
      <w:pPr>
        <w:pStyle w:val="65"/>
        <w:spacing w:line="360" w:lineRule="auto"/>
        <w:ind w:firstLine="420"/>
        <w:rPr>
          <w:rFonts w:ascii="宋体" w:eastAsia="宋体"/>
          <w:bCs w:val="0"/>
          <w:color w:val="auto"/>
          <w:sz w:val="21"/>
          <w:szCs w:val="21"/>
          <w:highlight w:val="none"/>
        </w:rPr>
      </w:pPr>
      <w:r>
        <w:rPr>
          <w:rFonts w:hint="eastAsia" w:ascii="宋体" w:eastAsia="宋体"/>
          <w:bCs w:val="0"/>
          <w:color w:val="auto"/>
          <w:sz w:val="21"/>
          <w:szCs w:val="21"/>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color w:val="auto"/>
          <w:szCs w:val="21"/>
          <w:highlight w:val="none"/>
          <w:u w:val="single"/>
        </w:rPr>
      </w:pPr>
      <w:r>
        <w:rPr>
          <w:rFonts w:hint="eastAsia"/>
          <w:color w:val="auto"/>
          <w:szCs w:val="21"/>
          <w:highlight w:val="none"/>
        </w:rPr>
        <w:t>样品的报送与封存：需要乙方报送样品的材料或工程设备，样品的种类、名称、规格、数量要求：</w:t>
      </w:r>
      <w:r>
        <w:rPr>
          <w:rFonts w:hint="eastAsia"/>
          <w:color w:val="auto"/>
          <w:szCs w:val="21"/>
          <w:highlight w:val="none"/>
          <w:u w:val="single"/>
        </w:rPr>
        <w:t>以符合设计和规范要求为原则。a、一般材料由甲方及丙、丁方、监理看样认可后自行采购；主要设备应由甲方及丙、丁方和监理共同看样定货认可后采购。b 、所有材料必须有质保书和合格证，经认证许可，并符合施工图纸和规范要求，若材料质量不符合规定要求，乙方无条件退换并承担返工损失及工期、质量违约责任 。</w:t>
      </w:r>
    </w:p>
    <w:p>
      <w:pPr>
        <w:snapToGrid w:val="0"/>
        <w:spacing w:line="360" w:lineRule="auto"/>
        <w:ind w:firstLine="422" w:firstLineChars="200"/>
        <w:outlineLvl w:val="0"/>
        <w:rPr>
          <w:b/>
          <w:color w:val="auto"/>
          <w:szCs w:val="21"/>
          <w:highlight w:val="none"/>
        </w:rPr>
      </w:pPr>
      <w:bookmarkStart w:id="437" w:name="_Toc812"/>
      <w:r>
        <w:rPr>
          <w:rFonts w:hint="eastAsia"/>
          <w:b/>
          <w:color w:val="auto"/>
          <w:szCs w:val="21"/>
          <w:highlight w:val="none"/>
        </w:rPr>
        <w:t>12、设备的安装、调试</w:t>
      </w:r>
      <w:bookmarkEnd w:id="437"/>
    </w:p>
    <w:p>
      <w:pPr>
        <w:snapToGrid w:val="0"/>
        <w:spacing w:line="360" w:lineRule="auto"/>
        <w:ind w:firstLine="420" w:firstLineChars="200"/>
        <w:rPr>
          <w:color w:val="auto"/>
          <w:szCs w:val="21"/>
          <w:highlight w:val="none"/>
          <w:shd w:val="pct10" w:color="auto" w:fill="FFFFFF"/>
        </w:rPr>
      </w:pPr>
      <w:r>
        <w:rPr>
          <w:rFonts w:hint="eastAsia"/>
          <w:color w:val="auto"/>
          <w:szCs w:val="21"/>
          <w:highlight w:val="none"/>
        </w:rPr>
        <w:t>12.1合同所订的货物到达甲方及丙、丁方后，乙方应在收到甲方及丙、丁方通知后2天内，及时派人前往设备交货地点</w:t>
      </w:r>
      <w:r>
        <w:rPr>
          <w:rFonts w:hint="eastAsia"/>
          <w:bCs/>
          <w:color w:val="auto"/>
          <w:szCs w:val="21"/>
          <w:highlight w:val="none"/>
        </w:rPr>
        <w:t>对设备</w:t>
      </w:r>
      <w:r>
        <w:rPr>
          <w:rFonts w:hint="eastAsia"/>
          <w:color w:val="auto"/>
          <w:szCs w:val="21"/>
          <w:highlight w:val="none"/>
        </w:rPr>
        <w:t>进行安装调试。</w:t>
      </w:r>
    </w:p>
    <w:p>
      <w:pPr>
        <w:snapToGrid w:val="0"/>
        <w:spacing w:line="360" w:lineRule="auto"/>
        <w:ind w:firstLine="420" w:firstLineChars="200"/>
        <w:rPr>
          <w:color w:val="auto"/>
          <w:szCs w:val="21"/>
          <w:highlight w:val="none"/>
        </w:rPr>
      </w:pPr>
      <w:r>
        <w:rPr>
          <w:rFonts w:hint="eastAsia"/>
          <w:color w:val="auto"/>
          <w:szCs w:val="21"/>
          <w:highlight w:val="none"/>
        </w:rPr>
        <w:t>12.2乙方人员在甲方及丙、丁方进行指导安装及设备调试期间，所有费用由乙方负责。</w:t>
      </w:r>
    </w:p>
    <w:p>
      <w:pPr>
        <w:snapToGrid w:val="0"/>
        <w:spacing w:line="360" w:lineRule="auto"/>
        <w:ind w:firstLine="420" w:firstLineChars="200"/>
        <w:rPr>
          <w:color w:val="auto"/>
          <w:szCs w:val="21"/>
          <w:highlight w:val="none"/>
        </w:rPr>
      </w:pPr>
      <w:r>
        <w:rPr>
          <w:rFonts w:hint="eastAsia"/>
          <w:color w:val="auto"/>
          <w:szCs w:val="21"/>
          <w:highlight w:val="none"/>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5"/>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安装完毕后，乙方应派遣有经验的工程技术人员进行设备的调试及试运行，采购人可以要求乙方或具有检测资质的第三方用专用仪器进行测试，乙方应负责测试和调试所需的人员、工具、材料、仪器及检测费用等一切费用，并填写测试报告交由采购人存档。如需采购人派有关人员配合，乙方应在设备安装调试前一周提出需配合工作人员的工种、人数等计划书交与采购人，以便采购人提前作好准备，确保整个工程顺利进行。采购人组织相关专家进行验收，验收人员、会务等相关的一切费用，由乙方负责。</w:t>
      </w:r>
    </w:p>
    <w:p>
      <w:pPr>
        <w:spacing w:line="360" w:lineRule="auto"/>
        <w:ind w:left="210" w:leftChars="100"/>
        <w:rPr>
          <w:b/>
          <w:color w:val="auto"/>
          <w:szCs w:val="21"/>
          <w:highlight w:val="none"/>
        </w:rPr>
      </w:pPr>
      <w:r>
        <w:rPr>
          <w:rFonts w:hint="eastAsia"/>
          <w:b/>
          <w:color w:val="auto"/>
          <w:szCs w:val="21"/>
          <w:highlight w:val="none"/>
        </w:rPr>
        <w:t>13、设备验收</w:t>
      </w:r>
    </w:p>
    <w:p>
      <w:pPr>
        <w:snapToGrid w:val="0"/>
        <w:spacing w:line="360" w:lineRule="auto"/>
        <w:ind w:firstLine="420" w:firstLineChars="200"/>
        <w:rPr>
          <w:color w:val="auto"/>
          <w:szCs w:val="21"/>
          <w:highlight w:val="none"/>
        </w:rPr>
      </w:pPr>
      <w:r>
        <w:rPr>
          <w:rFonts w:hint="eastAsia"/>
          <w:color w:val="auto"/>
          <w:szCs w:val="21"/>
          <w:highlight w:val="none"/>
        </w:rPr>
        <w:t>13.1</w:t>
      </w:r>
      <w:r>
        <w:rPr>
          <w:rFonts w:hint="eastAsia"/>
          <w:bCs/>
          <w:color w:val="auto"/>
          <w:szCs w:val="21"/>
          <w:highlight w:val="none"/>
        </w:rPr>
        <w:t>乙方</w:t>
      </w:r>
      <w:r>
        <w:rPr>
          <w:rFonts w:hint="eastAsia"/>
          <w:color w:val="auto"/>
          <w:szCs w:val="21"/>
          <w:highlight w:val="none"/>
        </w:rPr>
        <w:t>在投标时应提供验收大纲和验收标准供甲方及丙、丁方参考，经甲方及丙、丁方确认后，作为验收的依据。</w:t>
      </w:r>
    </w:p>
    <w:p>
      <w:pPr>
        <w:snapToGrid w:val="0"/>
        <w:spacing w:line="360" w:lineRule="auto"/>
        <w:ind w:firstLine="420" w:firstLineChars="200"/>
        <w:rPr>
          <w:color w:val="auto"/>
          <w:szCs w:val="21"/>
          <w:highlight w:val="none"/>
        </w:rPr>
      </w:pPr>
      <w:r>
        <w:rPr>
          <w:rFonts w:hint="eastAsia"/>
          <w:color w:val="auto"/>
          <w:szCs w:val="21"/>
          <w:highlight w:val="none"/>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auto"/>
        <w:ind w:firstLine="420" w:firstLineChars="200"/>
        <w:rPr>
          <w:color w:val="auto"/>
          <w:szCs w:val="21"/>
          <w:highlight w:val="none"/>
        </w:rPr>
      </w:pPr>
      <w:r>
        <w:rPr>
          <w:rFonts w:hint="eastAsia"/>
          <w:color w:val="auto"/>
          <w:szCs w:val="21"/>
          <w:highlight w:val="none"/>
        </w:rPr>
        <w:t>13.3设备在安装、调试结束后，经过二个月的试运行考核无故障，甲乙丙丁方会同当地有关部门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auto"/>
        <w:ind w:firstLine="422" w:firstLineChars="200"/>
        <w:outlineLvl w:val="0"/>
        <w:rPr>
          <w:b/>
          <w:color w:val="auto"/>
          <w:szCs w:val="21"/>
          <w:highlight w:val="none"/>
        </w:rPr>
      </w:pPr>
      <w:bookmarkStart w:id="438" w:name="_Toc8150"/>
      <w:r>
        <w:rPr>
          <w:rFonts w:hint="eastAsia"/>
          <w:b/>
          <w:color w:val="auto"/>
          <w:szCs w:val="21"/>
          <w:highlight w:val="none"/>
        </w:rPr>
        <w:t>14、质保及维修</w:t>
      </w:r>
      <w:bookmarkEnd w:id="438"/>
    </w:p>
    <w:p>
      <w:pPr>
        <w:snapToGrid w:val="0"/>
        <w:spacing w:line="360" w:lineRule="auto"/>
        <w:ind w:firstLine="420" w:firstLineChars="200"/>
        <w:rPr>
          <w:color w:val="auto"/>
          <w:szCs w:val="21"/>
          <w:highlight w:val="none"/>
        </w:rPr>
      </w:pPr>
      <w:r>
        <w:rPr>
          <w:rFonts w:hint="eastAsia"/>
          <w:color w:val="auto"/>
          <w:szCs w:val="21"/>
          <w:highlight w:val="none"/>
        </w:rPr>
        <w:t>14.1设备质</w:t>
      </w:r>
      <w:r>
        <w:rPr>
          <w:rFonts w:hint="eastAsia"/>
          <w:b/>
          <w:bCs/>
          <w:color w:val="auto"/>
          <w:szCs w:val="21"/>
          <w:highlight w:val="none"/>
        </w:rPr>
        <w:t>量保证期为使用产品之日起至少</w:t>
      </w:r>
      <w:r>
        <w:rPr>
          <w:rFonts w:hint="eastAsia"/>
          <w:b/>
          <w:bCs/>
          <w:color w:val="auto"/>
          <w:szCs w:val="21"/>
          <w:highlight w:val="none"/>
          <w:u w:val="single"/>
        </w:rPr>
        <w:t>36个月</w:t>
      </w:r>
      <w:r>
        <w:rPr>
          <w:rFonts w:hint="eastAsia" w:ascii="宋体" w:hAnsi="宋体" w:cs="宋体"/>
          <w:b/>
          <w:bCs/>
          <w:color w:val="auto"/>
          <w:szCs w:val="21"/>
          <w:highlight w:val="none"/>
          <w:u w:val="single"/>
        </w:rPr>
        <w:t>（具体时间</w:t>
      </w:r>
      <w:r>
        <w:rPr>
          <w:rFonts w:hint="eastAsia" w:ascii="宋体" w:hAnsi="宋体" w:cs="宋体"/>
          <w:b/>
          <w:bCs/>
          <w:color w:val="auto"/>
          <w:szCs w:val="21"/>
          <w:highlight w:val="none"/>
          <w:u w:val="single"/>
          <w:lang w:val="en-US" w:eastAsia="zh-CN"/>
        </w:rPr>
        <w:t>以</w:t>
      </w:r>
      <w:r>
        <w:rPr>
          <w:rFonts w:hint="eastAsia" w:ascii="宋体" w:hAnsi="宋体" w:cs="宋体"/>
          <w:b/>
          <w:bCs/>
          <w:color w:val="auto"/>
          <w:szCs w:val="21"/>
          <w:highlight w:val="none"/>
          <w:u w:val="single"/>
        </w:rPr>
        <w:t>投标文件为准）</w:t>
      </w:r>
      <w:r>
        <w:rPr>
          <w:rFonts w:hint="eastAsia"/>
          <w:color w:val="auto"/>
          <w:szCs w:val="21"/>
          <w:highlight w:val="none"/>
        </w:rPr>
        <w:t>。质保期内如无问题，则在质保期满时，由甲方及丙、丁方提交质保期验收报告，验收由甲方及丙、丁方签字认可。</w:t>
      </w:r>
    </w:p>
    <w:p>
      <w:pPr>
        <w:snapToGrid w:val="0"/>
        <w:spacing w:line="360" w:lineRule="auto"/>
        <w:ind w:firstLine="420" w:firstLineChars="200"/>
        <w:rPr>
          <w:color w:val="auto"/>
          <w:szCs w:val="21"/>
          <w:highlight w:val="none"/>
        </w:rPr>
      </w:pPr>
      <w:r>
        <w:rPr>
          <w:rFonts w:hint="eastAsia"/>
          <w:color w:val="auto"/>
          <w:szCs w:val="21"/>
          <w:highlight w:val="none"/>
        </w:rPr>
        <w:t>14.2在设备质保期内，因设备本身的缺陷导致各种故障，乙方应负责免费更换产品，提供技术服务和指导设备维修，更换后的产品的质量保证期为</w:t>
      </w:r>
      <w:r>
        <w:rPr>
          <w:rFonts w:hint="eastAsia"/>
          <w:bCs/>
          <w:color w:val="auto"/>
          <w:szCs w:val="21"/>
          <w:highlight w:val="none"/>
        </w:rPr>
        <w:t>更换后的产品</w:t>
      </w:r>
      <w:r>
        <w:rPr>
          <w:rFonts w:hint="eastAsia"/>
          <w:color w:val="auto"/>
          <w:szCs w:val="21"/>
          <w:highlight w:val="none"/>
        </w:rPr>
        <w:t>使用之日起至少</w:t>
      </w:r>
      <w:r>
        <w:rPr>
          <w:rFonts w:hint="eastAsia"/>
          <w:bCs/>
          <w:color w:val="auto"/>
          <w:szCs w:val="21"/>
          <w:highlight w:val="none"/>
          <w:u w:val="single"/>
        </w:rPr>
        <w:t>36个月</w:t>
      </w:r>
      <w:r>
        <w:rPr>
          <w:rFonts w:hint="eastAsia" w:ascii="宋体" w:hAnsi="宋体" w:cs="宋体"/>
          <w:b/>
          <w:bCs/>
          <w:color w:val="auto"/>
          <w:szCs w:val="21"/>
          <w:highlight w:val="none"/>
          <w:u w:val="single"/>
        </w:rPr>
        <w:t>（具体时间</w:t>
      </w:r>
      <w:r>
        <w:rPr>
          <w:rFonts w:hint="eastAsia" w:ascii="宋体" w:hAnsi="宋体" w:cs="宋体"/>
          <w:b/>
          <w:bCs/>
          <w:color w:val="auto"/>
          <w:szCs w:val="21"/>
          <w:highlight w:val="none"/>
          <w:u w:val="single"/>
          <w:lang w:val="en-US" w:eastAsia="zh-CN"/>
        </w:rPr>
        <w:t>以</w:t>
      </w:r>
      <w:r>
        <w:rPr>
          <w:rFonts w:hint="eastAsia" w:ascii="宋体" w:hAnsi="宋体" w:cs="宋体"/>
          <w:b/>
          <w:bCs/>
          <w:color w:val="auto"/>
          <w:szCs w:val="21"/>
          <w:highlight w:val="none"/>
          <w:u w:val="single"/>
        </w:rPr>
        <w:t>投标文件为准）</w:t>
      </w:r>
      <w:r>
        <w:rPr>
          <w:rFonts w:hint="eastAsia"/>
          <w:bCs/>
          <w:color w:val="auto"/>
          <w:szCs w:val="21"/>
          <w:highlight w:val="none"/>
        </w:rPr>
        <w:t>。</w:t>
      </w:r>
    </w:p>
    <w:p>
      <w:pPr>
        <w:snapToGrid w:val="0"/>
        <w:spacing w:line="360" w:lineRule="auto"/>
        <w:ind w:firstLine="420" w:firstLineChars="200"/>
        <w:rPr>
          <w:color w:val="auto"/>
          <w:szCs w:val="21"/>
          <w:highlight w:val="none"/>
        </w:rPr>
      </w:pPr>
      <w:r>
        <w:rPr>
          <w:rFonts w:hint="eastAsia"/>
          <w:color w:val="auto"/>
          <w:szCs w:val="21"/>
          <w:highlight w:val="none"/>
        </w:rPr>
        <w:t>14.3如设备在质保期后发生故障，乙方在收到甲方及丙、丁方的书面维修通知后，应</w:t>
      </w:r>
      <w:r>
        <w:rPr>
          <w:rFonts w:hint="eastAsia"/>
          <w:b/>
          <w:bCs/>
          <w:color w:val="auto"/>
          <w:szCs w:val="21"/>
          <w:highlight w:val="none"/>
        </w:rPr>
        <w:t>即时给予响应。在质保期内的工作应包括对所有设备</w:t>
      </w:r>
      <w:r>
        <w:rPr>
          <w:rFonts w:hint="eastAsia"/>
          <w:bCs/>
          <w:color w:val="auto"/>
          <w:szCs w:val="21"/>
          <w:highlight w:val="none"/>
          <w:u w:val="thick"/>
        </w:rPr>
        <w:t>每月至少1次</w:t>
      </w:r>
      <w:r>
        <w:rPr>
          <w:rFonts w:hint="eastAsia"/>
          <w:bCs/>
          <w:color w:val="auto"/>
          <w:szCs w:val="21"/>
          <w:highlight w:val="none"/>
        </w:rPr>
        <w:t>的</w:t>
      </w:r>
      <w:r>
        <w:rPr>
          <w:rFonts w:hint="eastAsia"/>
          <w:color w:val="auto"/>
          <w:szCs w:val="21"/>
          <w:highlight w:val="none"/>
        </w:rPr>
        <w:t>常规检查、调整和润滑。</w:t>
      </w:r>
    </w:p>
    <w:p>
      <w:pPr>
        <w:snapToGrid w:val="0"/>
        <w:spacing w:line="360" w:lineRule="auto"/>
        <w:ind w:firstLine="420" w:firstLineChars="200"/>
        <w:rPr>
          <w:color w:val="auto"/>
          <w:szCs w:val="21"/>
          <w:highlight w:val="none"/>
        </w:rPr>
      </w:pPr>
      <w:r>
        <w:rPr>
          <w:rFonts w:hint="eastAsia"/>
          <w:color w:val="auto"/>
          <w:szCs w:val="21"/>
          <w:highlight w:val="none"/>
        </w:rPr>
        <w:t>14.4乙方在投标文件中所承诺的辅材、配件价格及保修期外的保修年费及服务方案做为合同的一部分。</w:t>
      </w:r>
    </w:p>
    <w:p>
      <w:pPr>
        <w:pStyle w:val="65"/>
        <w:spacing w:line="360" w:lineRule="auto"/>
        <w:ind w:firstLine="422"/>
        <w:rPr>
          <w:rFonts w:ascii="宋体" w:eastAsia="宋体"/>
          <w:b/>
          <w:color w:val="auto"/>
          <w:sz w:val="21"/>
          <w:szCs w:val="21"/>
          <w:highlight w:val="none"/>
        </w:rPr>
      </w:pPr>
      <w:r>
        <w:rPr>
          <w:rFonts w:hint="eastAsia" w:ascii="宋体" w:eastAsia="宋体"/>
          <w:b/>
          <w:color w:val="auto"/>
          <w:sz w:val="21"/>
          <w:szCs w:val="21"/>
          <w:highlight w:val="none"/>
        </w:rPr>
        <w:t>15安全要求：</w:t>
      </w:r>
    </w:p>
    <w:p>
      <w:pPr>
        <w:pStyle w:val="65"/>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5"/>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15.2乙方在实施过程中应采取必要的安全防护和消防措施，保障作业人员及出入施工现场人员的安全。乙方应为施工人员办理所需的工伤等保险，费用由乙方自行负责。</w:t>
      </w:r>
    </w:p>
    <w:p>
      <w:pPr>
        <w:pStyle w:val="65"/>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15.3乙方在实施过程中如发生质量事故责任全部自行承担，及时报告甲方及丙、丁方。做到及时查清事故原因，分清事故责任，并采取有效的补救措施。一般质量事故的处理方案应送采购人共同研究实施；重大质量事故的处理按国家相关条例执行。</w:t>
      </w:r>
    </w:p>
    <w:p>
      <w:pPr>
        <w:pStyle w:val="65"/>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15.4本项目实施过程中出现的作业人员或因承包人原因引起的第三方人员、财务损失，造成的责任和因此发生的费用，由乙方承担。</w:t>
      </w:r>
    </w:p>
    <w:p>
      <w:pPr>
        <w:pStyle w:val="65"/>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15.5本项目实施过程中，由乙方引起的管线、线路等损坏由乙方承担相应的责任和损失。</w:t>
      </w:r>
    </w:p>
    <w:p>
      <w:pPr>
        <w:snapToGrid w:val="0"/>
        <w:spacing w:line="360" w:lineRule="auto"/>
        <w:ind w:firstLine="422" w:firstLineChars="200"/>
        <w:outlineLvl w:val="0"/>
        <w:rPr>
          <w:b/>
          <w:color w:val="auto"/>
          <w:szCs w:val="21"/>
          <w:highlight w:val="none"/>
        </w:rPr>
      </w:pPr>
      <w:bookmarkStart w:id="439" w:name="_Toc10358"/>
      <w:r>
        <w:rPr>
          <w:rFonts w:hint="eastAsia"/>
          <w:b/>
          <w:color w:val="auto"/>
          <w:szCs w:val="21"/>
          <w:highlight w:val="none"/>
        </w:rPr>
        <w:t>16、违约责任</w:t>
      </w:r>
      <w:bookmarkEnd w:id="439"/>
    </w:p>
    <w:p>
      <w:pPr>
        <w:snapToGrid w:val="0"/>
        <w:spacing w:line="360" w:lineRule="auto"/>
        <w:ind w:firstLine="420" w:firstLineChars="200"/>
        <w:rPr>
          <w:color w:val="auto"/>
          <w:szCs w:val="21"/>
          <w:highlight w:val="none"/>
        </w:rPr>
      </w:pPr>
      <w:r>
        <w:rPr>
          <w:rFonts w:hint="eastAsia"/>
          <w:color w:val="auto"/>
          <w:szCs w:val="21"/>
          <w:highlight w:val="none"/>
        </w:rPr>
        <w:t>16.1合同约定工期节点的，每逾期一天，乙方按2000.00元/天向丙方支付违约金；逾期超过 30天的，甲方及丙、丁方</w:t>
      </w:r>
      <w:r>
        <w:rPr>
          <w:rFonts w:hint="eastAsia" w:ascii="宋体" w:hAnsi="宋体" w:cs="宋体"/>
          <w:color w:val="auto"/>
          <w:szCs w:val="21"/>
          <w:highlight w:val="none"/>
        </w:rPr>
        <w:t>协商一致后</w:t>
      </w:r>
      <w:r>
        <w:rPr>
          <w:rFonts w:hint="eastAsia"/>
          <w:color w:val="auto"/>
          <w:szCs w:val="21"/>
          <w:highlight w:val="none"/>
        </w:rPr>
        <w:t>有权解除合同</w:t>
      </w:r>
      <w:r>
        <w:rPr>
          <w:color w:val="auto"/>
          <w:szCs w:val="21"/>
          <w:highlight w:val="none"/>
        </w:rPr>
        <w:t>、</w:t>
      </w:r>
      <w:r>
        <w:rPr>
          <w:rFonts w:hint="eastAsia"/>
          <w:color w:val="auto"/>
          <w:szCs w:val="21"/>
          <w:highlight w:val="none"/>
        </w:rPr>
        <w:t>甲方没收全部的履约保证金并乙方承担所有的违约责任并承担由此造成的甲方及丙、丁方的全部损失。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16.2乙方交付的货品不能满足招标文件及合同主要技术标准及质量要求的，应按照要求更换、重做、修理直至按照甲方及丙、丁方的要求退货并每发生一次</w:t>
      </w:r>
      <w:r>
        <w:rPr>
          <w:color w:val="auto"/>
          <w:szCs w:val="21"/>
          <w:highlight w:val="none"/>
        </w:rPr>
        <w:t>，</w:t>
      </w:r>
      <w:r>
        <w:rPr>
          <w:rFonts w:hint="eastAsia"/>
          <w:color w:val="auto"/>
          <w:szCs w:val="21"/>
          <w:highlight w:val="none"/>
        </w:rPr>
        <w:t>乙方应向丙方支付违约金元，累计发生次</w:t>
      </w:r>
      <w:r>
        <w:rPr>
          <w:color w:val="auto"/>
          <w:szCs w:val="21"/>
          <w:highlight w:val="none"/>
        </w:rPr>
        <w:t>（</w:t>
      </w:r>
      <w:r>
        <w:rPr>
          <w:rFonts w:hint="eastAsia"/>
          <w:color w:val="auto"/>
          <w:szCs w:val="21"/>
          <w:highlight w:val="none"/>
        </w:rPr>
        <w:t>含</w:t>
      </w:r>
      <w:r>
        <w:rPr>
          <w:color w:val="auto"/>
          <w:szCs w:val="21"/>
          <w:highlight w:val="none"/>
        </w:rPr>
        <w:t>）</w:t>
      </w:r>
      <w:r>
        <w:rPr>
          <w:rFonts w:hint="eastAsia"/>
          <w:color w:val="auto"/>
          <w:szCs w:val="21"/>
          <w:highlight w:val="none"/>
        </w:rPr>
        <w:t>以上的</w:t>
      </w:r>
      <w:r>
        <w:rPr>
          <w:color w:val="auto"/>
          <w:szCs w:val="21"/>
          <w:highlight w:val="none"/>
        </w:rPr>
        <w:t>，</w:t>
      </w:r>
      <w:r>
        <w:rPr>
          <w:rFonts w:hint="eastAsia"/>
          <w:color w:val="auto"/>
          <w:szCs w:val="21"/>
          <w:highlight w:val="none"/>
        </w:rPr>
        <w:t>甲方</w:t>
      </w:r>
      <w:r>
        <w:rPr>
          <w:color w:val="auto"/>
          <w:szCs w:val="21"/>
          <w:highlight w:val="none"/>
        </w:rPr>
        <w:t>、</w:t>
      </w:r>
      <w:r>
        <w:rPr>
          <w:rFonts w:hint="eastAsia"/>
          <w:color w:val="auto"/>
          <w:szCs w:val="21"/>
          <w:highlight w:val="none"/>
        </w:rPr>
        <w:t>丙、丁方有权解除本合同</w:t>
      </w:r>
      <w:r>
        <w:rPr>
          <w:color w:val="auto"/>
          <w:szCs w:val="21"/>
          <w:highlight w:val="none"/>
        </w:rPr>
        <w:t>、</w:t>
      </w:r>
      <w:r>
        <w:rPr>
          <w:rFonts w:hint="eastAsia"/>
          <w:b/>
          <w:bCs/>
          <w:color w:val="auto"/>
          <w:szCs w:val="21"/>
          <w:highlight w:val="none"/>
        </w:rPr>
        <w:t>甲方有权没</w:t>
      </w:r>
      <w:r>
        <w:rPr>
          <w:rFonts w:hint="eastAsia"/>
          <w:color w:val="auto"/>
          <w:szCs w:val="21"/>
          <w:highlight w:val="none"/>
        </w:rPr>
        <w:t>收全部的履约保证金</w:t>
      </w:r>
      <w:r>
        <w:rPr>
          <w:color w:val="auto"/>
          <w:szCs w:val="21"/>
          <w:highlight w:val="none"/>
        </w:rPr>
        <w:t>，</w:t>
      </w:r>
      <w:r>
        <w:rPr>
          <w:rFonts w:hint="eastAsia"/>
          <w:color w:val="auto"/>
          <w:szCs w:val="21"/>
          <w:highlight w:val="none"/>
        </w:rPr>
        <w:t>乙方承担全部的违约责任并乙方应承担因此造成的甲方及丙、丁方的所有损失</w:t>
      </w:r>
      <w:r>
        <w:rPr>
          <w:color w:val="auto"/>
          <w:szCs w:val="21"/>
          <w:highlight w:val="none"/>
        </w:rPr>
        <w:t>。</w:t>
      </w:r>
      <w:r>
        <w:rPr>
          <w:rFonts w:hint="eastAsia"/>
          <w:color w:val="auto"/>
          <w:szCs w:val="21"/>
          <w:highlight w:val="none"/>
        </w:rPr>
        <w:t>因此造成交货逾期的，每逾期一天，乙方按2000.00元/天向丙方支付违约金；逾期超过30天的，甲方及丙、丁方有权解除合同，要求乙方退还已收款项并向丙方支付本合同总价款5％的违约金。</w:t>
      </w:r>
    </w:p>
    <w:p>
      <w:pPr>
        <w:snapToGrid w:val="0"/>
        <w:spacing w:line="360" w:lineRule="auto"/>
        <w:ind w:firstLine="420" w:firstLineChars="200"/>
        <w:rPr>
          <w:color w:val="auto"/>
          <w:szCs w:val="21"/>
          <w:highlight w:val="none"/>
        </w:rPr>
      </w:pPr>
      <w:r>
        <w:rPr>
          <w:rFonts w:hint="eastAsia"/>
          <w:color w:val="auto"/>
          <w:szCs w:val="21"/>
          <w:highlight w:val="none"/>
        </w:rPr>
        <w:t>16.3乙方接受甲方及丙、丁方对供货期调整的要求，具体方式为：甲方及丙、丁方提前十五天发出有甲方及丙、丁方代表签发的书面通知，乙方进行书面确认后即可执行</w:t>
      </w:r>
      <w:r>
        <w:rPr>
          <w:rFonts w:hint="eastAsia"/>
          <w:bCs/>
          <w:color w:val="auto"/>
          <w:szCs w:val="21"/>
          <w:highlight w:val="none"/>
        </w:rPr>
        <w:t>，</w:t>
      </w:r>
      <w:r>
        <w:rPr>
          <w:rFonts w:hint="eastAsia"/>
          <w:color w:val="auto"/>
          <w:szCs w:val="21"/>
          <w:highlight w:val="none"/>
        </w:rPr>
        <w:t>对此甲方及丙、丁方不承担违约责任。</w:t>
      </w:r>
    </w:p>
    <w:p>
      <w:pPr>
        <w:widowControl/>
        <w:spacing w:line="360" w:lineRule="auto"/>
        <w:ind w:firstLine="210"/>
        <w:rPr>
          <w:color w:val="auto"/>
          <w:szCs w:val="21"/>
          <w:highlight w:val="none"/>
        </w:rPr>
      </w:pPr>
      <w:r>
        <w:rPr>
          <w:rFonts w:hint="eastAsia"/>
          <w:color w:val="auto"/>
          <w:szCs w:val="21"/>
          <w:highlight w:val="none"/>
        </w:rPr>
        <w:t xml:space="preserve">  16.4如果乙方对本合同的执行敷衍了事，或忽视履行本合同约定的乙方任何工作及责任，而且从</w:t>
      </w:r>
      <w:r>
        <w:rPr>
          <w:rFonts w:hint="eastAsia"/>
          <w:bCs/>
          <w:color w:val="auto"/>
          <w:szCs w:val="21"/>
          <w:highlight w:val="none"/>
        </w:rPr>
        <w:t>甲方及丙方发出</w:t>
      </w:r>
      <w:r>
        <w:rPr>
          <w:rFonts w:hint="eastAsia"/>
          <w:color w:val="auto"/>
          <w:szCs w:val="21"/>
          <w:highlight w:val="none"/>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auto"/>
        <w:ind w:firstLine="420" w:firstLineChars="200"/>
        <w:rPr>
          <w:color w:val="auto"/>
          <w:szCs w:val="21"/>
          <w:highlight w:val="none"/>
        </w:rPr>
      </w:pPr>
      <w:r>
        <w:rPr>
          <w:rFonts w:hint="eastAsia"/>
          <w:color w:val="auto"/>
          <w:szCs w:val="21"/>
          <w:highlight w:val="none"/>
        </w:rPr>
        <w:t>16.5因乙方原因解除本合同时，乙方应向丙方支付签约合同价款</w:t>
      </w:r>
      <w:r>
        <w:rPr>
          <w:rFonts w:hint="eastAsia"/>
          <w:bCs/>
          <w:color w:val="auto"/>
          <w:szCs w:val="21"/>
          <w:highlight w:val="none"/>
        </w:rPr>
        <w:t>20</w:t>
      </w:r>
      <w:r>
        <w:rPr>
          <w:rFonts w:hint="eastAsia"/>
          <w:color w:val="auto"/>
          <w:szCs w:val="21"/>
          <w:highlight w:val="none"/>
        </w:rPr>
        <w:t>%的违约金，且甲方及丙、丁方有权决定是否接受属于乙方在现场的一切设施、设备、材料使用于本工程，并乙方应承担由此造成的甲方及丙、丁方的全部损失。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 .6未经甲方及丙、丁方书面同意，乙方将本合同的权利、义务以任何形式全部或部分让与他人的，甲方及丙、丁方有权解除本合同</w:t>
      </w:r>
      <w:r>
        <w:rPr>
          <w:color w:val="auto"/>
          <w:szCs w:val="21"/>
          <w:highlight w:val="none"/>
        </w:rPr>
        <w:t>、</w:t>
      </w:r>
      <w:r>
        <w:rPr>
          <w:rFonts w:hint="eastAsia"/>
          <w:color w:val="auto"/>
          <w:szCs w:val="21"/>
          <w:highlight w:val="none"/>
        </w:rPr>
        <w:t>没收全部的履约保证金</w:t>
      </w:r>
      <w:r>
        <w:rPr>
          <w:color w:val="auto"/>
          <w:szCs w:val="21"/>
          <w:highlight w:val="none"/>
        </w:rPr>
        <w:t>，</w:t>
      </w:r>
      <w:r>
        <w:rPr>
          <w:rFonts w:hint="eastAsia"/>
          <w:color w:val="auto"/>
          <w:szCs w:val="21"/>
          <w:highlight w:val="none"/>
        </w:rPr>
        <w:t>乙方应按照本合同价款总额的</w:t>
      </w:r>
      <w:r>
        <w:rPr>
          <w:rFonts w:hint="eastAsia"/>
          <w:bCs/>
          <w:color w:val="auto"/>
          <w:szCs w:val="21"/>
          <w:highlight w:val="none"/>
        </w:rPr>
        <w:t>20</w:t>
      </w:r>
      <w:r>
        <w:rPr>
          <w:rFonts w:hint="eastAsia"/>
          <w:color w:val="auto"/>
          <w:szCs w:val="21"/>
          <w:highlight w:val="none"/>
        </w:rPr>
        <w:t>%向丙方支付违约金，并赔偿由此造成的甲方及丙、丁方的全部损失。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16.7本合同中所有乙方应支付给丙方的违约金，乙方在收到书面通知后未及时支付的，甲方有权在收到丙方扣款通知后在应付乙方的任何款项中扣除后转交给丙方。</w:t>
      </w:r>
    </w:p>
    <w:p>
      <w:pPr>
        <w:pStyle w:val="27"/>
        <w:spacing w:line="360" w:lineRule="auto"/>
        <w:ind w:firstLineChars="200"/>
        <w:rPr>
          <w:color w:val="auto"/>
          <w:sz w:val="21"/>
          <w:szCs w:val="21"/>
          <w:highlight w:val="none"/>
        </w:rPr>
      </w:pPr>
      <w:r>
        <w:rPr>
          <w:rFonts w:hint="eastAsia"/>
          <w:color w:val="auto"/>
          <w:sz w:val="21"/>
          <w:szCs w:val="21"/>
          <w:highlight w:val="none"/>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color w:val="auto"/>
          <w:szCs w:val="21"/>
          <w:highlight w:val="none"/>
        </w:rPr>
      </w:pPr>
      <w:r>
        <w:rPr>
          <w:rFonts w:hint="eastAsia"/>
          <w:color w:val="auto"/>
          <w:szCs w:val="21"/>
          <w:highlight w:val="none"/>
        </w:rPr>
        <w:t xml:space="preserve">      16.9因乙方原因造成绍兴市妇幼保健院（绍兴市儿童医院）建设项目工程单项或整体验收不合格及未能通过“钱江杯”“鲁班奖”验收标准的，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outlineLvl w:val="0"/>
        <w:rPr>
          <w:color w:val="auto"/>
          <w:szCs w:val="21"/>
          <w:highlight w:val="none"/>
        </w:rPr>
      </w:pPr>
      <w:bookmarkStart w:id="440" w:name="_Toc18664"/>
      <w:r>
        <w:rPr>
          <w:rFonts w:hint="eastAsia"/>
          <w:color w:val="auto"/>
          <w:szCs w:val="21"/>
          <w:highlight w:val="none"/>
        </w:rPr>
        <w:t>17、其他</w:t>
      </w:r>
      <w:bookmarkEnd w:id="440"/>
    </w:p>
    <w:p>
      <w:pPr>
        <w:snapToGrid w:val="0"/>
        <w:spacing w:line="360" w:lineRule="auto"/>
        <w:ind w:firstLine="420" w:firstLineChars="200"/>
        <w:rPr>
          <w:color w:val="auto"/>
          <w:szCs w:val="21"/>
          <w:highlight w:val="none"/>
        </w:rPr>
      </w:pPr>
      <w:r>
        <w:rPr>
          <w:rFonts w:hint="eastAsia"/>
          <w:color w:val="auto"/>
          <w:szCs w:val="21"/>
          <w:highlight w:val="none"/>
        </w:rPr>
        <w:t>17.1乙方提出使用专利技术或特殊工艺，应取得甲方及丙、丁方和监理单位认可，乙方负责办理申报手续并承担有关费用。</w:t>
      </w:r>
    </w:p>
    <w:p>
      <w:pPr>
        <w:snapToGrid w:val="0"/>
        <w:spacing w:line="360" w:lineRule="auto"/>
        <w:ind w:firstLine="420" w:firstLineChars="200"/>
        <w:rPr>
          <w:color w:val="auto"/>
          <w:szCs w:val="21"/>
          <w:highlight w:val="none"/>
        </w:rPr>
      </w:pPr>
      <w:r>
        <w:rPr>
          <w:rFonts w:hint="eastAsia"/>
          <w:color w:val="auto"/>
          <w:szCs w:val="21"/>
          <w:highlight w:val="none"/>
        </w:rPr>
        <w:t>17.2乙方擅自使用专利技术侵犯他人专利权的因此产生的侵权纠纷</w:t>
      </w:r>
      <w:r>
        <w:rPr>
          <w:color w:val="auto"/>
          <w:szCs w:val="21"/>
          <w:highlight w:val="none"/>
        </w:rPr>
        <w:t>，</w:t>
      </w:r>
      <w:r>
        <w:rPr>
          <w:rFonts w:hint="eastAsia"/>
          <w:color w:val="auto"/>
          <w:szCs w:val="21"/>
          <w:highlight w:val="none"/>
        </w:rPr>
        <w:t>由乙方自行承担并每发生一次</w:t>
      </w:r>
      <w:r>
        <w:rPr>
          <w:color w:val="auto"/>
          <w:szCs w:val="21"/>
          <w:highlight w:val="none"/>
        </w:rPr>
        <w:t>，</w:t>
      </w:r>
      <w:r>
        <w:rPr>
          <w:rFonts w:hint="eastAsia"/>
          <w:color w:val="auto"/>
          <w:szCs w:val="21"/>
          <w:highlight w:val="none"/>
        </w:rPr>
        <w:t>乙方应向丙方支付违约金元，如造成甲方及丙、丁方损失的</w:t>
      </w:r>
      <w:r>
        <w:rPr>
          <w:color w:val="auto"/>
          <w:szCs w:val="21"/>
          <w:highlight w:val="none"/>
        </w:rPr>
        <w:t>，</w:t>
      </w:r>
      <w:r>
        <w:rPr>
          <w:rFonts w:hint="eastAsia"/>
          <w:color w:val="auto"/>
          <w:szCs w:val="21"/>
          <w:highlight w:val="none"/>
        </w:rPr>
        <w:t>甲方及丙、丁方有权全额向乙方追索且甲方及丙、丁方有权视情形解除本合同。</w:t>
      </w:r>
    </w:p>
    <w:p>
      <w:pPr>
        <w:pStyle w:val="27"/>
        <w:spacing w:line="360" w:lineRule="auto"/>
        <w:ind w:firstLine="422" w:firstLineChars="200"/>
        <w:rPr>
          <w:b/>
          <w:bCs/>
          <w:color w:val="auto"/>
          <w:sz w:val="21"/>
          <w:szCs w:val="21"/>
          <w:highlight w:val="none"/>
        </w:rPr>
      </w:pPr>
      <w:r>
        <w:rPr>
          <w:rFonts w:hint="eastAsia"/>
          <w:b/>
          <w:bCs/>
          <w:color w:val="auto"/>
          <w:sz w:val="21"/>
          <w:szCs w:val="21"/>
          <w:highlight w:val="none"/>
        </w:rPr>
        <w:t>特别注明：本项目所有涉及到的方案或者深化图纸及变更都需经丙、丁方书面确认并同意后实施，甲方单方面要求乙方的变更无效。</w:t>
      </w:r>
    </w:p>
    <w:p>
      <w:pPr>
        <w:snapToGrid w:val="0"/>
        <w:spacing w:line="360" w:lineRule="auto"/>
        <w:ind w:firstLine="422" w:firstLineChars="200"/>
        <w:rPr>
          <w:b/>
          <w:color w:val="auto"/>
          <w:szCs w:val="21"/>
          <w:highlight w:val="none"/>
        </w:rPr>
      </w:pPr>
      <w:r>
        <w:rPr>
          <w:rFonts w:hint="eastAsia"/>
          <w:b/>
          <w:color w:val="auto"/>
          <w:szCs w:val="21"/>
          <w:highlight w:val="none"/>
        </w:rPr>
        <w:t>18、售后服务</w:t>
      </w:r>
    </w:p>
    <w:p>
      <w:pPr>
        <w:snapToGrid w:val="0"/>
        <w:spacing w:line="360" w:lineRule="auto"/>
        <w:ind w:firstLine="420" w:firstLineChars="200"/>
        <w:rPr>
          <w:color w:val="auto"/>
          <w:szCs w:val="21"/>
          <w:highlight w:val="none"/>
        </w:rPr>
      </w:pPr>
      <w:r>
        <w:rPr>
          <w:rFonts w:hint="eastAsia"/>
          <w:color w:val="auto"/>
          <w:szCs w:val="21"/>
          <w:highlight w:val="none"/>
        </w:rPr>
        <w:t>18.1乙方应按法律、行政法规或国家关于设备质量保修的有关规定，对交付甲方及丙方使用的设备在质量保修期内承担质量保修责任。如乙方为联合体的，则应按照联合体成员各自承担的合同内容履行售后服务。</w:t>
      </w:r>
    </w:p>
    <w:p>
      <w:pPr>
        <w:snapToGrid w:val="0"/>
        <w:spacing w:line="360" w:lineRule="auto"/>
        <w:ind w:firstLine="420" w:firstLineChars="200"/>
        <w:rPr>
          <w:color w:val="auto"/>
          <w:szCs w:val="21"/>
          <w:highlight w:val="none"/>
        </w:rPr>
      </w:pPr>
      <w:r>
        <w:rPr>
          <w:rFonts w:hint="eastAsia"/>
          <w:color w:val="auto"/>
          <w:szCs w:val="21"/>
          <w:highlight w:val="none"/>
        </w:rPr>
        <w:t>18.2无论在质量保证期内还是质量保证期满后，一旦设备发生故障，而甲方及丙、丁方无法自行排除时，在接到甲方及丙方通知后，乙方须在甲方及丙、丁方书面通知后2小时内赶到现场维修并及时提供备品、备件，并于4小时内完成维修，质保期内乙方须安排专业维保人员驻场，驻场人员数量及资质须满足甲方及丙方需求并获得书面审批，人员未到场一天，扣500元/天。</w:t>
      </w:r>
    </w:p>
    <w:p>
      <w:pPr>
        <w:snapToGrid w:val="0"/>
        <w:spacing w:line="360" w:lineRule="auto"/>
        <w:ind w:firstLine="420" w:firstLineChars="200"/>
        <w:rPr>
          <w:color w:val="auto"/>
          <w:szCs w:val="21"/>
          <w:highlight w:val="none"/>
        </w:rPr>
      </w:pPr>
      <w:r>
        <w:rPr>
          <w:rFonts w:hint="eastAsia"/>
          <w:color w:val="auto"/>
          <w:szCs w:val="21"/>
          <w:highlight w:val="none"/>
        </w:rPr>
        <w:t>18.3每个维修项目完成后，经甲方及丙方或设备管理方验收并签字后，方为该维修项目本次维修完毕。</w:t>
      </w:r>
    </w:p>
    <w:p>
      <w:pPr>
        <w:snapToGrid w:val="0"/>
        <w:spacing w:line="360" w:lineRule="auto"/>
        <w:ind w:firstLine="420" w:firstLineChars="200"/>
        <w:rPr>
          <w:color w:val="auto"/>
          <w:szCs w:val="21"/>
          <w:highlight w:val="none"/>
        </w:rPr>
      </w:pPr>
      <w:r>
        <w:rPr>
          <w:rFonts w:hint="eastAsia"/>
          <w:color w:val="auto"/>
          <w:szCs w:val="21"/>
          <w:highlight w:val="none"/>
        </w:rPr>
        <w:t>18.4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w:t>
      </w:r>
      <w:r>
        <w:rPr>
          <w:color w:val="auto"/>
          <w:szCs w:val="21"/>
          <w:highlight w:val="none"/>
        </w:rPr>
        <w:t>，</w:t>
      </w:r>
      <w:r>
        <w:rPr>
          <w:rFonts w:hint="eastAsia"/>
          <w:color w:val="auto"/>
          <w:szCs w:val="21"/>
          <w:highlight w:val="none"/>
        </w:rPr>
        <w:t>每发生一次</w:t>
      </w:r>
      <w:r>
        <w:rPr>
          <w:color w:val="auto"/>
          <w:szCs w:val="21"/>
          <w:highlight w:val="none"/>
        </w:rPr>
        <w:t>，</w:t>
      </w:r>
      <w:r>
        <w:rPr>
          <w:rFonts w:hint="eastAsia"/>
          <w:color w:val="auto"/>
          <w:szCs w:val="21"/>
          <w:highlight w:val="none"/>
        </w:rPr>
        <w:t>乙方应向丙方支付违约金</w:t>
      </w:r>
      <w:r>
        <w:rPr>
          <w:color w:val="auto"/>
          <w:szCs w:val="21"/>
          <w:highlight w:val="none"/>
        </w:rPr>
        <w:t>1000</w:t>
      </w:r>
      <w:r>
        <w:rPr>
          <w:rFonts w:hint="eastAsia"/>
          <w:color w:val="auto"/>
          <w:szCs w:val="21"/>
          <w:highlight w:val="none"/>
        </w:rPr>
        <w:t>元。</w:t>
      </w:r>
    </w:p>
    <w:p>
      <w:pPr>
        <w:tabs>
          <w:tab w:val="left" w:pos="1800"/>
        </w:tabs>
        <w:spacing w:line="360" w:lineRule="auto"/>
        <w:ind w:left="210" w:leftChars="100"/>
        <w:rPr>
          <w:color w:val="auto"/>
          <w:szCs w:val="21"/>
          <w:highlight w:val="none"/>
        </w:rPr>
      </w:pPr>
      <w:bookmarkStart w:id="441" w:name="OLE_LINK6"/>
      <w:r>
        <w:rPr>
          <w:rFonts w:hint="eastAsia"/>
          <w:color w:val="auto"/>
          <w:szCs w:val="21"/>
          <w:highlight w:val="none"/>
        </w:rPr>
        <w:t xml:space="preserve">  18.5</w:t>
      </w:r>
      <w:bookmarkEnd w:id="441"/>
      <w:r>
        <w:rPr>
          <w:rFonts w:hint="eastAsia"/>
          <w:color w:val="auto"/>
          <w:szCs w:val="21"/>
          <w:highlight w:val="none"/>
        </w:rPr>
        <w:t>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auto"/>
        <w:ind w:left="210" w:leftChars="100"/>
        <w:rPr>
          <w:color w:val="auto"/>
          <w:szCs w:val="21"/>
          <w:highlight w:val="none"/>
        </w:rPr>
      </w:pPr>
      <w:r>
        <w:rPr>
          <w:rFonts w:hint="eastAsia"/>
          <w:color w:val="auto"/>
          <w:szCs w:val="21"/>
          <w:highlight w:val="none"/>
        </w:rPr>
        <w:t xml:space="preserve">  18.6乙方免费培训甲方及丙方或甲方及丙方指定的操作、管理人员，经培训合格后能上岗操作。</w:t>
      </w:r>
    </w:p>
    <w:p>
      <w:pPr>
        <w:spacing w:line="360" w:lineRule="auto"/>
        <w:ind w:left="210" w:leftChars="100"/>
        <w:rPr>
          <w:b/>
          <w:bCs/>
          <w:color w:val="auto"/>
          <w:szCs w:val="21"/>
          <w:highlight w:val="none"/>
        </w:rPr>
      </w:pPr>
      <w:r>
        <w:rPr>
          <w:rFonts w:hint="eastAsia"/>
          <w:b/>
          <w:bCs/>
          <w:color w:val="auto"/>
          <w:szCs w:val="21"/>
          <w:highlight w:val="none"/>
        </w:rPr>
        <w:t xml:space="preserve"> 19.防辐射设备供货内容</w:t>
      </w:r>
    </w:p>
    <w:p>
      <w:pPr>
        <w:spacing w:line="360" w:lineRule="auto"/>
        <w:ind w:firstLine="420" w:firstLineChars="200"/>
        <w:rPr>
          <w:i/>
          <w:iCs/>
          <w:color w:val="auto"/>
          <w:szCs w:val="21"/>
          <w:highlight w:val="none"/>
        </w:rPr>
      </w:pPr>
      <w:r>
        <w:rPr>
          <w:rFonts w:hint="eastAsia"/>
          <w:color w:val="auto"/>
          <w:szCs w:val="21"/>
          <w:highlight w:val="none"/>
        </w:rPr>
        <w:t>19.1具体详见招标文件所附货物清单</w:t>
      </w:r>
    </w:p>
    <w:p>
      <w:pPr>
        <w:spacing w:line="360" w:lineRule="auto"/>
        <w:ind w:firstLine="210"/>
        <w:rPr>
          <w:color w:val="auto"/>
          <w:szCs w:val="21"/>
          <w:highlight w:val="none"/>
        </w:rPr>
      </w:pPr>
      <w:r>
        <w:rPr>
          <w:rFonts w:hint="eastAsia"/>
          <w:color w:val="auto"/>
          <w:szCs w:val="21"/>
          <w:highlight w:val="none"/>
        </w:rPr>
        <w:t xml:space="preserve">  19.2本合同价格包括防辐射设备的深化设计、制造、运输、安装</w:t>
      </w:r>
      <w:r>
        <w:rPr>
          <w:rFonts w:hint="eastAsia"/>
          <w:bCs/>
          <w:color w:val="auto"/>
          <w:szCs w:val="21"/>
          <w:highlight w:val="none"/>
        </w:rPr>
        <w:t>调试、试运行、</w:t>
      </w:r>
      <w:r>
        <w:rPr>
          <w:rFonts w:hint="eastAsia"/>
          <w:color w:val="auto"/>
          <w:szCs w:val="21"/>
          <w:highlight w:val="none"/>
        </w:rPr>
        <w:t>设备检测、验收、税金、保险等所有费用。</w:t>
      </w: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szCs w:val="21"/>
          <w:highlight w:val="none"/>
        </w:rPr>
      </w:pPr>
    </w:p>
    <w:p>
      <w:pPr>
        <w:pStyle w:val="10"/>
        <w:rPr>
          <w:color w:val="auto"/>
          <w:szCs w:val="21"/>
          <w:highlight w:val="none"/>
        </w:rPr>
      </w:pPr>
    </w:p>
    <w:p>
      <w:pPr>
        <w:rPr>
          <w:color w:val="auto"/>
          <w:szCs w:val="21"/>
          <w:highlight w:val="none"/>
        </w:rPr>
      </w:pPr>
    </w:p>
    <w:p>
      <w:pPr>
        <w:pStyle w:val="9"/>
        <w:rPr>
          <w:color w:val="auto"/>
          <w:highlight w:val="none"/>
        </w:rPr>
      </w:pPr>
    </w:p>
    <w:p>
      <w:pPr>
        <w:pStyle w:val="9"/>
        <w:rPr>
          <w:color w:val="auto"/>
          <w:szCs w:val="21"/>
          <w:highlight w:val="none"/>
        </w:rPr>
      </w:pPr>
    </w:p>
    <w:p>
      <w:pPr>
        <w:pStyle w:val="10"/>
        <w:rPr>
          <w:color w:val="auto"/>
          <w:szCs w:val="21"/>
          <w:highlight w:val="none"/>
        </w:rPr>
      </w:pPr>
    </w:p>
    <w:p>
      <w:pPr>
        <w:rPr>
          <w:color w:val="auto"/>
          <w:highlight w:val="none"/>
        </w:rPr>
      </w:pPr>
    </w:p>
    <w:p>
      <w:pPr>
        <w:pStyle w:val="27"/>
        <w:ind w:firstLine="340"/>
        <w:rPr>
          <w:color w:val="auto"/>
          <w:highlight w:val="none"/>
        </w:rPr>
      </w:pPr>
    </w:p>
    <w:p>
      <w:pPr>
        <w:pStyle w:val="4"/>
        <w:adjustRightInd w:val="0"/>
        <w:ind w:firstLine="422"/>
        <w:textAlignment w:val="baseline"/>
        <w:rPr>
          <w:color w:val="auto"/>
          <w:spacing w:val="30"/>
          <w:szCs w:val="21"/>
          <w:highlight w:val="none"/>
        </w:rPr>
      </w:pPr>
      <w:r>
        <w:rPr>
          <w:rFonts w:hint="eastAsia"/>
          <w:color w:val="auto"/>
          <w:szCs w:val="21"/>
          <w:highlight w:val="none"/>
        </w:rPr>
        <w:t>附件1：廉政合同（格式）</w:t>
      </w:r>
    </w:p>
    <w:p>
      <w:pPr>
        <w:spacing w:line="360" w:lineRule="auto"/>
        <w:jc w:val="center"/>
        <w:rPr>
          <w:b/>
          <w:color w:val="auto"/>
          <w:szCs w:val="21"/>
          <w:highlight w:val="none"/>
        </w:rPr>
      </w:pPr>
      <w:r>
        <w:rPr>
          <w:rFonts w:hint="eastAsia"/>
          <w:b/>
          <w:color w:val="auto"/>
          <w:szCs w:val="21"/>
          <w:highlight w:val="none"/>
        </w:rPr>
        <w:t>廉政合同</w:t>
      </w:r>
    </w:p>
    <w:p>
      <w:pPr>
        <w:spacing w:line="360" w:lineRule="auto"/>
        <w:rPr>
          <w:color w:val="auto"/>
          <w:szCs w:val="21"/>
          <w:highlight w:val="none"/>
        </w:rPr>
      </w:pPr>
    </w:p>
    <w:p>
      <w:pPr>
        <w:spacing w:line="360" w:lineRule="auto"/>
        <w:rPr>
          <w:color w:val="auto"/>
          <w:szCs w:val="21"/>
          <w:highlight w:val="none"/>
        </w:rPr>
      </w:pPr>
      <w:r>
        <w:rPr>
          <w:rFonts w:hint="eastAsia"/>
          <w:color w:val="auto"/>
          <w:szCs w:val="21"/>
          <w:highlight w:val="none"/>
        </w:rPr>
        <w:t>甲方 ：浙江精工钢结构集团有限公司</w:t>
      </w:r>
    </w:p>
    <w:p>
      <w:pPr>
        <w:spacing w:line="360" w:lineRule="auto"/>
        <w:rPr>
          <w:color w:val="auto"/>
          <w:szCs w:val="21"/>
          <w:highlight w:val="none"/>
        </w:rPr>
      </w:pPr>
      <w:r>
        <w:rPr>
          <w:rFonts w:hint="eastAsia"/>
          <w:color w:val="auto"/>
          <w:szCs w:val="21"/>
          <w:highlight w:val="none"/>
        </w:rPr>
        <w:t xml:space="preserve">乙方 ：                         （中标单位） </w:t>
      </w:r>
    </w:p>
    <w:p>
      <w:pPr>
        <w:spacing w:line="360" w:lineRule="auto"/>
        <w:ind w:firstLine="420" w:firstLineChars="200"/>
        <w:rPr>
          <w:color w:val="auto"/>
          <w:szCs w:val="21"/>
          <w:highlight w:val="none"/>
        </w:rPr>
      </w:pPr>
      <w:r>
        <w:rPr>
          <w:rFonts w:hint="eastAsia"/>
          <w:color w:val="auto"/>
          <w:szCs w:val="21"/>
          <w:highlight w:val="none"/>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color w:val="auto"/>
          <w:szCs w:val="21"/>
          <w:highlight w:val="none"/>
        </w:rPr>
      </w:pPr>
      <w:r>
        <w:rPr>
          <w:rFonts w:hint="eastAsia"/>
          <w:color w:val="auto"/>
          <w:szCs w:val="21"/>
          <w:highlight w:val="none"/>
        </w:rPr>
        <w:t>第一条 甲乙双方的责任</w:t>
      </w:r>
    </w:p>
    <w:p>
      <w:pPr>
        <w:spacing w:line="360" w:lineRule="auto"/>
        <w:ind w:firstLine="472" w:firstLineChars="225"/>
        <w:rPr>
          <w:color w:val="auto"/>
          <w:szCs w:val="21"/>
          <w:highlight w:val="none"/>
        </w:rPr>
      </w:pPr>
      <w:r>
        <w:rPr>
          <w:rFonts w:hint="eastAsia"/>
          <w:color w:val="auto"/>
          <w:szCs w:val="21"/>
          <w:highlight w:val="none"/>
        </w:rPr>
        <w:t>（一）应严格遵守国家关于市场准入、项目招标投标、工程建设、市场活动的有关法律、法规，相关政策，以及廉政建设的各项规定。</w:t>
      </w:r>
    </w:p>
    <w:p>
      <w:pPr>
        <w:spacing w:line="360" w:lineRule="auto"/>
        <w:ind w:firstLine="472" w:firstLineChars="225"/>
        <w:rPr>
          <w:color w:val="auto"/>
          <w:szCs w:val="21"/>
          <w:highlight w:val="none"/>
        </w:rPr>
      </w:pPr>
      <w:r>
        <w:rPr>
          <w:rFonts w:hint="eastAsia"/>
          <w:color w:val="auto"/>
          <w:szCs w:val="21"/>
          <w:highlight w:val="none"/>
        </w:rPr>
        <w:t>（二）严格执行</w:t>
      </w:r>
      <w:r>
        <w:rPr>
          <w:rFonts w:hint="eastAsia"/>
          <w:color w:val="auto"/>
          <w:kern w:val="58"/>
          <w:szCs w:val="21"/>
          <w:highlight w:val="none"/>
        </w:rPr>
        <w:t>绍兴市妇幼保健院（绍兴市儿童医院）建设项目医疗辐射防护项目</w:t>
      </w:r>
      <w:r>
        <w:rPr>
          <w:rFonts w:hint="eastAsia"/>
          <w:color w:val="auto"/>
          <w:szCs w:val="21"/>
          <w:highlight w:val="none"/>
        </w:rPr>
        <w:t>供货协议书文件，自觉按协议书办事。</w:t>
      </w:r>
    </w:p>
    <w:p>
      <w:pPr>
        <w:spacing w:line="360" w:lineRule="auto"/>
        <w:ind w:firstLine="472" w:firstLineChars="225"/>
        <w:rPr>
          <w:color w:val="auto"/>
          <w:szCs w:val="21"/>
          <w:highlight w:val="none"/>
        </w:rPr>
      </w:pPr>
      <w:r>
        <w:rPr>
          <w:rFonts w:hint="eastAsia"/>
          <w:color w:val="auto"/>
          <w:szCs w:val="21"/>
          <w:highlight w:val="none"/>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color w:val="auto"/>
          <w:szCs w:val="21"/>
          <w:highlight w:val="none"/>
        </w:rPr>
      </w:pPr>
      <w:r>
        <w:rPr>
          <w:rFonts w:hint="eastAsia"/>
          <w:color w:val="auto"/>
          <w:szCs w:val="21"/>
          <w:highlight w:val="none"/>
        </w:rPr>
        <w:t>（四）发现对方在业务活动中有违规、违纪、违法行为的，应及时提醒对方，情节严重的，应向其上级主管部门或纪检监察、司法等有关机关举报。</w:t>
      </w:r>
    </w:p>
    <w:p>
      <w:pPr>
        <w:spacing w:line="360" w:lineRule="auto"/>
        <w:ind w:firstLine="472" w:firstLineChars="225"/>
        <w:rPr>
          <w:color w:val="auto"/>
          <w:szCs w:val="21"/>
          <w:highlight w:val="none"/>
        </w:rPr>
      </w:pPr>
      <w:r>
        <w:rPr>
          <w:rFonts w:hint="eastAsia"/>
          <w:color w:val="auto"/>
          <w:szCs w:val="21"/>
          <w:highlight w:val="none"/>
        </w:rPr>
        <w:t>第二条 甲方的责任</w:t>
      </w:r>
    </w:p>
    <w:p>
      <w:pPr>
        <w:spacing w:line="360" w:lineRule="auto"/>
        <w:ind w:firstLine="472" w:firstLineChars="225"/>
        <w:rPr>
          <w:color w:val="auto"/>
          <w:szCs w:val="21"/>
          <w:highlight w:val="none"/>
        </w:rPr>
      </w:pPr>
      <w:r>
        <w:rPr>
          <w:rFonts w:hint="eastAsia"/>
          <w:color w:val="auto"/>
          <w:szCs w:val="21"/>
          <w:highlight w:val="none"/>
        </w:rPr>
        <w:t>甲方的领导和从事该建设工程项目的工作人员，在工程建设的事前、事中、事后应遵守以下规定：</w:t>
      </w:r>
    </w:p>
    <w:p>
      <w:pPr>
        <w:spacing w:line="360" w:lineRule="auto"/>
        <w:ind w:firstLine="472" w:firstLineChars="225"/>
        <w:rPr>
          <w:color w:val="auto"/>
          <w:szCs w:val="21"/>
          <w:highlight w:val="none"/>
        </w:rPr>
      </w:pPr>
      <w:r>
        <w:rPr>
          <w:rFonts w:hint="eastAsia"/>
          <w:color w:val="auto"/>
          <w:szCs w:val="21"/>
          <w:highlight w:val="none"/>
        </w:rPr>
        <w:t>（一）不准向乙方和相关单位索要或接受回扣、礼金、有价证券、贵重物品和好处费、感谢费等。</w:t>
      </w:r>
    </w:p>
    <w:p>
      <w:pPr>
        <w:spacing w:line="360" w:lineRule="auto"/>
        <w:ind w:firstLine="472" w:firstLineChars="225"/>
        <w:rPr>
          <w:color w:val="auto"/>
          <w:szCs w:val="21"/>
          <w:highlight w:val="none"/>
        </w:rPr>
      </w:pPr>
      <w:r>
        <w:rPr>
          <w:rFonts w:hint="eastAsia"/>
          <w:color w:val="auto"/>
          <w:szCs w:val="21"/>
          <w:highlight w:val="none"/>
        </w:rPr>
        <w:t>（二）不准在乙方和相关单位报销任何应由甲方或个人支付的费用。</w:t>
      </w:r>
    </w:p>
    <w:p>
      <w:pPr>
        <w:spacing w:line="360" w:lineRule="auto"/>
        <w:ind w:firstLine="472" w:firstLineChars="225"/>
        <w:rPr>
          <w:color w:val="auto"/>
          <w:szCs w:val="21"/>
          <w:highlight w:val="none"/>
        </w:rPr>
      </w:pPr>
      <w:r>
        <w:rPr>
          <w:rFonts w:hint="eastAsia"/>
          <w:color w:val="auto"/>
          <w:szCs w:val="21"/>
          <w:highlight w:val="none"/>
        </w:rPr>
        <w:t>（三）不准要求、暗示或接受乙方和相关单位为个人装修住房、婚丧嫁娶、配偶子女的工作安排以及出国（境）、旅游等提供方便。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（四）不准参加有可能影响公正执行公务的乙方和相关单位的宴请、娱乐等活动。</w:t>
      </w:r>
    </w:p>
    <w:p>
      <w:pPr>
        <w:spacing w:line="360" w:lineRule="auto"/>
        <w:ind w:firstLine="472" w:firstLineChars="225"/>
        <w:rPr>
          <w:color w:val="auto"/>
          <w:szCs w:val="21"/>
          <w:highlight w:val="none"/>
        </w:rPr>
      </w:pPr>
      <w:r>
        <w:rPr>
          <w:rFonts w:hint="eastAsia"/>
          <w:color w:val="auto"/>
          <w:szCs w:val="21"/>
          <w:highlight w:val="none"/>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color w:val="auto"/>
          <w:szCs w:val="21"/>
          <w:highlight w:val="none"/>
        </w:rPr>
      </w:pPr>
      <w:r>
        <w:rPr>
          <w:rFonts w:hint="eastAsia"/>
          <w:color w:val="auto"/>
          <w:szCs w:val="21"/>
          <w:highlight w:val="none"/>
        </w:rPr>
        <w:t>第三条 乙方的责任</w:t>
      </w:r>
    </w:p>
    <w:p>
      <w:pPr>
        <w:spacing w:line="360" w:lineRule="auto"/>
        <w:ind w:firstLine="472" w:firstLineChars="225"/>
        <w:rPr>
          <w:color w:val="auto"/>
          <w:szCs w:val="21"/>
          <w:highlight w:val="none"/>
        </w:rPr>
      </w:pPr>
      <w:r>
        <w:rPr>
          <w:rFonts w:hint="eastAsia"/>
          <w:color w:val="auto"/>
          <w:szCs w:val="21"/>
          <w:highlight w:val="none"/>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color w:val="auto"/>
          <w:szCs w:val="21"/>
          <w:highlight w:val="none"/>
        </w:rPr>
      </w:pPr>
      <w:r>
        <w:rPr>
          <w:rFonts w:hint="eastAsia"/>
          <w:color w:val="auto"/>
          <w:szCs w:val="21"/>
          <w:highlight w:val="none"/>
        </w:rPr>
        <w:t>（一）不准以任何理由向甲方及其工作人员索要、接受或赠送礼金、有价证券、贵重物品及回扣、好处费、感谢费等。</w:t>
      </w:r>
    </w:p>
    <w:p>
      <w:pPr>
        <w:spacing w:line="360" w:lineRule="auto"/>
        <w:ind w:firstLine="472" w:firstLineChars="225"/>
        <w:rPr>
          <w:color w:val="auto"/>
          <w:szCs w:val="21"/>
          <w:highlight w:val="none"/>
        </w:rPr>
      </w:pPr>
      <w:r>
        <w:rPr>
          <w:rFonts w:hint="eastAsia"/>
          <w:color w:val="auto"/>
          <w:szCs w:val="21"/>
          <w:highlight w:val="none"/>
        </w:rPr>
        <w:t>（二）不准以任何理由为甲方和相关单位报销应由对方或个人支付的费用。</w:t>
      </w:r>
    </w:p>
    <w:p>
      <w:pPr>
        <w:spacing w:line="360" w:lineRule="auto"/>
        <w:ind w:firstLine="472" w:firstLineChars="225"/>
        <w:rPr>
          <w:color w:val="auto"/>
          <w:szCs w:val="21"/>
          <w:highlight w:val="none"/>
        </w:rPr>
      </w:pPr>
      <w:r>
        <w:rPr>
          <w:rFonts w:hint="eastAsia"/>
          <w:color w:val="auto"/>
          <w:szCs w:val="21"/>
          <w:highlight w:val="none"/>
        </w:rPr>
        <w:t>（三）不准接受或暗示为甲方、相关单位或个人装修住房、婚丧嫁娶、配偶子女的工作安排以及出国（境）、旅游等提供方便。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（四）不准以任何理由为甲方、相关单位或个人组织有可能影响公正执行公务的宴请、健身、娱乐等活动。</w:t>
      </w:r>
    </w:p>
    <w:p>
      <w:pPr>
        <w:spacing w:line="360" w:lineRule="auto"/>
        <w:ind w:firstLine="472" w:firstLineChars="225"/>
        <w:rPr>
          <w:color w:val="auto"/>
          <w:szCs w:val="21"/>
          <w:highlight w:val="none"/>
        </w:rPr>
      </w:pPr>
      <w:r>
        <w:rPr>
          <w:rFonts w:hint="eastAsia"/>
          <w:color w:val="auto"/>
          <w:szCs w:val="21"/>
          <w:highlight w:val="none"/>
        </w:rPr>
        <w:t>第四条 违约责任</w:t>
      </w:r>
    </w:p>
    <w:p>
      <w:pPr>
        <w:spacing w:line="360" w:lineRule="auto"/>
        <w:ind w:firstLine="472" w:firstLineChars="225"/>
        <w:rPr>
          <w:color w:val="auto"/>
          <w:szCs w:val="21"/>
          <w:highlight w:val="none"/>
        </w:rPr>
      </w:pPr>
      <w:r>
        <w:rPr>
          <w:rFonts w:hint="eastAsia"/>
          <w:color w:val="auto"/>
          <w:szCs w:val="21"/>
          <w:highlight w:val="none"/>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第五条 本合同与协议书具有同等法律效力。经双方签字盖章后立即生效。</w:t>
      </w:r>
    </w:p>
    <w:p>
      <w:pPr>
        <w:spacing w:line="360" w:lineRule="auto"/>
        <w:ind w:firstLine="472" w:firstLineChars="225"/>
        <w:rPr>
          <w:color w:val="auto"/>
          <w:szCs w:val="21"/>
          <w:highlight w:val="none"/>
        </w:rPr>
      </w:pPr>
      <w:r>
        <w:rPr>
          <w:rFonts w:hint="eastAsia"/>
          <w:color w:val="auto"/>
          <w:szCs w:val="21"/>
          <w:highlight w:val="none"/>
        </w:rPr>
        <w:t>第六条 本合同的有效期同主合同。</w:t>
      </w:r>
    </w:p>
    <w:p>
      <w:pPr>
        <w:spacing w:line="360" w:lineRule="auto"/>
        <w:ind w:firstLine="420" w:firstLineChars="200"/>
        <w:rPr>
          <w:color w:val="auto"/>
          <w:szCs w:val="21"/>
          <w:highlight w:val="none"/>
        </w:rPr>
      </w:pPr>
      <w:r>
        <w:rPr>
          <w:rFonts w:hint="eastAsia"/>
          <w:color w:val="auto"/>
          <w:szCs w:val="21"/>
          <w:highlight w:val="none"/>
        </w:rPr>
        <w:t>第七条 本合同正副本份数同主合同。</w:t>
      </w:r>
    </w:p>
    <w:p>
      <w:pPr>
        <w:spacing w:line="360" w:lineRule="auto"/>
        <w:ind w:firstLine="472" w:firstLineChars="225"/>
        <w:rPr>
          <w:color w:val="auto"/>
          <w:szCs w:val="21"/>
          <w:highlight w:val="none"/>
        </w:rPr>
      </w:pPr>
    </w:p>
    <w:p>
      <w:pPr>
        <w:tabs>
          <w:tab w:val="left" w:pos="3780"/>
        </w:tabs>
        <w:spacing w:line="360" w:lineRule="auto"/>
        <w:rPr>
          <w:color w:val="auto"/>
          <w:szCs w:val="21"/>
          <w:highlight w:val="none"/>
        </w:rPr>
      </w:pPr>
      <w:r>
        <w:rPr>
          <w:rFonts w:hint="eastAsia"/>
          <w:color w:val="auto"/>
          <w:szCs w:val="21"/>
          <w:highlight w:val="none"/>
        </w:rPr>
        <w:t>甲方：</w:t>
      </w:r>
      <w:r>
        <w:rPr>
          <w:rFonts w:hint="eastAsia"/>
          <w:color w:val="auto"/>
          <w:szCs w:val="21"/>
          <w:highlight w:val="none"/>
          <w:u w:val="single"/>
        </w:rPr>
        <w:t xml:space="preserve">浙江精工钢结构集团有限公司  </w:t>
      </w:r>
      <w:r>
        <w:rPr>
          <w:rFonts w:hint="eastAsia"/>
          <w:color w:val="auto"/>
          <w:szCs w:val="21"/>
          <w:highlight w:val="none"/>
        </w:rPr>
        <w:t xml:space="preserve">     乙方：</w:t>
      </w:r>
    </w:p>
    <w:p>
      <w:pPr>
        <w:spacing w:line="360" w:lineRule="auto"/>
        <w:rPr>
          <w:color w:val="auto"/>
          <w:szCs w:val="21"/>
          <w:highlight w:val="none"/>
          <w:u w:val="single"/>
        </w:rPr>
      </w:pPr>
      <w:r>
        <w:rPr>
          <w:rFonts w:hint="eastAsia"/>
          <w:color w:val="auto"/>
          <w:szCs w:val="21"/>
          <w:highlight w:val="none"/>
        </w:rPr>
        <w:t>（盖章）</w:t>
      </w:r>
      <w:r>
        <w:rPr>
          <w:rFonts w:hint="eastAsia"/>
          <w:color w:val="auto"/>
          <w:szCs w:val="21"/>
          <w:highlight w:val="none"/>
          <w:u w:val="single"/>
        </w:rPr>
        <w:t xml:space="preserve">                                                    </w:t>
      </w:r>
      <w:r>
        <w:rPr>
          <w:rFonts w:hint="eastAsia"/>
          <w:color w:val="auto"/>
          <w:szCs w:val="21"/>
          <w:highlight w:val="none"/>
        </w:rPr>
        <w:t>（盖章）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u w:val="single"/>
        </w:rPr>
      </w:pPr>
      <w:r>
        <w:rPr>
          <w:rFonts w:hint="eastAsia"/>
          <w:color w:val="auto"/>
          <w:szCs w:val="21"/>
          <w:highlight w:val="none"/>
        </w:rPr>
        <w:t>日期：      年     月     日                                  日期：     年     月       日</w:t>
      </w:r>
    </w:p>
    <w:p>
      <w:pPr>
        <w:spacing w:line="360" w:lineRule="auto"/>
        <w:rPr>
          <w:color w:val="auto"/>
          <w:szCs w:val="21"/>
          <w:highlight w:val="none"/>
        </w:rPr>
      </w:pPr>
      <w:r>
        <w:rPr>
          <w:rFonts w:hint="eastAsia"/>
          <w:color w:val="auto"/>
          <w:szCs w:val="21"/>
          <w:highlight w:val="none"/>
        </w:rPr>
        <w:br w:type="page"/>
      </w:r>
    </w:p>
    <w:p>
      <w:pPr>
        <w:pStyle w:val="4"/>
        <w:adjustRightInd w:val="0"/>
        <w:ind w:firstLine="422"/>
        <w:textAlignment w:val="baseline"/>
        <w:rPr>
          <w:color w:val="auto"/>
          <w:szCs w:val="21"/>
          <w:highlight w:val="none"/>
        </w:rPr>
      </w:pPr>
      <w:r>
        <w:rPr>
          <w:rFonts w:hint="eastAsia"/>
          <w:color w:val="auto"/>
          <w:szCs w:val="21"/>
          <w:highlight w:val="none"/>
        </w:rPr>
        <w:t>附件2：履约保函（格式）</w:t>
      </w:r>
    </w:p>
    <w:p>
      <w:pPr>
        <w:snapToGrid w:val="0"/>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履约保函</w:t>
      </w:r>
    </w:p>
    <w:p>
      <w:pPr>
        <w:spacing w:line="360" w:lineRule="auto"/>
        <w:rPr>
          <w:b/>
          <w:color w:val="auto"/>
          <w:szCs w:val="21"/>
          <w:highlight w:val="none"/>
          <w:u w:val="single"/>
        </w:rPr>
      </w:pPr>
    </w:p>
    <w:p>
      <w:pPr>
        <w:spacing w:line="360" w:lineRule="auto"/>
        <w:rPr>
          <w:b/>
          <w:color w:val="auto"/>
          <w:szCs w:val="21"/>
          <w:highlight w:val="none"/>
        </w:rPr>
      </w:pPr>
      <w:r>
        <w:rPr>
          <w:rFonts w:hint="eastAsia"/>
          <w:color w:val="auto"/>
          <w:szCs w:val="21"/>
          <w:highlight w:val="none"/>
          <w:u w:val="single"/>
        </w:rPr>
        <w:t>浙江精工钢结构集团有限公司</w:t>
      </w:r>
      <w:r>
        <w:rPr>
          <w:rFonts w:hint="eastAsia"/>
          <w:b/>
          <w:color w:val="auto"/>
          <w:szCs w:val="21"/>
          <w:highlight w:val="none"/>
        </w:rPr>
        <w:t>：</w:t>
      </w:r>
    </w:p>
    <w:p>
      <w:pPr>
        <w:spacing w:line="360" w:lineRule="auto"/>
        <w:ind w:firstLine="420" w:firstLineChars="200"/>
        <w:rPr>
          <w:color w:val="auto"/>
          <w:szCs w:val="21"/>
          <w:highlight w:val="none"/>
        </w:rPr>
      </w:pPr>
      <w:r>
        <w:rPr>
          <w:rFonts w:hint="eastAsia"/>
          <w:color w:val="auto"/>
          <w:szCs w:val="21"/>
          <w:highlight w:val="none"/>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color w:val="auto"/>
          <w:szCs w:val="21"/>
          <w:highlight w:val="none"/>
        </w:rPr>
      </w:pPr>
      <w:r>
        <w:rPr>
          <w:rFonts w:hint="eastAsia"/>
          <w:color w:val="auto"/>
          <w:szCs w:val="21"/>
          <w:highlight w:val="none"/>
        </w:rPr>
        <w:t>1.保函金额人民币</w:t>
      </w:r>
      <w:r>
        <w:rPr>
          <w:rFonts w:hint="eastAsia"/>
          <w:color w:val="auto"/>
          <w:szCs w:val="21"/>
          <w:highlight w:val="none"/>
          <w:u w:val="single"/>
        </w:rPr>
        <w:t xml:space="preserve">（大写）              </w:t>
      </w:r>
      <w:r>
        <w:rPr>
          <w:rFonts w:hint="eastAsia"/>
          <w:color w:val="auto"/>
          <w:szCs w:val="21"/>
          <w:highlight w:val="none"/>
        </w:rPr>
        <w:t>元（¥）。</w:t>
      </w:r>
    </w:p>
    <w:p>
      <w:pPr>
        <w:spacing w:line="360" w:lineRule="auto"/>
        <w:ind w:firstLine="420" w:firstLineChars="200"/>
        <w:rPr>
          <w:color w:val="auto"/>
          <w:szCs w:val="21"/>
          <w:highlight w:val="none"/>
        </w:rPr>
      </w:pPr>
      <w:r>
        <w:rPr>
          <w:rFonts w:hint="eastAsia"/>
          <w:color w:val="auto"/>
          <w:szCs w:val="21"/>
          <w:highlight w:val="none"/>
        </w:rPr>
        <w:t>2.保函有效期：自甲、乙双方签订的合同协议书生效之日起，至</w:t>
      </w:r>
      <w:r>
        <w:rPr>
          <w:rFonts w:hint="eastAsia"/>
          <w:color w:val="auto"/>
          <w:szCs w:val="21"/>
          <w:highlight w:val="none"/>
          <w:u w:val="single"/>
        </w:rPr>
        <w:t xml:space="preserve">20  </w:t>
      </w:r>
      <w:r>
        <w:rPr>
          <w:rFonts w:hint="eastAsia"/>
          <w:color w:val="auto"/>
          <w:szCs w:val="21"/>
          <w:highlight w:val="none"/>
        </w:rPr>
        <w:t>年  月  日止。</w:t>
      </w:r>
    </w:p>
    <w:p>
      <w:pPr>
        <w:spacing w:line="360" w:lineRule="auto"/>
        <w:ind w:firstLine="420" w:firstLineChars="200"/>
        <w:rPr>
          <w:color w:val="auto"/>
          <w:szCs w:val="21"/>
          <w:highlight w:val="none"/>
        </w:rPr>
      </w:pPr>
      <w:r>
        <w:rPr>
          <w:rFonts w:hint="eastAsia"/>
          <w:color w:val="auto"/>
          <w:szCs w:val="21"/>
          <w:highlight w:val="none"/>
        </w:rPr>
        <w:t>3.在本保函有效期内，我方在收到你方以书面形式提出的在担保金额内的赔偿要求后，在5个工作日内无条件支付。</w:t>
      </w:r>
    </w:p>
    <w:p>
      <w:pPr>
        <w:spacing w:line="360" w:lineRule="auto"/>
        <w:ind w:firstLine="420" w:firstLineChars="200"/>
        <w:rPr>
          <w:color w:val="auto"/>
          <w:szCs w:val="21"/>
          <w:highlight w:val="none"/>
        </w:rPr>
      </w:pPr>
      <w:r>
        <w:rPr>
          <w:rFonts w:hint="eastAsia"/>
          <w:color w:val="auto"/>
          <w:szCs w:val="21"/>
          <w:highlight w:val="none"/>
        </w:rPr>
        <w:t>4.甲、乙双方按规定修改合同时，我方承担本担保规定的义务不变。</w:t>
      </w:r>
    </w:p>
    <w:p>
      <w:pPr>
        <w:spacing w:line="360" w:lineRule="auto"/>
        <w:ind w:firstLine="420" w:firstLineChars="200"/>
        <w:rPr>
          <w:color w:val="auto"/>
          <w:szCs w:val="21"/>
          <w:highlight w:val="none"/>
        </w:rPr>
      </w:pPr>
      <w:r>
        <w:rPr>
          <w:rFonts w:hint="eastAsia"/>
          <w:color w:val="auto"/>
          <w:szCs w:val="21"/>
          <w:highlight w:val="none"/>
        </w:rPr>
        <w:t>5.本保函以及与本保函有关的纠纷，由各方协商解决，协商不成的，任何一方均可向甲方所在地人民法院提请诉讼。</w:t>
      </w:r>
    </w:p>
    <w:p>
      <w:pPr>
        <w:spacing w:line="360" w:lineRule="auto"/>
        <w:ind w:firstLine="420" w:firstLineChars="200"/>
        <w:rPr>
          <w:color w:val="auto"/>
          <w:szCs w:val="21"/>
          <w:highlight w:val="none"/>
        </w:rPr>
      </w:pPr>
    </w:p>
    <w:p>
      <w:pPr>
        <w:spacing w:line="360" w:lineRule="auto"/>
        <w:rPr>
          <w:color w:val="auto"/>
          <w:szCs w:val="21"/>
          <w:highlight w:val="none"/>
        </w:rPr>
      </w:pPr>
    </w:p>
    <w:p>
      <w:pPr>
        <w:spacing w:line="360" w:lineRule="auto"/>
        <w:rPr>
          <w:color w:val="auto"/>
          <w:szCs w:val="21"/>
          <w:highlight w:val="none"/>
        </w:rPr>
      </w:pPr>
    </w:p>
    <w:p>
      <w:pPr>
        <w:spacing w:line="360" w:lineRule="auto"/>
        <w:ind w:firstLine="2520" w:firstLineChars="1200"/>
        <w:rPr>
          <w:color w:val="auto"/>
          <w:szCs w:val="21"/>
          <w:highlight w:val="none"/>
        </w:rPr>
      </w:pPr>
      <w:r>
        <w:rPr>
          <w:rFonts w:hint="eastAsia"/>
          <w:color w:val="auto"/>
          <w:szCs w:val="21"/>
          <w:highlight w:val="none"/>
        </w:rPr>
        <w:t>连带责任担保人：（盖单位公章）</w:t>
      </w:r>
    </w:p>
    <w:p>
      <w:pPr>
        <w:spacing w:line="360" w:lineRule="auto"/>
        <w:ind w:firstLine="2520" w:firstLineChars="1200"/>
        <w:rPr>
          <w:color w:val="auto"/>
          <w:szCs w:val="21"/>
          <w:highlight w:val="none"/>
        </w:rPr>
      </w:pPr>
      <w:r>
        <w:rPr>
          <w:rFonts w:hint="eastAsia"/>
          <w:color w:val="auto"/>
          <w:szCs w:val="21"/>
          <w:highlight w:val="none"/>
        </w:rPr>
        <w:t>法定代表人或其委托代理人：（签字）</w:t>
      </w:r>
    </w:p>
    <w:p>
      <w:pPr>
        <w:spacing w:line="360" w:lineRule="auto"/>
        <w:ind w:firstLine="2520" w:firstLineChars="1200"/>
        <w:rPr>
          <w:color w:val="auto"/>
          <w:szCs w:val="21"/>
          <w:highlight w:val="none"/>
        </w:rPr>
      </w:pPr>
      <w:r>
        <w:rPr>
          <w:rFonts w:hint="eastAsia"/>
          <w:color w:val="auto"/>
          <w:szCs w:val="21"/>
          <w:highlight w:val="none"/>
        </w:rPr>
        <w:t>地址：</w:t>
      </w:r>
    </w:p>
    <w:p>
      <w:pPr>
        <w:spacing w:line="360" w:lineRule="auto"/>
        <w:ind w:firstLine="2520" w:firstLineChars="1200"/>
        <w:rPr>
          <w:color w:val="auto"/>
          <w:szCs w:val="21"/>
          <w:highlight w:val="none"/>
        </w:rPr>
      </w:pPr>
      <w:r>
        <w:rPr>
          <w:rFonts w:hint="eastAsia"/>
          <w:color w:val="auto"/>
          <w:szCs w:val="21"/>
          <w:highlight w:val="none"/>
        </w:rPr>
        <w:t>邮编：</w:t>
      </w:r>
    </w:p>
    <w:p>
      <w:pPr>
        <w:spacing w:line="360" w:lineRule="auto"/>
        <w:ind w:firstLine="2520" w:firstLineChars="1200"/>
        <w:rPr>
          <w:color w:val="auto"/>
          <w:szCs w:val="21"/>
          <w:highlight w:val="none"/>
        </w:rPr>
      </w:pPr>
      <w:r>
        <w:rPr>
          <w:rFonts w:hint="eastAsia"/>
          <w:color w:val="auto"/>
          <w:szCs w:val="21"/>
          <w:highlight w:val="none"/>
        </w:rPr>
        <w:t>电话：</w:t>
      </w:r>
    </w:p>
    <w:p>
      <w:pPr>
        <w:spacing w:line="360" w:lineRule="auto"/>
        <w:ind w:firstLine="2520" w:firstLineChars="1200"/>
        <w:rPr>
          <w:color w:val="auto"/>
          <w:szCs w:val="21"/>
          <w:highlight w:val="none"/>
        </w:rPr>
      </w:pPr>
      <w:r>
        <w:rPr>
          <w:rFonts w:hint="eastAsia"/>
          <w:color w:val="auto"/>
          <w:szCs w:val="21"/>
          <w:highlight w:val="none"/>
        </w:rPr>
        <w:t>传真：</w:t>
      </w:r>
    </w:p>
    <w:p>
      <w:pPr>
        <w:tabs>
          <w:tab w:val="left" w:pos="4500"/>
          <w:tab w:val="left" w:pos="4680"/>
        </w:tabs>
        <w:spacing w:line="360" w:lineRule="auto"/>
        <w:rPr>
          <w:color w:val="auto"/>
          <w:szCs w:val="21"/>
          <w:highlight w:val="none"/>
        </w:rPr>
      </w:pPr>
      <w:r>
        <w:rPr>
          <w:rFonts w:hint="eastAsia"/>
          <w:color w:val="auto"/>
          <w:szCs w:val="21"/>
          <w:highlight w:val="none"/>
        </w:rPr>
        <w:t xml:space="preserve">     年     月     日</w:t>
      </w:r>
    </w:p>
    <w:p>
      <w:pPr>
        <w:spacing w:line="360" w:lineRule="auto"/>
        <w:rPr>
          <w:color w:val="auto"/>
          <w:szCs w:val="21"/>
          <w:highlight w:val="none"/>
        </w:rPr>
        <w:sectPr>
          <w:footerReference r:id="rId5" w:type="even"/>
          <w:pgSz w:w="11906" w:h="16838"/>
          <w:pgMar w:top="1440" w:right="1797" w:bottom="1440" w:left="1797" w:header="851" w:footer="992" w:gutter="0"/>
          <w:cols w:space="720" w:num="1"/>
          <w:docGrid w:linePitch="312" w:charSpace="0"/>
        </w:sectPr>
      </w:pPr>
    </w:p>
    <w:p>
      <w:pPr>
        <w:tabs>
          <w:tab w:val="left" w:pos="4500"/>
          <w:tab w:val="left" w:pos="4680"/>
        </w:tabs>
        <w:spacing w:line="360" w:lineRule="auto"/>
        <w:rPr>
          <w:color w:val="auto"/>
          <w:spacing w:val="30"/>
          <w:szCs w:val="21"/>
          <w:highlight w:val="none"/>
        </w:rPr>
      </w:pPr>
      <w:r>
        <w:rPr>
          <w:rFonts w:hint="eastAsia"/>
          <w:b/>
          <w:color w:val="auto"/>
          <w:szCs w:val="21"/>
          <w:highlight w:val="none"/>
        </w:rPr>
        <w:t>附件3：安全生产合同（格式）</w:t>
      </w:r>
    </w:p>
    <w:p>
      <w:pPr>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安全生产合同</w:t>
      </w:r>
    </w:p>
    <w:p>
      <w:pPr>
        <w:spacing w:line="360" w:lineRule="auto"/>
        <w:ind w:firstLine="527"/>
        <w:rPr>
          <w:color w:val="auto"/>
          <w:szCs w:val="21"/>
          <w:highlight w:val="none"/>
        </w:rPr>
      </w:pPr>
    </w:p>
    <w:p>
      <w:pPr>
        <w:spacing w:line="360" w:lineRule="auto"/>
        <w:ind w:firstLine="527"/>
        <w:rPr>
          <w:color w:val="auto"/>
          <w:szCs w:val="21"/>
          <w:highlight w:val="none"/>
        </w:rPr>
      </w:pPr>
      <w:r>
        <w:rPr>
          <w:rFonts w:hint="eastAsia"/>
          <w:color w:val="auto"/>
          <w:szCs w:val="21"/>
          <w:highlight w:val="none"/>
        </w:rPr>
        <w:t>为在</w:t>
      </w:r>
      <w:r>
        <w:rPr>
          <w:rFonts w:hint="eastAsia"/>
          <w:color w:val="auto"/>
          <w:szCs w:val="21"/>
          <w:highlight w:val="none"/>
          <w:u w:val="single"/>
        </w:rPr>
        <w:t>绍兴市妇幼保健院（绍兴市儿童医院）建设项目医疗辐射防护项目</w:t>
      </w:r>
      <w:r>
        <w:rPr>
          <w:rFonts w:hint="eastAsia"/>
          <w:color w:val="auto"/>
          <w:szCs w:val="21"/>
          <w:highlight w:val="none"/>
        </w:rPr>
        <w:t>供货合同的实施过程中创造安全、高效的环境，切实搞好本项目的安全管理工作，      （以下简称“甲方”）与       （以下简称“乙方”）特此签订安全生产合同如下：</w:t>
      </w:r>
    </w:p>
    <w:p>
      <w:pPr>
        <w:spacing w:line="360" w:lineRule="auto"/>
        <w:ind w:firstLine="527"/>
        <w:rPr>
          <w:color w:val="auto"/>
          <w:szCs w:val="21"/>
          <w:highlight w:val="none"/>
        </w:rPr>
      </w:pPr>
      <w:r>
        <w:rPr>
          <w:rFonts w:hint="eastAsia"/>
          <w:color w:val="auto"/>
          <w:szCs w:val="21"/>
          <w:highlight w:val="none"/>
        </w:rPr>
        <w:t>一、甲方职责</w:t>
      </w:r>
    </w:p>
    <w:p>
      <w:pPr>
        <w:spacing w:line="360" w:lineRule="auto"/>
        <w:ind w:firstLine="527"/>
        <w:rPr>
          <w:color w:val="auto"/>
          <w:szCs w:val="21"/>
          <w:highlight w:val="none"/>
        </w:rPr>
      </w:pPr>
      <w:r>
        <w:rPr>
          <w:rFonts w:hint="eastAsia"/>
          <w:color w:val="auto"/>
          <w:szCs w:val="21"/>
          <w:highlight w:val="none"/>
        </w:rPr>
        <w:t>1.严格遵守国家有关安全生产的法律法规等有关安全生产的规定，认真执行合同中的有关安全要求。</w:t>
      </w:r>
    </w:p>
    <w:p>
      <w:pPr>
        <w:spacing w:line="360" w:lineRule="auto"/>
        <w:ind w:firstLine="527"/>
        <w:rPr>
          <w:color w:val="auto"/>
          <w:szCs w:val="21"/>
          <w:highlight w:val="none"/>
        </w:rPr>
      </w:pPr>
      <w:r>
        <w:rPr>
          <w:rFonts w:hint="eastAsia"/>
          <w:color w:val="auto"/>
          <w:szCs w:val="21"/>
          <w:highlight w:val="none"/>
        </w:rPr>
        <w:t>2.定期召开安全生产调度会，及时传达中央及地方有关安全生产的精神。</w:t>
      </w:r>
    </w:p>
    <w:p>
      <w:pPr>
        <w:spacing w:line="360" w:lineRule="auto"/>
        <w:ind w:firstLine="527"/>
        <w:rPr>
          <w:color w:val="auto"/>
          <w:szCs w:val="21"/>
          <w:highlight w:val="none"/>
        </w:rPr>
      </w:pPr>
      <w:r>
        <w:rPr>
          <w:rFonts w:hint="eastAsia"/>
          <w:color w:val="auto"/>
          <w:szCs w:val="21"/>
          <w:highlight w:val="none"/>
        </w:rPr>
        <w:t>3.对乙方现场操作安全生产检查，监督乙方及时处理发现的各项安全隐患。</w:t>
      </w:r>
    </w:p>
    <w:p>
      <w:pPr>
        <w:spacing w:line="360" w:lineRule="auto"/>
        <w:ind w:firstLine="525"/>
        <w:rPr>
          <w:color w:val="auto"/>
          <w:szCs w:val="21"/>
          <w:highlight w:val="none"/>
        </w:rPr>
      </w:pPr>
      <w:r>
        <w:rPr>
          <w:rFonts w:hint="eastAsia"/>
          <w:color w:val="auto"/>
          <w:szCs w:val="21"/>
          <w:highlight w:val="none"/>
        </w:rPr>
        <w:t>二、乙方职责</w:t>
      </w:r>
    </w:p>
    <w:p>
      <w:pPr>
        <w:spacing w:line="360" w:lineRule="auto"/>
        <w:ind w:firstLine="525"/>
        <w:rPr>
          <w:color w:val="auto"/>
          <w:szCs w:val="21"/>
          <w:highlight w:val="none"/>
        </w:rPr>
      </w:pPr>
      <w:r>
        <w:rPr>
          <w:rFonts w:hint="eastAsia"/>
          <w:color w:val="auto"/>
          <w:szCs w:val="21"/>
          <w:highlight w:val="none"/>
        </w:rPr>
        <w:t>1.严格遵守国家有关安全生产的法律法规等有关安全生产的规定，认真执行工程承包合同中的有关安全要求。</w:t>
      </w:r>
    </w:p>
    <w:p>
      <w:pPr>
        <w:spacing w:line="360" w:lineRule="auto"/>
        <w:ind w:firstLine="525"/>
        <w:rPr>
          <w:color w:val="auto"/>
          <w:szCs w:val="21"/>
          <w:highlight w:val="none"/>
        </w:rPr>
      </w:pPr>
      <w:r>
        <w:rPr>
          <w:rFonts w:hint="eastAsia"/>
          <w:color w:val="auto"/>
          <w:szCs w:val="21"/>
          <w:highlight w:val="none"/>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color w:val="auto"/>
          <w:szCs w:val="21"/>
          <w:highlight w:val="none"/>
        </w:rPr>
      </w:pPr>
      <w:r>
        <w:rPr>
          <w:rFonts w:hint="eastAsia"/>
          <w:color w:val="auto"/>
          <w:szCs w:val="21"/>
          <w:highlight w:val="none"/>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color w:val="auto"/>
          <w:szCs w:val="21"/>
          <w:highlight w:val="none"/>
        </w:rPr>
      </w:pPr>
      <w:r>
        <w:rPr>
          <w:rFonts w:hint="eastAsia"/>
          <w:color w:val="auto"/>
          <w:szCs w:val="21"/>
          <w:highlight w:val="none"/>
        </w:rPr>
        <w:t>4.乙方在任何时候都应采取各种合理的预防措施，防止工作人员发生任何违法、违禁、暴力或妨碍治安的行为。</w:t>
      </w:r>
    </w:p>
    <w:p>
      <w:pPr>
        <w:spacing w:line="360" w:lineRule="auto"/>
        <w:ind w:firstLine="525"/>
        <w:rPr>
          <w:color w:val="auto"/>
          <w:szCs w:val="21"/>
          <w:highlight w:val="none"/>
        </w:rPr>
      </w:pPr>
      <w:r>
        <w:rPr>
          <w:rFonts w:hint="eastAsia"/>
          <w:color w:val="auto"/>
          <w:szCs w:val="21"/>
          <w:highlight w:val="none"/>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color w:val="auto"/>
          <w:szCs w:val="21"/>
          <w:highlight w:val="none"/>
        </w:rPr>
      </w:pPr>
      <w:r>
        <w:rPr>
          <w:rFonts w:hint="eastAsia"/>
          <w:color w:val="auto"/>
          <w:szCs w:val="21"/>
          <w:highlight w:val="none"/>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color w:val="auto"/>
          <w:szCs w:val="21"/>
          <w:highlight w:val="none"/>
        </w:rPr>
      </w:pPr>
      <w:r>
        <w:rPr>
          <w:rFonts w:hint="eastAsia"/>
          <w:color w:val="auto"/>
          <w:szCs w:val="21"/>
          <w:highlight w:val="none"/>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color w:val="auto"/>
          <w:szCs w:val="21"/>
          <w:highlight w:val="none"/>
        </w:rPr>
      </w:pPr>
      <w:r>
        <w:rPr>
          <w:rFonts w:hint="eastAsia"/>
          <w:color w:val="auto"/>
          <w:szCs w:val="21"/>
          <w:highlight w:val="none"/>
        </w:rPr>
        <w:t>8.乙方的所有安全事故、损失均由乙方自行负责。</w:t>
      </w:r>
    </w:p>
    <w:p>
      <w:pPr>
        <w:spacing w:line="360" w:lineRule="auto"/>
        <w:ind w:firstLine="527"/>
        <w:rPr>
          <w:color w:val="auto"/>
          <w:szCs w:val="21"/>
          <w:highlight w:val="none"/>
        </w:rPr>
      </w:pPr>
      <w:r>
        <w:rPr>
          <w:rFonts w:hint="eastAsia"/>
          <w:color w:val="auto"/>
          <w:szCs w:val="21"/>
          <w:highlight w:val="none"/>
        </w:rPr>
        <w:t>三、违约责任：</w:t>
      </w:r>
    </w:p>
    <w:p>
      <w:pPr>
        <w:spacing w:line="360" w:lineRule="auto"/>
        <w:ind w:firstLine="527"/>
        <w:rPr>
          <w:color w:val="auto"/>
          <w:szCs w:val="21"/>
          <w:highlight w:val="none"/>
        </w:rPr>
      </w:pPr>
      <w:r>
        <w:rPr>
          <w:rFonts w:hint="eastAsia"/>
          <w:color w:val="auto"/>
          <w:szCs w:val="21"/>
          <w:highlight w:val="none"/>
        </w:rPr>
        <w:t>如因甲方或乙方违约造成安全事故，将依法追究责任。</w:t>
      </w:r>
    </w:p>
    <w:p>
      <w:pPr>
        <w:spacing w:line="360" w:lineRule="auto"/>
        <w:ind w:firstLine="525"/>
        <w:rPr>
          <w:color w:val="auto"/>
          <w:szCs w:val="21"/>
          <w:highlight w:val="none"/>
        </w:rPr>
      </w:pPr>
      <w:r>
        <w:rPr>
          <w:rFonts w:hint="eastAsia"/>
          <w:color w:val="auto"/>
          <w:szCs w:val="21"/>
          <w:highlight w:val="none"/>
        </w:rPr>
        <w:t>四、本合同正本3份，甲、乙方及浙江精工钢结构集团有限公司各1份；副本11份，甲方3份，乙方3份，浙江精工钢结构集团有限公司5份。</w:t>
      </w:r>
    </w:p>
    <w:p>
      <w:pPr>
        <w:spacing w:line="360" w:lineRule="auto"/>
        <w:ind w:firstLine="525"/>
        <w:rPr>
          <w:color w:val="auto"/>
          <w:szCs w:val="21"/>
          <w:highlight w:val="none"/>
        </w:rPr>
      </w:pPr>
      <w:r>
        <w:rPr>
          <w:rFonts w:hint="eastAsia"/>
          <w:color w:val="auto"/>
          <w:szCs w:val="21"/>
          <w:highlight w:val="none"/>
        </w:rPr>
        <w:t>五、由双方法定代表人或其委托代理人签署并加盖单位章后生效，至合同费用结清为止失效。</w:t>
      </w:r>
    </w:p>
    <w:p>
      <w:pPr>
        <w:spacing w:line="360" w:lineRule="auto"/>
        <w:rPr>
          <w:color w:val="auto"/>
          <w:szCs w:val="21"/>
          <w:highlight w:val="none"/>
        </w:rPr>
      </w:pPr>
    </w:p>
    <w:p>
      <w:pPr>
        <w:tabs>
          <w:tab w:val="left" w:pos="5040"/>
        </w:tabs>
        <w:spacing w:line="360" w:lineRule="auto"/>
        <w:rPr>
          <w:color w:val="auto"/>
          <w:szCs w:val="21"/>
          <w:highlight w:val="none"/>
        </w:rPr>
      </w:pPr>
      <w:r>
        <w:rPr>
          <w:rFonts w:hint="eastAsia"/>
          <w:color w:val="auto"/>
          <w:szCs w:val="21"/>
          <w:highlight w:val="none"/>
        </w:rPr>
        <w:t>甲方：                                              乙方：</w:t>
      </w:r>
    </w:p>
    <w:p>
      <w:pPr>
        <w:spacing w:line="360" w:lineRule="auto"/>
        <w:rPr>
          <w:color w:val="auto"/>
          <w:szCs w:val="21"/>
          <w:highlight w:val="none"/>
          <w:u w:val="single"/>
        </w:rPr>
      </w:pP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rPr>
      </w:pPr>
      <w:r>
        <w:rPr>
          <w:rFonts w:hint="eastAsia"/>
          <w:color w:val="auto"/>
          <w:szCs w:val="21"/>
          <w:highlight w:val="none"/>
        </w:rPr>
        <w:t>日期：     年   月   日                         日期：    年   月   日</w:t>
      </w:r>
    </w:p>
    <w:p>
      <w:pPr>
        <w:spacing w:line="360" w:lineRule="auto"/>
        <w:rPr>
          <w:color w:val="auto"/>
          <w:szCs w:val="21"/>
          <w:highlight w:val="none"/>
        </w:rPr>
      </w:pPr>
    </w:p>
    <w:p>
      <w:pPr>
        <w:pStyle w:val="27"/>
        <w:spacing w:line="360" w:lineRule="auto"/>
        <w:ind w:firstLine="210"/>
        <w:rPr>
          <w:color w:val="auto"/>
          <w:sz w:val="21"/>
          <w:szCs w:val="21"/>
          <w:highlight w:val="none"/>
        </w:rPr>
      </w:pPr>
    </w:p>
    <w:p>
      <w:pPr>
        <w:spacing w:line="360" w:lineRule="auto"/>
        <w:rPr>
          <w:color w:val="auto"/>
          <w:szCs w:val="21"/>
          <w:highlight w:val="none"/>
        </w:rPr>
      </w:pPr>
    </w:p>
    <w:p>
      <w:pPr>
        <w:pStyle w:val="27"/>
        <w:spacing w:line="360" w:lineRule="auto"/>
        <w:ind w:firstLine="210"/>
        <w:rPr>
          <w:color w:val="auto"/>
          <w:sz w:val="21"/>
          <w:szCs w:val="21"/>
          <w:highlight w:val="none"/>
        </w:rPr>
      </w:pPr>
    </w:p>
    <w:p>
      <w:pPr>
        <w:spacing w:line="360" w:lineRule="auto"/>
        <w:rPr>
          <w:color w:val="auto"/>
          <w:szCs w:val="21"/>
          <w:highlight w:val="none"/>
        </w:rPr>
      </w:pPr>
    </w:p>
    <w:p>
      <w:pPr>
        <w:pStyle w:val="27"/>
        <w:spacing w:line="360" w:lineRule="auto"/>
        <w:ind w:firstLine="210"/>
        <w:rPr>
          <w:color w:val="auto"/>
          <w:sz w:val="21"/>
          <w:szCs w:val="21"/>
          <w:highlight w:val="none"/>
        </w:rPr>
      </w:pPr>
    </w:p>
    <w:p>
      <w:pPr>
        <w:spacing w:line="360" w:lineRule="auto"/>
        <w:rPr>
          <w:color w:val="auto"/>
          <w:szCs w:val="21"/>
          <w:highlight w:val="none"/>
        </w:rPr>
      </w:pPr>
    </w:p>
    <w:p>
      <w:pPr>
        <w:pStyle w:val="27"/>
        <w:spacing w:line="360" w:lineRule="auto"/>
        <w:ind w:firstLine="210"/>
        <w:rPr>
          <w:color w:val="auto"/>
          <w:sz w:val="21"/>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1"/>
        <w:rPr>
          <w:b/>
          <w:color w:val="auto"/>
          <w:szCs w:val="21"/>
          <w:highlight w:val="none"/>
        </w:rPr>
      </w:pPr>
    </w:p>
    <w:p>
      <w:pPr>
        <w:rPr>
          <w:color w:val="auto"/>
          <w:highlight w:val="none"/>
        </w:rPr>
      </w:pPr>
    </w:p>
    <w:p>
      <w:pPr>
        <w:rPr>
          <w:b/>
          <w:color w:val="auto"/>
          <w:szCs w:val="21"/>
          <w:highlight w:val="none"/>
        </w:rPr>
      </w:pPr>
    </w:p>
    <w:p>
      <w:pPr>
        <w:pStyle w:val="27"/>
        <w:ind w:firstLine="341"/>
        <w:rPr>
          <w:b/>
          <w:color w:val="auto"/>
          <w:szCs w:val="21"/>
          <w:highlight w:val="none"/>
        </w:rPr>
      </w:pPr>
    </w:p>
    <w:p>
      <w:pPr>
        <w:rPr>
          <w:b/>
          <w:color w:val="auto"/>
          <w:szCs w:val="21"/>
          <w:highlight w:val="none"/>
        </w:rPr>
      </w:pPr>
    </w:p>
    <w:p>
      <w:pPr>
        <w:pStyle w:val="27"/>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color w:val="auto"/>
          <w:szCs w:val="21"/>
          <w:highlight w:val="none"/>
        </w:rPr>
      </w:pPr>
      <w:r>
        <w:rPr>
          <w:rFonts w:hint="eastAsia"/>
          <w:b/>
          <w:color w:val="auto"/>
          <w:szCs w:val="21"/>
          <w:highlight w:val="none"/>
        </w:rPr>
        <w:t>附件4：工程质量保修书（格式）</w:t>
      </w:r>
    </w:p>
    <w:p>
      <w:pPr>
        <w:widowControl/>
        <w:spacing w:line="360" w:lineRule="auto"/>
        <w:jc w:val="center"/>
        <w:rPr>
          <w:rFonts w:ascii="仿宋" w:hAnsi="仿宋" w:eastAsia="仿宋"/>
          <w:b/>
          <w:bCs/>
          <w:color w:val="auto"/>
          <w:szCs w:val="21"/>
          <w:highlight w:val="none"/>
        </w:rPr>
      </w:pPr>
      <w:bookmarkStart w:id="442" w:name="_Toc30226"/>
      <w:r>
        <w:rPr>
          <w:rFonts w:hint="eastAsia" w:ascii="仿宋" w:hAnsi="仿宋" w:eastAsia="仿宋"/>
          <w:b/>
          <w:bCs/>
          <w:color w:val="auto"/>
          <w:szCs w:val="21"/>
          <w:highlight w:val="none"/>
        </w:rPr>
        <w:t>质 量 保 修 书</w:t>
      </w:r>
      <w:bookmarkEnd w:id="442"/>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甲方（总承包单位、招标人）：</w:t>
      </w:r>
      <w:r>
        <w:rPr>
          <w:rFonts w:hint="eastAsia" w:ascii="仿宋" w:hAnsi="仿宋" w:eastAsia="仿宋"/>
          <w:b/>
          <w:color w:val="auto"/>
          <w:highlight w:val="none"/>
          <w:u w:val="single"/>
        </w:rPr>
        <w:t xml:space="preserve">                        </w:t>
      </w:r>
    </w:p>
    <w:p>
      <w:pPr>
        <w:spacing w:line="360" w:lineRule="auto"/>
        <w:ind w:firstLine="211"/>
        <w:rPr>
          <w:rFonts w:ascii="仿宋" w:hAnsi="仿宋" w:eastAsia="仿宋"/>
          <w:b/>
          <w:color w:val="auto"/>
          <w:szCs w:val="21"/>
          <w:highlight w:val="none"/>
          <w:u w:val="single"/>
        </w:rPr>
      </w:pPr>
      <w:r>
        <w:rPr>
          <w:rFonts w:hint="eastAsia" w:ascii="仿宋" w:hAnsi="仿宋" w:eastAsia="仿宋"/>
          <w:b/>
          <w:color w:val="auto"/>
          <w:szCs w:val="21"/>
          <w:highlight w:val="none"/>
        </w:rPr>
        <w:t>乙方（供应商）：</w:t>
      </w:r>
      <w:r>
        <w:rPr>
          <w:rFonts w:hint="eastAsia" w:ascii="仿宋" w:hAnsi="仿宋" w:eastAsia="仿宋"/>
          <w:b/>
          <w:color w:val="auto"/>
          <w:highlight w:val="none"/>
          <w:u w:val="single"/>
        </w:rPr>
        <w:t xml:space="preserve">                        </w:t>
      </w:r>
    </w:p>
    <w:p>
      <w:pPr>
        <w:pStyle w:val="13"/>
        <w:spacing w:line="360" w:lineRule="auto"/>
        <w:ind w:firstLine="211"/>
        <w:rPr>
          <w:rFonts w:ascii="仿宋" w:hAnsi="仿宋" w:eastAsia="仿宋"/>
          <w:b/>
          <w:color w:val="auto"/>
          <w:highlight w:val="none"/>
          <w:u w:val="single"/>
        </w:rPr>
      </w:pPr>
      <w:r>
        <w:rPr>
          <w:rFonts w:hint="eastAsia" w:ascii="仿宋" w:hAnsi="仿宋" w:eastAsia="仿宋"/>
          <w:b/>
          <w:color w:val="auto"/>
          <w:highlight w:val="none"/>
        </w:rPr>
        <w:t>丙方（业主、使用人）：</w:t>
      </w:r>
      <w:r>
        <w:rPr>
          <w:rFonts w:hint="eastAsia" w:ascii="仿宋" w:hAnsi="仿宋" w:eastAsia="仿宋"/>
          <w:b/>
          <w:color w:val="auto"/>
          <w:highlight w:val="none"/>
          <w:u w:val="single"/>
        </w:rPr>
        <w:t xml:space="preserve">                          　　 </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为保证</w:t>
      </w:r>
      <w:r>
        <w:rPr>
          <w:rFonts w:hint="eastAsia" w:ascii="仿宋" w:hAnsi="仿宋" w:eastAsia="仿宋"/>
          <w:b/>
          <w:color w:val="auto"/>
          <w:highlight w:val="none"/>
          <w:u w:val="single"/>
        </w:rPr>
        <w:t xml:space="preserve">                        </w:t>
      </w:r>
      <w:r>
        <w:rPr>
          <w:rFonts w:hint="eastAsia" w:ascii="仿宋" w:hAnsi="仿宋" w:eastAsia="仿宋"/>
          <w:color w:val="auto"/>
          <w:szCs w:val="21"/>
          <w:highlight w:val="none"/>
          <w:u w:val="single"/>
        </w:rPr>
        <w:t>项目</w:t>
      </w:r>
      <w:r>
        <w:rPr>
          <w:rFonts w:hint="eastAsia" w:ascii="仿宋" w:hAnsi="仿宋" w:eastAsia="仿宋"/>
          <w:color w:val="auto"/>
          <w:szCs w:val="21"/>
          <w:highlight w:val="none"/>
        </w:rPr>
        <w:t>在合理使用期限内正常使用，各方经协商一致签订本质量保修书。乙方在质量保修期内按照有关管理规定及约定承担工程及设备质量保修责任。</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一、质量保修范围和内容</w:t>
      </w:r>
    </w:p>
    <w:p>
      <w:pPr>
        <w:spacing w:line="360" w:lineRule="auto"/>
        <w:ind w:firstLine="420" w:firstLineChars="200"/>
        <w:rPr>
          <w:rFonts w:ascii="仿宋" w:hAnsi="仿宋" w:eastAsia="仿宋"/>
          <w:color w:val="auto"/>
          <w:szCs w:val="21"/>
          <w:highlight w:val="none"/>
          <w:u w:val="single"/>
        </w:rPr>
      </w:pPr>
      <w:r>
        <w:rPr>
          <w:rFonts w:hint="eastAsia" w:ascii="仿宋" w:hAnsi="仿宋" w:eastAsia="仿宋"/>
          <w:color w:val="auto"/>
          <w:szCs w:val="21"/>
          <w:highlight w:val="none"/>
        </w:rPr>
        <w:t>乙方在质量保修期内，按照有关法律、法规、规章的管理规定和双方约定，承担本工程及设备质量保修责任。具体质量保修范围双方约定如下：</w:t>
      </w:r>
      <w:r>
        <w:rPr>
          <w:rFonts w:hint="eastAsia" w:ascii="仿宋" w:hAnsi="仿宋" w:eastAsia="仿宋"/>
          <w:color w:val="auto"/>
          <w:szCs w:val="21"/>
          <w:highlight w:val="none"/>
          <w:u w:val="single"/>
        </w:rPr>
        <w:t>合同约定范围的所有项目及变更增加项目。</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二、质量保修期</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质量保修期为，</w:t>
      </w:r>
      <w:r>
        <w:rPr>
          <w:rFonts w:hint="eastAsia" w:ascii="仿宋" w:hAnsi="仿宋" w:eastAsia="仿宋"/>
          <w:b/>
          <w:bCs/>
          <w:color w:val="auto"/>
          <w:szCs w:val="21"/>
          <w:highlight w:val="none"/>
        </w:rPr>
        <w:t>业主</w:t>
      </w:r>
      <w:r>
        <w:rPr>
          <w:rFonts w:hint="eastAsia" w:ascii="仿宋" w:hAnsi="仿宋" w:eastAsia="仿宋"/>
          <w:color w:val="auto"/>
          <w:szCs w:val="21"/>
          <w:highlight w:val="none"/>
        </w:rPr>
        <w:t>使用产品之日起算，质保期以招标、投标文件确定的为准。</w:t>
      </w:r>
    </w:p>
    <w:p>
      <w:pPr>
        <w:spacing w:line="360" w:lineRule="auto"/>
        <w:ind w:firstLine="210"/>
        <w:rPr>
          <w:rFonts w:ascii="仿宋" w:hAnsi="仿宋" w:eastAsia="仿宋"/>
          <w:b/>
          <w:color w:val="auto"/>
          <w:szCs w:val="21"/>
          <w:highlight w:val="none"/>
        </w:rPr>
      </w:pPr>
      <w:r>
        <w:rPr>
          <w:rFonts w:hint="eastAsia" w:ascii="仿宋" w:hAnsi="仿宋" w:eastAsia="仿宋"/>
          <w:b/>
          <w:color w:val="auto"/>
          <w:szCs w:val="21"/>
          <w:highlight w:val="none"/>
        </w:rPr>
        <w:t>三、质量保修责任</w:t>
      </w:r>
    </w:p>
    <w:p>
      <w:pPr>
        <w:spacing w:line="360" w:lineRule="auto"/>
        <w:ind w:firstLine="504" w:firstLineChars="240"/>
        <w:rPr>
          <w:rFonts w:ascii="仿宋" w:hAnsi="仿宋" w:eastAsia="仿宋"/>
          <w:color w:val="auto"/>
          <w:szCs w:val="21"/>
          <w:highlight w:val="none"/>
        </w:rPr>
      </w:pPr>
      <w:r>
        <w:rPr>
          <w:rFonts w:hint="eastAsia" w:ascii="仿宋" w:hAnsi="仿宋" w:eastAsia="仿宋"/>
          <w:color w:val="auto"/>
          <w:szCs w:val="21"/>
          <w:highlight w:val="none"/>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仿宋" w:hAnsi="仿宋" w:eastAsia="仿宋"/>
          <w:color w:val="auto"/>
          <w:szCs w:val="21"/>
          <w:highlight w:val="none"/>
        </w:rPr>
      </w:pPr>
      <w:r>
        <w:rPr>
          <w:rFonts w:hint="eastAsia" w:ascii="仿宋" w:hAnsi="仿宋" w:eastAsia="仿宋"/>
          <w:color w:val="auto"/>
          <w:szCs w:val="21"/>
          <w:highlight w:val="none"/>
        </w:rPr>
        <w:t>2．属于保修范围、内容的项目，乙方应当在接到保修通知起</w:t>
      </w:r>
      <w:r>
        <w:rPr>
          <w:rFonts w:hint="eastAsia" w:ascii="仿宋" w:hAnsi="仿宋" w:eastAsia="仿宋"/>
          <w:bCs/>
          <w:color w:val="auto"/>
          <w:szCs w:val="21"/>
          <w:highlight w:val="none"/>
        </w:rPr>
        <w:t>2小时内</w:t>
      </w:r>
      <w:r>
        <w:rPr>
          <w:rFonts w:hint="eastAsia" w:ascii="仿宋" w:hAnsi="仿宋" w:eastAsia="仿宋"/>
          <w:color w:val="auto"/>
          <w:szCs w:val="21"/>
          <w:highlight w:val="none"/>
        </w:rPr>
        <w:t>赶到现场进行维修，并提供不间断的服务直到结束。质保期内乙方须安排专业维保人员驻场，驻场人员数量及资质须满足丙方需求并获得书面审批。</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3．如设备暂时不能修复，乙方应做好故障设备的相关的围挡保护及明显的故障告示通知，直至故障设备完全修复为止。</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 xml:space="preserve">4. 乙方不在约定期限内派人保修的，，甲、丙方可以委托他人修理，由此产生的费用从质量保修金内扣除。 </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5. 每次维修及维保好后，乙方需一式两份报告给甲、丙方，包括故障原因，解决措施（或维保内容），完成修理（或维保）所费时间及恢复正常运行日期。</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6. 乙方如未按上述要求履行保修义务，每违反一次，从质量保修金中扣除违约金壹仟元整（1000.00元）；</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7、在质保期结束时，须由专业工程师对设备进行另一次测试，任何故障须由乙方自费解决并取得甲、丙方的同意。</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8、在质保期结束前，乙方需按照设备检验检测要求对设备进行一次检验，并取得相关管理部门颁发的检验合格证，相关费用由乙方承担。</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 xml:space="preserve">  9、保修费用由乙方承担。</w:t>
      </w:r>
    </w:p>
    <w:p>
      <w:pPr>
        <w:spacing w:line="360" w:lineRule="auto"/>
        <w:ind w:firstLine="498" w:firstLineChars="236"/>
        <w:rPr>
          <w:rFonts w:ascii="仿宋" w:hAnsi="仿宋" w:eastAsia="仿宋"/>
          <w:b/>
          <w:color w:val="auto"/>
          <w:szCs w:val="21"/>
          <w:highlight w:val="none"/>
        </w:rPr>
      </w:pPr>
      <w:r>
        <w:rPr>
          <w:rFonts w:hint="eastAsia" w:ascii="仿宋" w:hAnsi="仿宋" w:eastAsia="仿宋"/>
          <w:b/>
          <w:color w:val="auto"/>
          <w:szCs w:val="21"/>
          <w:highlight w:val="none"/>
        </w:rPr>
        <w:t>四、质量保修金的支付</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本项目质量保修金为结算总价款的</w:t>
      </w:r>
      <w:r>
        <w:rPr>
          <w:rFonts w:hint="eastAsia" w:ascii="仿宋" w:hAnsi="仿宋" w:eastAsia="仿宋"/>
          <w:color w:val="auto"/>
          <w:szCs w:val="21"/>
          <w:highlight w:val="none"/>
          <w:u w:val="single"/>
        </w:rPr>
        <w:t xml:space="preserve">2.5 </w:t>
      </w:r>
      <w:r>
        <w:rPr>
          <w:rFonts w:hint="eastAsia" w:ascii="仿宋" w:hAnsi="仿宋" w:eastAsia="仿宋"/>
          <w:color w:val="auto"/>
          <w:szCs w:val="21"/>
          <w:highlight w:val="none"/>
        </w:rPr>
        <w:t>%，在工程竣工结算时一次性扣留。质量保修金返还时</w:t>
      </w:r>
      <w:r>
        <w:rPr>
          <w:rFonts w:hint="eastAsia" w:ascii="仿宋" w:hAnsi="仿宋" w:eastAsia="仿宋"/>
          <w:color w:val="auto"/>
          <w:szCs w:val="21"/>
          <w:highlight w:val="none"/>
          <w:u w:val="single"/>
        </w:rPr>
        <w:t>不计银行利息。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五、质量保修金的返还</w:t>
      </w:r>
    </w:p>
    <w:p>
      <w:pPr>
        <w:spacing w:line="360" w:lineRule="auto"/>
        <w:ind w:firstLine="495" w:firstLineChars="236"/>
        <w:rPr>
          <w:rFonts w:ascii="仿宋" w:hAnsi="仿宋" w:eastAsia="仿宋"/>
          <w:color w:val="auto"/>
          <w:szCs w:val="21"/>
          <w:highlight w:val="none"/>
          <w:u w:val="single"/>
        </w:rPr>
      </w:pPr>
      <w:r>
        <w:rPr>
          <w:rFonts w:hint="eastAsia" w:ascii="仿宋" w:hAnsi="仿宋" w:eastAsia="仿宋"/>
          <w:color w:val="auto"/>
          <w:szCs w:val="21"/>
          <w:highlight w:val="none"/>
          <w:u w:val="single"/>
        </w:rPr>
        <w:t>质量保修期满后，经甲、丙方组织验收，如合同约定范围的所有项目及变更增加项目无任何产品质量问题或故障，丙方通知甲方在扣除相应的维修保养违约金和相应赔偿金（如有）后，30日历天内返还剩余质量保修金（不计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六、其他</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各方约定的其他工程质量保修事项：</w:t>
      </w:r>
      <w:r>
        <w:rPr>
          <w:rFonts w:hint="eastAsia" w:ascii="仿宋" w:hAnsi="仿宋" w:eastAsia="仿宋"/>
          <w:color w:val="auto"/>
          <w:szCs w:val="21"/>
          <w:highlight w:val="none"/>
          <w:u w:val="single"/>
        </w:rPr>
        <w:t xml:space="preserve"> 按有关规定执行。</w:t>
      </w:r>
    </w:p>
    <w:p>
      <w:pPr>
        <w:pStyle w:val="9"/>
        <w:rPr>
          <w:color w:val="auto"/>
          <w:highlight w:val="none"/>
        </w:rPr>
      </w:pPr>
      <w:r>
        <w:rPr>
          <w:rFonts w:hint="eastAsia"/>
          <w:color w:val="auto"/>
          <w:highlight w:val="none"/>
        </w:rPr>
        <w:t>甲方对乙方的保修义务对丙方承担连带责任。</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甲方：（盖章）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rPr>
          <w:rFonts w:ascii="仿宋" w:hAnsi="仿宋" w:eastAsia="仿宋"/>
          <w:color w:val="auto"/>
          <w:szCs w:val="21"/>
          <w:highlight w:val="none"/>
        </w:rPr>
      </w:pPr>
      <w:r>
        <w:rPr>
          <w:rFonts w:hint="eastAsia" w:ascii="仿宋" w:hAnsi="仿宋" w:eastAsia="仿宋"/>
          <w:color w:val="auto"/>
          <w:szCs w:val="21"/>
          <w:highlight w:val="none"/>
        </w:rPr>
        <w:t>　　电话：</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乙方：（盖章）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　　　　　　　　　　　　　　　　　　　 </w:t>
      </w:r>
    </w:p>
    <w:p>
      <w:pPr>
        <w:pStyle w:val="25"/>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w:t>
      </w:r>
    </w:p>
    <w:p>
      <w:pPr>
        <w:spacing w:line="360" w:lineRule="auto"/>
        <w:ind w:firstLine="420" w:firstLineChars="200"/>
        <w:rPr>
          <w:rFonts w:ascii="仿宋" w:hAnsi="仿宋" w:eastAsia="仿宋"/>
          <w:color w:val="auto"/>
          <w:szCs w:val="21"/>
          <w:highlight w:val="none"/>
        </w:rPr>
      </w:pP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丙方：（盖章）</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w:t>
      </w: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5"/>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jc w:val="center"/>
        <w:rPr>
          <w:rFonts w:ascii="黑体" w:eastAsia="黑体"/>
          <w:color w:val="auto"/>
          <w:sz w:val="29"/>
          <w:highlight w:val="none"/>
        </w:rPr>
        <w:sectPr>
          <w:pgSz w:w="11910" w:h="16840"/>
          <w:pgMar w:top="1600" w:right="541" w:bottom="900" w:left="1020" w:header="0" w:footer="704" w:gutter="0"/>
          <w:cols w:space="720" w:num="1"/>
        </w:sectPr>
      </w:pPr>
    </w:p>
    <w:p>
      <w:pPr>
        <w:pStyle w:val="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w:t>
      </w:r>
      <w:r>
        <w:rPr>
          <w:rFonts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图纸</w:t>
      </w:r>
    </w:p>
    <w:p>
      <w:pPr>
        <w:spacing w:line="420" w:lineRule="auto"/>
        <w:ind w:firstLine="480"/>
        <w:rPr>
          <w:rFonts w:asciiTheme="minorEastAsia" w:hAnsiTheme="minorEastAsia" w:eastAsiaTheme="minorEastAsia" w:cstheme="minorEastAsia"/>
          <w:color w:val="auto"/>
          <w:sz w:val="24"/>
          <w:szCs w:val="24"/>
          <w:highlight w:val="none"/>
        </w:rPr>
      </w:pPr>
    </w:p>
    <w:p>
      <w:pPr>
        <w:widowControl/>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提供由深圳市建筑设计研究总院有限公司（及其医疗专项设计分包单位上海尧伟建设工程有限公司）提供的防辐射装修工程及设备采购及安装工程施工图纸（电子版），请各投标人在在登陆绍兴公共资源交易网交易平台后在货物清单及其他中下载电子版图纸。。</w:t>
      </w:r>
    </w:p>
    <w:p>
      <w:pPr>
        <w:spacing w:line="400" w:lineRule="auto"/>
        <w:rPr>
          <w:rFonts w:asciiTheme="minorEastAsia" w:hAnsiTheme="minorEastAsia" w:eastAsiaTheme="minorEastAsia" w:cstheme="minorEastAsia"/>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一、图纸目录</w:t>
      </w:r>
    </w:p>
    <w:p>
      <w:pPr>
        <w:spacing w:line="400" w:lineRule="auto"/>
        <w:rPr>
          <w:rFonts w:asciiTheme="minorEastAsia" w:hAnsiTheme="minorEastAsia" w:eastAsiaTheme="minorEastAsia" w:cstheme="minorEastAsia"/>
          <w:color w:val="auto"/>
          <w:sz w:val="24"/>
          <w:szCs w:val="24"/>
          <w:highlight w:val="none"/>
        </w:rPr>
      </w:pPr>
    </w:p>
    <w:tbl>
      <w:tblPr>
        <w:tblStyle w:val="28"/>
        <w:tblW w:w="8748" w:type="dxa"/>
        <w:tblInd w:w="0" w:type="dxa"/>
        <w:tblLayout w:type="fixed"/>
        <w:tblCellMar>
          <w:top w:w="0" w:type="dxa"/>
          <w:left w:w="10" w:type="dxa"/>
          <w:bottom w:w="0" w:type="dxa"/>
          <w:right w:w="10" w:type="dxa"/>
        </w:tblCellMar>
      </w:tblPr>
      <w:tblGrid>
        <w:gridCol w:w="828"/>
        <w:gridCol w:w="1980"/>
        <w:gridCol w:w="2520"/>
        <w:gridCol w:w="1260"/>
        <w:gridCol w:w="1260"/>
        <w:gridCol w:w="900"/>
      </w:tblGrid>
      <w:tr>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图名</w:t>
            </w: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图号</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版本</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出图日期</w:t>
            </w: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bl>
    <w:p>
      <w:pPr>
        <w:keepNext/>
        <w:keepLines/>
        <w:spacing w:before="100" w:line="400" w:lineRule="auto"/>
        <w:rPr>
          <w:rFonts w:asciiTheme="minorEastAsia" w:hAnsiTheme="minorEastAsia" w:eastAsiaTheme="minorEastAsia" w:cstheme="minorEastAsia"/>
          <w:b/>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二、图纸</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由招标人另册提供。</w:t>
      </w:r>
    </w:p>
    <w:p>
      <w:pPr>
        <w:spacing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pStyle w:val="2"/>
        <w:rPr>
          <w:color w:val="auto"/>
          <w:highlight w:val="none"/>
        </w:rPr>
      </w:pPr>
      <w:bookmarkStart w:id="443" w:name="_Toc19145"/>
      <w:r>
        <w:rPr>
          <w:rFonts w:hint="eastAsia"/>
          <w:color w:val="auto"/>
          <w:highlight w:val="none"/>
        </w:rPr>
        <w:t>第六章</w:t>
      </w:r>
      <w:r>
        <w:rPr>
          <w:color w:val="auto"/>
          <w:highlight w:val="none"/>
        </w:rPr>
        <w:t xml:space="preserve">  </w:t>
      </w:r>
      <w:r>
        <w:rPr>
          <w:rFonts w:hint="eastAsia"/>
          <w:color w:val="auto"/>
          <w:highlight w:val="none"/>
        </w:rPr>
        <w:t>技术标准和要求</w:t>
      </w:r>
      <w:bookmarkEnd w:id="443"/>
    </w:p>
    <w:p>
      <w:pPr>
        <w:pStyle w:val="3"/>
        <w:jc w:val="left"/>
        <w:rPr>
          <w:rStyle w:val="74"/>
          <w:color w:val="auto"/>
          <w:highlight w:val="none"/>
        </w:rPr>
      </w:pPr>
      <w:bookmarkStart w:id="444" w:name="_Toc424132252"/>
      <w:r>
        <w:rPr>
          <w:rStyle w:val="74"/>
          <w:rFonts w:hint="eastAsia"/>
          <w:color w:val="auto"/>
          <w:highlight w:val="none"/>
        </w:rPr>
        <w:t>一、总体技术要求</w:t>
      </w:r>
      <w:bookmarkEnd w:id="444"/>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总体原则是：洁污分明，辐射防护工程验收必须通过当地卫生、环保监督部门检测验收。</w:t>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全部技术指标，包括设备、材料、包装、运输、安装、调试、维修等各项目技术参数，必须符合本招标文件及国家规范的相关要求。包括但不限于下列规范：</w:t>
      </w:r>
    </w:p>
    <w:p>
      <w:pPr>
        <w:adjustRightInd w:val="0"/>
        <w:snapToGrid w:val="0"/>
        <w:spacing w:line="360" w:lineRule="auto"/>
        <w:ind w:left="400"/>
        <w:rPr>
          <w:color w:val="auto"/>
          <w:highlight w:val="none"/>
        </w:rPr>
      </w:pPr>
      <w:r>
        <w:rPr>
          <w:rFonts w:hint="eastAsia"/>
          <w:color w:val="auto"/>
          <w:highlight w:val="none"/>
        </w:rPr>
        <w:t xml:space="preserve">1 《建筑装饰工程施工及验收规范》 行业标准 JGJ 73—93 </w:t>
      </w:r>
    </w:p>
    <w:p>
      <w:pPr>
        <w:adjustRightInd w:val="0"/>
        <w:snapToGrid w:val="0"/>
        <w:spacing w:line="360" w:lineRule="auto"/>
        <w:ind w:left="400"/>
        <w:rPr>
          <w:color w:val="auto"/>
          <w:highlight w:val="none"/>
        </w:rPr>
      </w:pPr>
      <w:r>
        <w:rPr>
          <w:rFonts w:hint="eastAsia"/>
          <w:color w:val="auto"/>
          <w:highlight w:val="none"/>
        </w:rPr>
        <w:t xml:space="preserve">2 《建筑设计防火规范》 国家标准 GBJ 16—87 </w:t>
      </w:r>
    </w:p>
    <w:p>
      <w:pPr>
        <w:adjustRightInd w:val="0"/>
        <w:snapToGrid w:val="0"/>
        <w:spacing w:line="360" w:lineRule="auto"/>
        <w:ind w:left="400"/>
        <w:rPr>
          <w:color w:val="auto"/>
          <w:highlight w:val="none"/>
        </w:rPr>
      </w:pPr>
      <w:r>
        <w:rPr>
          <w:rFonts w:hint="eastAsia"/>
          <w:color w:val="auto"/>
          <w:highlight w:val="none"/>
        </w:rPr>
        <w:t xml:space="preserve">3 《建筑内部装修设计防火规范》 国家标准 GB 50222—95 </w:t>
      </w:r>
    </w:p>
    <w:p>
      <w:pPr>
        <w:adjustRightInd w:val="0"/>
        <w:snapToGrid w:val="0"/>
        <w:spacing w:line="360" w:lineRule="auto"/>
        <w:ind w:left="400"/>
        <w:rPr>
          <w:color w:val="auto"/>
          <w:highlight w:val="none"/>
        </w:rPr>
      </w:pPr>
      <w:r>
        <w:rPr>
          <w:rFonts w:hint="eastAsia"/>
          <w:color w:val="auto"/>
          <w:highlight w:val="none"/>
        </w:rPr>
        <w:t xml:space="preserve">4 《建设工程施工现场管理规定》 建设部法规 建设部第15号令 </w:t>
      </w:r>
    </w:p>
    <w:p>
      <w:pPr>
        <w:adjustRightInd w:val="0"/>
        <w:snapToGrid w:val="0"/>
        <w:spacing w:line="360" w:lineRule="auto"/>
        <w:ind w:left="400"/>
        <w:rPr>
          <w:color w:val="auto"/>
          <w:highlight w:val="none"/>
        </w:rPr>
      </w:pPr>
      <w:r>
        <w:rPr>
          <w:rFonts w:hint="eastAsia"/>
          <w:color w:val="auto"/>
          <w:highlight w:val="none"/>
        </w:rPr>
        <w:t xml:space="preserve">5 《中华人民共和国建筑施工场界噪声限值》 国家标准 GB 12523—90 </w:t>
      </w:r>
    </w:p>
    <w:p>
      <w:pPr>
        <w:adjustRightInd w:val="0"/>
        <w:snapToGrid w:val="0"/>
        <w:spacing w:line="360" w:lineRule="auto"/>
        <w:ind w:left="400"/>
        <w:rPr>
          <w:color w:val="auto"/>
          <w:highlight w:val="none"/>
        </w:rPr>
      </w:pPr>
      <w:r>
        <w:rPr>
          <w:rFonts w:hint="eastAsia"/>
          <w:color w:val="auto"/>
          <w:highlight w:val="none"/>
        </w:rPr>
        <w:t xml:space="preserve">6 《木结构工程施工及验收规范》 国家标准 ﹙GBJ206—83﹚ </w:t>
      </w:r>
    </w:p>
    <w:p>
      <w:pPr>
        <w:adjustRightInd w:val="0"/>
        <w:snapToGrid w:val="0"/>
        <w:spacing w:line="360" w:lineRule="auto"/>
        <w:ind w:left="400"/>
        <w:rPr>
          <w:color w:val="auto"/>
          <w:highlight w:val="none"/>
        </w:rPr>
      </w:pPr>
      <w:r>
        <w:rPr>
          <w:rFonts w:hint="eastAsia"/>
          <w:color w:val="auto"/>
          <w:highlight w:val="none"/>
        </w:rPr>
        <w:t xml:space="preserve">7 《建筑地面工程施工及验收规范》 国家标准 ﹙GB50045—95﹚ </w:t>
      </w:r>
    </w:p>
    <w:p>
      <w:pPr>
        <w:adjustRightInd w:val="0"/>
        <w:snapToGrid w:val="0"/>
        <w:spacing w:line="360" w:lineRule="auto"/>
        <w:ind w:left="400"/>
        <w:rPr>
          <w:color w:val="auto"/>
          <w:highlight w:val="none"/>
        </w:rPr>
      </w:pPr>
      <w:r>
        <w:rPr>
          <w:rFonts w:hint="eastAsia"/>
          <w:color w:val="auto"/>
          <w:highlight w:val="none"/>
        </w:rPr>
        <w:t xml:space="preserve">8 《建筑装饰工程施工质量验收规范》 国家标准 ﹙GB50210—2001﹚ </w:t>
      </w:r>
    </w:p>
    <w:p>
      <w:pPr>
        <w:adjustRightInd w:val="0"/>
        <w:snapToGrid w:val="0"/>
        <w:spacing w:line="360" w:lineRule="auto"/>
        <w:ind w:left="400"/>
        <w:rPr>
          <w:color w:val="auto"/>
          <w:highlight w:val="none"/>
        </w:rPr>
      </w:pPr>
      <w:r>
        <w:rPr>
          <w:rFonts w:hint="eastAsia"/>
          <w:color w:val="auto"/>
          <w:highlight w:val="none"/>
        </w:rPr>
        <w:t xml:space="preserve">9 《电气装置安装工程电气照明装置施工》 国家标准 ﹙GB50259—96﹚ </w:t>
      </w:r>
    </w:p>
    <w:p>
      <w:pPr>
        <w:adjustRightInd w:val="0"/>
        <w:snapToGrid w:val="0"/>
        <w:spacing w:line="360" w:lineRule="auto"/>
        <w:ind w:left="400"/>
        <w:rPr>
          <w:color w:val="auto"/>
          <w:highlight w:val="none"/>
        </w:rPr>
      </w:pPr>
      <w:r>
        <w:rPr>
          <w:rFonts w:hint="eastAsia"/>
          <w:color w:val="auto"/>
          <w:highlight w:val="none"/>
        </w:rPr>
        <w:t>10《建筑照明设计标准》GB50034-2013</w:t>
      </w:r>
    </w:p>
    <w:p>
      <w:pPr>
        <w:adjustRightInd w:val="0"/>
        <w:snapToGrid w:val="0"/>
        <w:spacing w:line="360" w:lineRule="auto"/>
        <w:ind w:firstLine="420" w:firstLineChars="200"/>
        <w:rPr>
          <w:color w:val="auto"/>
          <w:highlight w:val="none"/>
        </w:rPr>
      </w:pPr>
      <w:r>
        <w:rPr>
          <w:rFonts w:hint="eastAsia"/>
          <w:color w:val="auto"/>
          <w:highlight w:val="none"/>
        </w:rPr>
        <w:t xml:space="preserve">11《电力工程电缆设计规范》GB50217-2016 </w:t>
      </w:r>
      <w:r>
        <w:rPr>
          <w:rFonts w:hint="eastAsia" w:ascii="宋体" w:hAnsi="宋体" w:cs="宋体"/>
          <w:color w:val="auto"/>
          <w:szCs w:val="21"/>
          <w:highlight w:val="none"/>
        </w:rPr>
        <w:t xml:space="preserve"> </w:t>
      </w:r>
    </w:p>
    <w:p>
      <w:pPr>
        <w:adjustRightInd w:val="0"/>
        <w:snapToGrid w:val="0"/>
        <w:spacing w:line="360" w:lineRule="auto"/>
        <w:ind w:left="400"/>
        <w:rPr>
          <w:color w:val="auto"/>
          <w:highlight w:val="none"/>
        </w:rPr>
      </w:pPr>
      <w:r>
        <w:rPr>
          <w:rFonts w:hint="eastAsia"/>
          <w:color w:val="auto"/>
          <w:highlight w:val="none"/>
        </w:rPr>
        <w:t xml:space="preserve">12《建筑防腐工程质量验收评定标准》 国家标准 ﹙GB50205—95﹚ </w:t>
      </w:r>
    </w:p>
    <w:p>
      <w:pPr>
        <w:adjustRightInd w:val="0"/>
        <w:snapToGrid w:val="0"/>
        <w:spacing w:line="360" w:lineRule="auto"/>
        <w:ind w:left="400"/>
        <w:rPr>
          <w:color w:val="auto"/>
          <w:highlight w:val="none"/>
        </w:rPr>
      </w:pPr>
      <w:r>
        <w:rPr>
          <w:rFonts w:hint="eastAsia"/>
          <w:color w:val="auto"/>
          <w:highlight w:val="none"/>
        </w:rPr>
        <w:t xml:space="preserve">13《建筑工程项目管理规范》 国家标准 ﹙GB/T50326-2001﹚ </w:t>
      </w:r>
    </w:p>
    <w:p>
      <w:pPr>
        <w:adjustRightInd w:val="0"/>
        <w:snapToGrid w:val="0"/>
        <w:spacing w:line="360" w:lineRule="auto"/>
        <w:ind w:left="400"/>
        <w:rPr>
          <w:color w:val="auto"/>
          <w:highlight w:val="none"/>
        </w:rPr>
      </w:pPr>
      <w:r>
        <w:rPr>
          <w:rFonts w:hint="eastAsia"/>
          <w:color w:val="auto"/>
          <w:highlight w:val="none"/>
        </w:rPr>
        <w:t xml:space="preserve">14《施工现场临时用电安全技术规程》 国家标准 ﹙GBJ46—88﹚ </w:t>
      </w:r>
    </w:p>
    <w:p>
      <w:pPr>
        <w:adjustRightInd w:val="0"/>
        <w:snapToGrid w:val="0"/>
        <w:spacing w:line="360" w:lineRule="auto"/>
        <w:ind w:left="400"/>
        <w:rPr>
          <w:color w:val="auto"/>
          <w:highlight w:val="none"/>
        </w:rPr>
      </w:pPr>
      <w:r>
        <w:rPr>
          <w:rFonts w:hint="eastAsia"/>
          <w:color w:val="auto"/>
          <w:highlight w:val="none"/>
        </w:rPr>
        <w:t xml:space="preserve">15《电磁屏蔽室工程技术规范》 国家标准 GB/T50719-2011 </w:t>
      </w:r>
    </w:p>
    <w:p>
      <w:pPr>
        <w:adjustRightInd w:val="0"/>
        <w:snapToGrid w:val="0"/>
        <w:spacing w:line="360" w:lineRule="auto"/>
        <w:ind w:left="400"/>
        <w:rPr>
          <w:color w:val="auto"/>
          <w:highlight w:val="none"/>
        </w:rPr>
      </w:pPr>
      <w:r>
        <w:rPr>
          <w:rFonts w:hint="eastAsia"/>
          <w:color w:val="auto"/>
          <w:highlight w:val="none"/>
        </w:rPr>
        <w:t>16《电磁屏蔽室屏蔽效能测量方法》 国家标准 GB12190-2006</w:t>
      </w:r>
    </w:p>
    <w:p>
      <w:pPr>
        <w:adjustRightInd w:val="0"/>
        <w:snapToGrid w:val="0"/>
        <w:spacing w:line="360" w:lineRule="auto"/>
        <w:ind w:left="400"/>
        <w:rPr>
          <w:color w:val="auto"/>
          <w:highlight w:val="none"/>
        </w:rPr>
      </w:pPr>
      <w:r>
        <w:rPr>
          <w:rFonts w:hint="eastAsia"/>
          <w:color w:val="auto"/>
          <w:highlight w:val="none"/>
        </w:rPr>
        <w:t>17《医用X射线诊断放射防护要求》GBZ130-2013</w:t>
      </w:r>
    </w:p>
    <w:p>
      <w:pPr>
        <w:adjustRightInd w:val="0"/>
        <w:snapToGrid w:val="0"/>
        <w:spacing w:line="360" w:lineRule="auto"/>
        <w:ind w:left="400"/>
        <w:rPr>
          <w:color w:val="auto"/>
          <w:highlight w:val="none"/>
        </w:rPr>
      </w:pPr>
      <w:r>
        <w:rPr>
          <w:rFonts w:hint="eastAsia"/>
          <w:color w:val="auto"/>
          <w:highlight w:val="none"/>
        </w:rPr>
        <w:t>18《电离辐射防护与辐射安全基本标准》GB18871-2002</w:t>
      </w:r>
    </w:p>
    <w:p>
      <w:pPr>
        <w:adjustRightInd w:val="0"/>
        <w:snapToGrid w:val="0"/>
        <w:spacing w:line="360" w:lineRule="auto"/>
        <w:ind w:left="400"/>
        <w:rPr>
          <w:color w:val="auto"/>
          <w:highlight w:val="none"/>
        </w:rPr>
      </w:pPr>
      <w:r>
        <w:rPr>
          <w:rFonts w:hint="eastAsia"/>
          <w:color w:val="auto"/>
          <w:highlight w:val="none"/>
        </w:rPr>
        <w:t>19《放射工作人员职业健康管理方法》卫第55号令</w:t>
      </w:r>
    </w:p>
    <w:p>
      <w:pPr>
        <w:adjustRightInd w:val="0"/>
        <w:snapToGrid w:val="0"/>
        <w:spacing w:line="360" w:lineRule="auto"/>
        <w:ind w:left="400"/>
        <w:rPr>
          <w:color w:val="auto"/>
          <w:highlight w:val="none"/>
        </w:rPr>
      </w:pPr>
      <w:r>
        <w:rPr>
          <w:rFonts w:hint="eastAsia"/>
          <w:color w:val="auto"/>
          <w:highlight w:val="none"/>
        </w:rPr>
        <w:t>20《医用诊断X射线防护玻璃板标准》GBZT184-2006</w:t>
      </w:r>
    </w:p>
    <w:p>
      <w:pPr>
        <w:adjustRightInd w:val="0"/>
        <w:snapToGrid w:val="0"/>
        <w:spacing w:line="360" w:lineRule="auto"/>
        <w:ind w:left="400"/>
        <w:rPr>
          <w:color w:val="auto"/>
          <w:highlight w:val="none"/>
        </w:rPr>
      </w:pPr>
      <w:r>
        <w:rPr>
          <w:rFonts w:hint="eastAsia"/>
          <w:color w:val="auto"/>
          <w:highlight w:val="none"/>
        </w:rPr>
        <w:t>21《操作非密封源的辐射防护规定》》GB11930-2010</w:t>
      </w:r>
    </w:p>
    <w:p>
      <w:pPr>
        <w:adjustRightInd w:val="0"/>
        <w:snapToGrid w:val="0"/>
        <w:spacing w:line="360" w:lineRule="auto"/>
        <w:ind w:left="400"/>
        <w:rPr>
          <w:color w:val="auto"/>
          <w:highlight w:val="none"/>
        </w:rPr>
      </w:pPr>
      <w:r>
        <w:rPr>
          <w:rFonts w:hint="eastAsia"/>
          <w:color w:val="auto"/>
          <w:highlight w:val="none"/>
        </w:rPr>
        <w:t>22《X 射线计算机断层摄影装置质量保证检测规范》GB17589-2011</w:t>
      </w:r>
    </w:p>
    <w:p>
      <w:pPr>
        <w:adjustRightInd w:val="0"/>
        <w:snapToGrid w:val="0"/>
        <w:spacing w:line="360" w:lineRule="auto"/>
        <w:ind w:left="400"/>
        <w:rPr>
          <w:color w:val="auto"/>
          <w:highlight w:val="none"/>
        </w:rPr>
      </w:pPr>
      <w:r>
        <w:rPr>
          <w:rFonts w:hint="eastAsia"/>
          <w:color w:val="auto"/>
          <w:highlight w:val="none"/>
        </w:rPr>
        <w:t>23《放射工作人员健康标准》GBZ98-2002</w:t>
      </w:r>
    </w:p>
    <w:p>
      <w:pPr>
        <w:adjustRightInd w:val="0"/>
        <w:snapToGrid w:val="0"/>
        <w:spacing w:line="360" w:lineRule="auto"/>
        <w:ind w:left="400"/>
        <w:rPr>
          <w:color w:val="auto"/>
          <w:highlight w:val="none"/>
        </w:rPr>
      </w:pPr>
      <w:r>
        <w:rPr>
          <w:rFonts w:hint="eastAsia"/>
          <w:color w:val="auto"/>
          <w:highlight w:val="none"/>
        </w:rPr>
        <w:t>24《职业性外照射个人监测规范》GBZ128-2016</w:t>
      </w:r>
    </w:p>
    <w:p>
      <w:pPr>
        <w:adjustRightInd w:val="0"/>
        <w:snapToGrid w:val="0"/>
        <w:spacing w:line="360" w:lineRule="auto"/>
        <w:ind w:left="400"/>
        <w:rPr>
          <w:color w:val="auto"/>
          <w:highlight w:val="none"/>
        </w:rPr>
      </w:pPr>
      <w:r>
        <w:rPr>
          <w:rFonts w:hint="eastAsia"/>
          <w:color w:val="auto"/>
          <w:highlight w:val="none"/>
        </w:rPr>
        <w:t>25《职业性内照射个人监测规范》GBZ129-2002</w:t>
      </w:r>
    </w:p>
    <w:p>
      <w:pPr>
        <w:adjustRightInd w:val="0"/>
        <w:snapToGrid w:val="0"/>
        <w:spacing w:line="360" w:lineRule="auto"/>
        <w:ind w:left="400"/>
        <w:rPr>
          <w:color w:val="auto"/>
          <w:highlight w:val="none"/>
        </w:rPr>
      </w:pPr>
      <w:r>
        <w:rPr>
          <w:rFonts w:hint="eastAsia"/>
          <w:color w:val="auto"/>
          <w:highlight w:val="none"/>
        </w:rPr>
        <w:t>26《医用放射性废物管理卫生防护标准》GBZ133-2009</w:t>
      </w:r>
    </w:p>
    <w:p>
      <w:pPr>
        <w:adjustRightInd w:val="0"/>
        <w:snapToGrid w:val="0"/>
        <w:spacing w:line="360" w:lineRule="auto"/>
        <w:ind w:left="400"/>
        <w:rPr>
          <w:color w:val="auto"/>
          <w:highlight w:val="none"/>
        </w:rPr>
      </w:pPr>
      <w:r>
        <w:rPr>
          <w:rFonts w:hint="eastAsia"/>
          <w:color w:val="auto"/>
          <w:highlight w:val="none"/>
        </w:rPr>
        <w:t>27《工作场所职业病危害警示标识》GBZ158-2003</w:t>
      </w:r>
    </w:p>
    <w:p>
      <w:pPr>
        <w:adjustRightInd w:val="0"/>
        <w:snapToGrid w:val="0"/>
        <w:spacing w:line="360" w:lineRule="auto"/>
        <w:ind w:left="400"/>
        <w:rPr>
          <w:color w:val="auto"/>
          <w:highlight w:val="none"/>
        </w:rPr>
      </w:pPr>
      <w:r>
        <w:rPr>
          <w:rFonts w:hint="eastAsia"/>
          <w:color w:val="auto"/>
          <w:highlight w:val="none"/>
        </w:rPr>
        <w:t>28《X 射线计算机断层摄影放射防护要求》GBZ165-2012</w:t>
      </w:r>
    </w:p>
    <w:p>
      <w:pPr>
        <w:adjustRightInd w:val="0"/>
        <w:snapToGrid w:val="0"/>
        <w:spacing w:line="360" w:lineRule="auto"/>
        <w:ind w:left="400"/>
        <w:rPr>
          <w:color w:val="auto"/>
          <w:highlight w:val="none"/>
        </w:rPr>
      </w:pPr>
      <w:r>
        <w:rPr>
          <w:rFonts w:hint="eastAsia"/>
          <w:color w:val="auto"/>
          <w:highlight w:val="none"/>
        </w:rPr>
        <w:t>29《医疗照射放射防护基本要求》GBZ179-2006</w:t>
      </w:r>
    </w:p>
    <w:p>
      <w:pPr>
        <w:adjustRightInd w:val="0"/>
        <w:snapToGrid w:val="0"/>
        <w:spacing w:line="360" w:lineRule="auto"/>
        <w:ind w:left="400"/>
        <w:rPr>
          <w:color w:val="auto"/>
          <w:highlight w:val="none"/>
        </w:rPr>
      </w:pPr>
      <w:r>
        <w:rPr>
          <w:rFonts w:hint="eastAsia"/>
          <w:color w:val="auto"/>
          <w:highlight w:val="none"/>
        </w:rPr>
        <w:t>30《放射工作人员职业健康监护技术规范》GBZ235-2011</w:t>
      </w:r>
    </w:p>
    <w:p>
      <w:pPr>
        <w:adjustRightInd w:val="0"/>
        <w:snapToGrid w:val="0"/>
        <w:spacing w:line="360" w:lineRule="auto"/>
        <w:ind w:left="400"/>
        <w:rPr>
          <w:color w:val="auto"/>
          <w:highlight w:val="none"/>
        </w:rPr>
      </w:pPr>
      <w:r>
        <w:rPr>
          <w:rFonts w:hint="eastAsia"/>
          <w:color w:val="auto"/>
          <w:highlight w:val="none"/>
        </w:rPr>
        <w:t>31《医学放射工作人员放射防护培训规范》GBZ/T149-2015</w:t>
      </w:r>
    </w:p>
    <w:p>
      <w:pPr>
        <w:adjustRightInd w:val="0"/>
        <w:snapToGrid w:val="0"/>
        <w:spacing w:line="360" w:lineRule="auto"/>
        <w:ind w:left="400"/>
        <w:rPr>
          <w:color w:val="auto"/>
          <w:highlight w:val="none"/>
        </w:rPr>
      </w:pPr>
      <w:r>
        <w:rPr>
          <w:rFonts w:hint="eastAsia"/>
          <w:color w:val="auto"/>
          <w:highlight w:val="none"/>
        </w:rPr>
        <w:t>32《建设项目职业病危害放射防护评价报告编制规范》GBZ/T181-2006</w:t>
      </w:r>
    </w:p>
    <w:p>
      <w:pPr>
        <w:adjustRightInd w:val="0"/>
        <w:snapToGrid w:val="0"/>
        <w:spacing w:line="360" w:lineRule="auto"/>
        <w:ind w:left="400"/>
        <w:rPr>
          <w:color w:val="auto"/>
          <w:highlight w:val="none"/>
        </w:rPr>
      </w:pPr>
      <w:r>
        <w:rPr>
          <w:rFonts w:hint="eastAsia"/>
          <w:color w:val="auto"/>
          <w:highlight w:val="none"/>
        </w:rPr>
        <w:t>33《用人单位职业病防治指南》GBZ/T225-2010</w:t>
      </w:r>
    </w:p>
    <w:p>
      <w:pPr>
        <w:adjustRightInd w:val="0"/>
        <w:snapToGrid w:val="0"/>
        <w:spacing w:line="360" w:lineRule="auto"/>
        <w:ind w:left="400"/>
        <w:rPr>
          <w:rFonts w:ascii="宋体" w:hAnsi="宋体" w:cs="宋体"/>
          <w:color w:val="auto"/>
          <w:szCs w:val="21"/>
          <w:highlight w:val="none"/>
        </w:rPr>
      </w:pPr>
      <w:r>
        <w:rPr>
          <w:rFonts w:hint="eastAsia"/>
          <w:color w:val="auto"/>
          <w:highlight w:val="none"/>
        </w:rPr>
        <w:t>34《放射事故医学应急预案编制规范》WS/T328-2011</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其它与本工程相关的技术规范。</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如果国家有新的行业标准公布，则按新标准执行。</w:t>
      </w:r>
    </w:p>
    <w:p>
      <w:pPr>
        <w:numPr>
          <w:ilvl w:val="0"/>
          <w:numId w:val="4"/>
        </w:numPr>
        <w:spacing w:line="360" w:lineRule="auto"/>
        <w:rPr>
          <w:rFonts w:ascii="宋体" w:hAnsi="宋体" w:cs="宋体"/>
          <w:color w:val="auto"/>
          <w:szCs w:val="21"/>
          <w:highlight w:val="none"/>
        </w:rPr>
      </w:pPr>
      <w:r>
        <w:rPr>
          <w:rFonts w:hint="eastAsia" w:ascii="宋体" w:hAnsi="宋体" w:cs="宋体"/>
          <w:color w:val="auto"/>
          <w:szCs w:val="21"/>
          <w:highlight w:val="none"/>
        </w:rPr>
        <w:t>材料设备品牌推荐表要求见本章附表。</w:t>
      </w:r>
    </w:p>
    <w:p>
      <w:pPr>
        <w:pStyle w:val="9"/>
        <w:spacing w:line="360" w:lineRule="auto"/>
        <w:rPr>
          <w:rFonts w:ascii="宋体" w:hAnsi="宋体" w:cs="宋体"/>
          <w:color w:val="auto"/>
          <w:szCs w:val="21"/>
          <w:highlight w:val="none"/>
        </w:rPr>
      </w:pPr>
      <w:r>
        <w:rPr>
          <w:rFonts w:hint="eastAsia" w:ascii="宋体" w:hAnsi="宋体" w:cs="宋体"/>
          <w:color w:val="auto"/>
          <w:szCs w:val="21"/>
          <w:highlight w:val="none"/>
        </w:rPr>
        <w:t>1.4.其他：1.含机房内工作插座、照明、弱电等布置和等电位联接；2.根据机房设备线路布局图设置地面暗槽；3.防护门、窗的色调根据医院要求提供；4.CT、磁共振机房的顶部及墙面装饰图案需提供相关装修方案供医院选择；5.配合医院做好移机相关工作；6.若防辐射区域内出现设计变更，中标单位需无条件配合医院做好相关变更工作。</w:t>
      </w:r>
      <w:r>
        <w:rPr>
          <w:rFonts w:hint="eastAsia"/>
          <w:color w:val="auto"/>
          <w:highlight w:val="none"/>
        </w:rPr>
        <w:t>7.</w:t>
      </w:r>
      <w:r>
        <w:rPr>
          <w:rFonts w:hint="eastAsia" w:ascii="宋体" w:hAnsi="宋体" w:cs="宋体"/>
          <w:color w:val="auto"/>
          <w:szCs w:val="21"/>
          <w:highlight w:val="none"/>
        </w:rPr>
        <w:t>各种产品在施工前需提供样品及施工工艺由业主方确认。</w:t>
      </w:r>
    </w:p>
    <w:p>
      <w:pPr>
        <w:pStyle w:val="5"/>
        <w:spacing w:line="360" w:lineRule="auto"/>
        <w:ind w:firstLine="211" w:firstLineChars="100"/>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放射防护与磁屏蔽要求</w:t>
      </w:r>
    </w:p>
    <w:p>
      <w:pPr>
        <w:spacing w:line="360" w:lineRule="auto"/>
        <w:rPr>
          <w:b/>
          <w:bCs/>
          <w:color w:val="auto"/>
          <w:highlight w:val="none"/>
        </w:rPr>
      </w:pPr>
      <w:r>
        <w:rPr>
          <w:rFonts w:hint="eastAsia" w:ascii="宋体" w:hAnsi="宋体" w:cs="宋体"/>
          <w:b/>
          <w:bCs/>
          <w:color w:val="auto"/>
          <w:szCs w:val="21"/>
          <w:highlight w:val="none"/>
        </w:rPr>
        <w:t>1、放射防护</w:t>
      </w:r>
      <w:r>
        <w:rPr>
          <w:rFonts w:hint="eastAsia" w:ascii="Calibri" w:hAnsi="Calibri"/>
          <w:b/>
          <w:bCs/>
          <w:color w:val="auto"/>
          <w:highlight w:val="none"/>
        </w:rPr>
        <w:t>工程技术要求：</w:t>
      </w:r>
    </w:p>
    <w:p>
      <w:pPr>
        <w:numPr>
          <w:ilvl w:val="255"/>
          <w:numId w:val="0"/>
        </w:numPr>
        <w:spacing w:line="360" w:lineRule="auto"/>
        <w:ind w:left="400"/>
        <w:rPr>
          <w:rFonts w:ascii="宋体" w:hAnsi="宋体" w:cs="宋体"/>
          <w:color w:val="auto"/>
          <w:szCs w:val="21"/>
          <w:highlight w:val="none"/>
        </w:rPr>
      </w:pPr>
      <w:r>
        <w:rPr>
          <w:rFonts w:hint="eastAsia" w:ascii="宋体" w:hAnsi="宋体" w:cs="宋体"/>
          <w:bCs/>
          <w:color w:val="auto"/>
          <w:szCs w:val="21"/>
          <w:highlight w:val="none"/>
          <w:lang w:val="zh-CN"/>
        </w:rPr>
        <w:t>①建筑装饰应遵循不产尘、不积尘、耐腐蚀、防潮防霉、容易清洁和符合防火要求的总原则。</w:t>
      </w:r>
    </w:p>
    <w:p>
      <w:pPr>
        <w:numPr>
          <w:ilvl w:val="255"/>
          <w:numId w:val="0"/>
        </w:numPr>
        <w:spacing w:line="360" w:lineRule="auto"/>
        <w:ind w:left="420" w:leftChars="200"/>
        <w:rPr>
          <w:color w:val="auto"/>
          <w:highlight w:val="none"/>
        </w:rPr>
      </w:pPr>
      <w:r>
        <w:rPr>
          <w:rFonts w:hint="eastAsia" w:ascii="宋体" w:hAnsi="宋体" w:cs="宋体"/>
          <w:bCs/>
          <w:color w:val="auto"/>
          <w:szCs w:val="21"/>
          <w:highlight w:val="none"/>
        </w:rPr>
        <w:t>②DSA手术室和CT机房需满足≥4个铅当量屏蔽要求。DR、胃肠、乳腺、造影等放射设备需满足≥3个铅当量的放射要求。门（DSA手术室和CT机房的门需满足≥4个铅当量屏蔽要求。DR、胃肠、乳腺、造影等机房的门需满足≥3个铅当量的放射要求）</w:t>
      </w:r>
    </w:p>
    <w:p>
      <w:pPr>
        <w:pStyle w:val="9"/>
        <w:rPr>
          <w:color w:val="auto"/>
          <w:highlight w:val="none"/>
        </w:rPr>
      </w:pPr>
      <w:r>
        <w:rPr>
          <w:rFonts w:hint="eastAsia"/>
          <w:color w:val="auto"/>
          <w:highlight w:val="none"/>
        </w:rPr>
        <w:t>具体房间做法要求：</w:t>
      </w:r>
    </w:p>
    <w:p>
      <w:pPr>
        <w:adjustRightInd w:val="0"/>
        <w:snapToGrid w:val="0"/>
        <w:spacing w:line="360" w:lineRule="auto"/>
        <w:ind w:left="199" w:leftChars="95" w:firstLine="396" w:firstLineChars="189"/>
        <w:rPr>
          <w:color w:val="auto"/>
          <w:highlight w:val="none"/>
        </w:rPr>
      </w:pPr>
      <w:r>
        <w:rPr>
          <w:rFonts w:hint="eastAsia"/>
          <w:color w:val="auto"/>
          <w:highlight w:val="none"/>
        </w:rPr>
        <w:t>1.门诊医技楼-一层放射科DR、胃肠、乳腺、造影、CT顶面采用：</w:t>
      </w:r>
      <w:r>
        <w:rPr>
          <w:rFonts w:hint="eastAsia"/>
          <w:color w:val="auto"/>
          <w:szCs w:val="24"/>
          <w:highlight w:val="none"/>
        </w:rPr>
        <w:t>上层楼板地面做相应当量的硫酸钡水泥，本层楼顶面轻钢龙骨+9.5mm石膏板</w:t>
      </w:r>
      <w:r>
        <w:rPr>
          <w:rFonts w:hint="eastAsia"/>
          <w:color w:val="auto"/>
          <w:highlight w:val="none"/>
        </w:rPr>
        <w:t>；墙面采用95红砖+硫酸钡水泥+抗菌涂料，地面采用防静电、抗菌、防火、耐腐蚀、防滑、耐磨且厚度2mm的医用PVC卷材,3mm厚PVC专用地面超强自流平基层。</w:t>
      </w:r>
    </w:p>
    <w:p>
      <w:pPr>
        <w:adjustRightInd w:val="0"/>
        <w:snapToGrid w:val="0"/>
        <w:spacing w:line="360" w:lineRule="auto"/>
        <w:ind w:left="199" w:leftChars="95" w:firstLine="420" w:firstLineChars="200"/>
        <w:rPr>
          <w:color w:val="auto"/>
          <w:highlight w:val="none"/>
        </w:rPr>
      </w:pPr>
      <w:r>
        <w:rPr>
          <w:rFonts w:hint="eastAsia"/>
          <w:color w:val="auto"/>
          <w:highlight w:val="none"/>
        </w:rPr>
        <w:t>2.门医技楼-一层放射科控制廊、储藏室、设备/口腔顶面采用：轻钢龙骨+9.5mm石膏板+洁菌板，墙面采用粉刷面+抗菌涂料，地面采用防静电、抗菌、防火、耐腐蚀、防滑、耐磨且厚度2mm的医用PVC卷材，3mm厚PVC专用地面超强自流平基层。</w:t>
      </w:r>
    </w:p>
    <w:p>
      <w:pPr>
        <w:adjustRightInd w:val="0"/>
        <w:snapToGrid w:val="0"/>
        <w:spacing w:line="360" w:lineRule="auto"/>
        <w:ind w:left="199" w:leftChars="95" w:firstLine="420" w:firstLineChars="200"/>
        <w:rPr>
          <w:color w:val="auto"/>
          <w:highlight w:val="none"/>
        </w:rPr>
      </w:pPr>
      <w:r>
        <w:rPr>
          <w:rFonts w:hint="eastAsia"/>
          <w:color w:val="auto"/>
          <w:highlight w:val="none"/>
        </w:rPr>
        <w:t>3.门医技楼-一层放射科DR防辐射要求：墙面95红砖至楼板高度外刷相应当量硫酸钡水泥，顶面在上一次楼地面铺相应当量硫酸钡水泥，地面相应当量钡水泥.硫酸钡水泥配与普通水泥比为4:1.</w:t>
      </w:r>
    </w:p>
    <w:p>
      <w:pPr>
        <w:adjustRightInd w:val="0"/>
        <w:snapToGrid w:val="0"/>
        <w:spacing w:line="360" w:lineRule="auto"/>
        <w:ind w:left="199" w:leftChars="95" w:firstLine="420" w:firstLineChars="200"/>
        <w:rPr>
          <w:color w:val="auto"/>
          <w:highlight w:val="none"/>
        </w:rPr>
      </w:pPr>
      <w:r>
        <w:rPr>
          <w:rFonts w:hint="eastAsia"/>
          <w:color w:val="auto"/>
          <w:highlight w:val="none"/>
        </w:rPr>
        <w:t>4.门医技楼-DSA防辐射要求（此房间装饰装修放入净化工程内）:墙面与顶面使用相应当量铅板，地面相应当量钡水泥.硫酸钡水泥配与普通水泥比为4:1。</w:t>
      </w:r>
    </w:p>
    <w:p>
      <w:pPr>
        <w:adjustRightInd w:val="0"/>
        <w:snapToGrid w:val="0"/>
        <w:spacing w:line="360" w:lineRule="auto"/>
        <w:ind w:left="199" w:leftChars="95" w:firstLine="420" w:firstLineChars="200"/>
        <w:rPr>
          <w:rFonts w:eastAsiaTheme="majorEastAsia"/>
          <w:color w:val="auto"/>
          <w:highlight w:val="none"/>
        </w:rPr>
      </w:pPr>
      <w:r>
        <w:rPr>
          <w:rFonts w:hint="eastAsia"/>
          <w:color w:val="auto"/>
          <w:highlight w:val="none"/>
        </w:rPr>
        <w:t xml:space="preserve">5.妇科住院楼体检中心放射科CT、DR、钼靶、骨密度室顶面采用：上层楼板地面做硫酸钡水泥+轻钢龙骨+9.5mm石膏板+抗菌涂料，墙面95红砖+硫酸钡水泥+抗菌涂料，地面采用防静电、抗菌、防火、耐腐蚀、防滑、耐磨且厚度2mm的医用PVC卷材，3mm厚PVC专用地面超强自流平基层;  </w:t>
      </w:r>
    </w:p>
    <w:p>
      <w:pPr>
        <w:adjustRightInd w:val="0"/>
        <w:snapToGrid w:val="0"/>
        <w:spacing w:line="360" w:lineRule="auto"/>
        <w:ind w:left="199" w:leftChars="95" w:firstLine="420" w:firstLineChars="200"/>
        <w:rPr>
          <w:color w:val="auto"/>
          <w:highlight w:val="none"/>
        </w:rPr>
      </w:pPr>
      <w:r>
        <w:rPr>
          <w:rFonts w:hint="eastAsia"/>
          <w:color w:val="auto"/>
          <w:highlight w:val="none"/>
        </w:rPr>
        <w:t>6.妇科住院楼体检中心放射科CT防辐射要求：墙面95红砖至楼板高度外刷20mm硫酸钡水泥，顶面在上一次楼地面铺硫酸钡水泥，地面相应当量钡水泥.，硫酸钡水泥配与普通水泥比为4:1.</w:t>
      </w:r>
    </w:p>
    <w:p>
      <w:pPr>
        <w:pStyle w:val="9"/>
        <w:spacing w:line="360" w:lineRule="auto"/>
        <w:ind w:firstLine="480" w:firstLineChars="200"/>
        <w:rPr>
          <w:rFonts w:ascii="宋体" w:hAnsi="宋体" w:cs="宋体"/>
          <w:color w:val="auto"/>
          <w:szCs w:val="21"/>
          <w:highlight w:val="none"/>
        </w:rPr>
      </w:pPr>
      <w:r>
        <w:rPr>
          <w:rFonts w:hint="eastAsia"/>
          <w:color w:val="auto"/>
          <w:highlight w:val="none"/>
        </w:rPr>
        <w:t xml:space="preserve">  7.</w:t>
      </w:r>
      <w:r>
        <w:rPr>
          <w:rFonts w:hint="eastAsia"/>
          <w:color w:val="auto"/>
          <w:sz w:val="21"/>
          <w:highlight w:val="none"/>
        </w:rPr>
        <w:t>防护区域内，装修项目（除DSA房间装饰装修外），均有中标单位负责</w:t>
      </w:r>
    </w:p>
    <w:p>
      <w:pPr>
        <w:pStyle w:val="9"/>
        <w:rPr>
          <w:color w:val="auto"/>
          <w:highlight w:val="none"/>
        </w:rPr>
      </w:pPr>
      <w:r>
        <w:rPr>
          <w:rFonts w:hint="eastAsia" w:ascii="宋体" w:hAnsi="宋体" w:cs="宋体"/>
          <w:color w:val="auto"/>
          <w:szCs w:val="21"/>
          <w:highlight w:val="none"/>
        </w:rPr>
        <w:t xml:space="preserve">    门、窗防护要求：</w:t>
      </w:r>
    </w:p>
    <w:p>
      <w:pPr>
        <w:numPr>
          <w:ilvl w:val="255"/>
          <w:numId w:val="0"/>
        </w:numPr>
        <w:spacing w:line="360" w:lineRule="auto"/>
        <w:ind w:left="400"/>
        <w:rPr>
          <w:rFonts w:ascii="宋体" w:hAnsi="宋体" w:cs="宋体"/>
          <w:color w:val="auto"/>
          <w:szCs w:val="21"/>
          <w:highlight w:val="none"/>
        </w:rPr>
      </w:pPr>
      <w:r>
        <w:rPr>
          <w:rFonts w:hint="eastAsia" w:ascii="宋体" w:hAnsi="宋体" w:cs="宋体"/>
          <w:bCs/>
          <w:color w:val="auto"/>
          <w:szCs w:val="21"/>
          <w:highlight w:val="none"/>
        </w:rPr>
        <w:t>①DSA手术室医用防护门</w:t>
      </w:r>
      <w:r>
        <w:rPr>
          <w:rFonts w:hint="eastAsia" w:ascii="宋体" w:hAnsi="宋体" w:cs="宋体"/>
          <w:color w:val="auto"/>
          <w:szCs w:val="21"/>
          <w:highlight w:val="none"/>
        </w:rPr>
        <w:t>、窗</w:t>
      </w:r>
      <w:r>
        <w:rPr>
          <w:rFonts w:hint="eastAsia" w:ascii="仿宋_GB2312" w:hAnsi="仿宋_GB2312" w:eastAsia="仿宋_GB2312" w:cs="仿宋_GB2312"/>
          <w:color w:val="auto"/>
          <w:sz w:val="28"/>
          <w:szCs w:val="28"/>
          <w:highlight w:val="none"/>
        </w:rPr>
        <w:t>：</w:t>
      </w:r>
      <w:r>
        <w:rPr>
          <w:rFonts w:hint="eastAsia" w:ascii="宋体" w:hAnsi="宋体" w:cs="宋体"/>
          <w:bCs/>
          <w:color w:val="auto"/>
          <w:szCs w:val="21"/>
          <w:highlight w:val="none"/>
        </w:rPr>
        <w:t>DSA手术室和CT机房的门</w:t>
      </w:r>
      <w:r>
        <w:rPr>
          <w:rFonts w:hint="eastAsia" w:ascii="宋体" w:hAnsi="宋体" w:cs="宋体"/>
          <w:color w:val="auto"/>
          <w:szCs w:val="21"/>
          <w:highlight w:val="none"/>
        </w:rPr>
        <w:t>、窗</w:t>
      </w:r>
      <w:r>
        <w:rPr>
          <w:rFonts w:hint="eastAsia" w:ascii="宋体" w:hAnsi="宋体" w:cs="宋体"/>
          <w:bCs/>
          <w:color w:val="auto"/>
          <w:szCs w:val="21"/>
          <w:highlight w:val="none"/>
        </w:rPr>
        <w:t>需满足≥4个铅当量屏蔽要求</w:t>
      </w:r>
    </w:p>
    <w:p>
      <w:pPr>
        <w:numPr>
          <w:ilvl w:val="255"/>
          <w:numId w:val="0"/>
        </w:numPr>
        <w:spacing w:line="360" w:lineRule="auto"/>
        <w:ind w:left="400"/>
        <w:rPr>
          <w:rFonts w:ascii="宋体" w:hAnsi="宋体" w:cs="宋体"/>
          <w:color w:val="auto"/>
          <w:szCs w:val="21"/>
          <w:highlight w:val="none"/>
        </w:rPr>
      </w:pPr>
      <w:r>
        <w:rPr>
          <w:rFonts w:hint="eastAsia" w:ascii="宋体" w:hAnsi="宋体" w:cs="宋体"/>
          <w:bCs/>
          <w:color w:val="auto"/>
          <w:szCs w:val="21"/>
          <w:highlight w:val="none"/>
        </w:rPr>
        <w:t>②其他</w:t>
      </w:r>
      <w:r>
        <w:rPr>
          <w:rFonts w:hint="eastAsia" w:ascii="宋体" w:hAnsi="宋体" w:cs="宋体"/>
          <w:color w:val="auto"/>
          <w:szCs w:val="21"/>
          <w:highlight w:val="none"/>
        </w:rPr>
        <w:t>医用自动门、窗：</w:t>
      </w:r>
      <w:r>
        <w:rPr>
          <w:rFonts w:hint="eastAsia" w:ascii="宋体" w:hAnsi="宋体" w:cs="宋体"/>
          <w:bCs/>
          <w:color w:val="auto"/>
          <w:szCs w:val="21"/>
          <w:highlight w:val="none"/>
        </w:rPr>
        <w:t>DR、胃肠、乳腺、造影等机房的门</w:t>
      </w:r>
      <w:r>
        <w:rPr>
          <w:rFonts w:hint="eastAsia" w:ascii="宋体" w:hAnsi="宋体" w:cs="宋体"/>
          <w:color w:val="auto"/>
          <w:szCs w:val="21"/>
          <w:highlight w:val="none"/>
        </w:rPr>
        <w:t>、窗</w:t>
      </w:r>
      <w:r>
        <w:rPr>
          <w:rFonts w:hint="eastAsia" w:ascii="宋体" w:hAnsi="宋体" w:cs="宋体"/>
          <w:bCs/>
          <w:color w:val="auto"/>
          <w:szCs w:val="21"/>
          <w:highlight w:val="none"/>
        </w:rPr>
        <w:t>需满足≥3个铅当量的放射要求；</w:t>
      </w:r>
      <w:r>
        <w:rPr>
          <w:rFonts w:hint="eastAsia" w:ascii="宋体" w:hAnsi="宋体" w:cs="宋体"/>
          <w:color w:val="auto"/>
          <w:szCs w:val="21"/>
          <w:highlight w:val="none"/>
        </w:rPr>
        <w:t>手术室靠洁净走廊侧采用净通过尺寸不小于1400*2100的医用自动门，应具有光控、手控、脚控等多种开启方式，带延时关闭功能，停电时可手动开启，运行速度可作调校，手术室门盖上需有“手术中”指示灯，其中防辐射手术室门盖上应加设“放射中”指示灯。其他自动门尺寸及设置位置见发标图纸。</w:t>
      </w:r>
    </w:p>
    <w:p>
      <w:pPr>
        <w:spacing w:line="360" w:lineRule="auto"/>
        <w:ind w:left="420" w:leftChars="200"/>
        <w:rPr>
          <w:rFonts w:ascii="宋体" w:hAnsi="宋体" w:cs="宋体"/>
          <w:color w:val="auto"/>
          <w:szCs w:val="21"/>
          <w:highlight w:val="none"/>
        </w:rPr>
      </w:pPr>
      <w:r>
        <w:rPr>
          <w:rFonts w:hint="eastAsia" w:ascii="宋体" w:hAnsi="宋体" w:cs="宋体"/>
          <w:color w:val="auto"/>
          <w:szCs w:val="21"/>
          <w:highlight w:val="none"/>
        </w:rPr>
        <w:t>自动门门机：</w:t>
      </w:r>
    </w:p>
    <w:p>
      <w:pPr>
        <w:numPr>
          <w:ilvl w:val="0"/>
          <w:numId w:val="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开门可调停留时间；</w:t>
      </w:r>
    </w:p>
    <w:p>
      <w:pPr>
        <w:numPr>
          <w:ilvl w:val="0"/>
          <w:numId w:val="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安全性能：遇阻反弹力可调；</w:t>
      </w:r>
    </w:p>
    <w:p>
      <w:pPr>
        <w:numPr>
          <w:ilvl w:val="0"/>
          <w:numId w:val="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可承受最大门重：2×120KG；</w:t>
      </w:r>
    </w:p>
    <w:p>
      <w:pPr>
        <w:numPr>
          <w:ilvl w:val="0"/>
          <w:numId w:val="5"/>
        </w:numPr>
        <w:spacing w:line="360" w:lineRule="auto"/>
        <w:ind w:left="0" w:firstLine="403"/>
        <w:rPr>
          <w:rFonts w:ascii="宋体" w:hAnsi="宋体" w:cs="宋体"/>
          <w:color w:val="auto"/>
          <w:szCs w:val="21"/>
          <w:highlight w:val="none"/>
        </w:rPr>
      </w:pPr>
      <w:r>
        <w:rPr>
          <w:rFonts w:hint="eastAsia" w:ascii="宋体" w:hAnsi="宋体" w:cs="宋体"/>
          <w:color w:val="auto"/>
          <w:szCs w:val="21"/>
          <w:highlight w:val="none"/>
        </w:rPr>
        <w:t>有消防联动功能接口；</w:t>
      </w:r>
    </w:p>
    <w:p>
      <w:pPr>
        <w:pStyle w:val="9"/>
        <w:numPr>
          <w:ilvl w:val="0"/>
          <w:numId w:val="5"/>
        </w:numPr>
        <w:ind w:left="0" w:firstLine="403"/>
        <w:rPr>
          <w:rFonts w:ascii="宋体" w:hAnsi="宋体" w:cs="宋体"/>
          <w:color w:val="auto"/>
          <w:szCs w:val="21"/>
          <w:highlight w:val="none"/>
        </w:rPr>
      </w:pPr>
      <w:r>
        <w:rPr>
          <w:rFonts w:hint="eastAsia" w:ascii="宋体" w:hAnsi="宋体" w:cs="宋体"/>
          <w:color w:val="auto"/>
          <w:szCs w:val="21"/>
          <w:highlight w:val="none"/>
        </w:rPr>
        <w:t xml:space="preserve">可外接门禁； </w:t>
      </w:r>
    </w:p>
    <w:p>
      <w:pPr>
        <w:rPr>
          <w:color w:val="auto"/>
          <w:highlight w:val="none"/>
        </w:rPr>
      </w:pPr>
    </w:p>
    <w:p>
      <w:pPr>
        <w:pStyle w:val="3"/>
        <w:numPr>
          <w:ilvl w:val="0"/>
          <w:numId w:val="6"/>
        </w:numPr>
        <w:rPr>
          <w:rFonts w:ascii="Calibri" w:hAnsi="Calibri"/>
          <w:color w:val="auto"/>
          <w:sz w:val="21"/>
          <w:szCs w:val="24"/>
          <w:highlight w:val="none"/>
        </w:rPr>
      </w:pPr>
      <w:r>
        <w:rPr>
          <w:rFonts w:hint="eastAsia" w:ascii="Calibri" w:hAnsi="Calibri"/>
          <w:color w:val="auto"/>
          <w:sz w:val="21"/>
          <w:szCs w:val="24"/>
          <w:highlight w:val="none"/>
        </w:rPr>
        <w:t>磁屏蔽工程技术要求：（门诊医技楼-一层放射科MRI：用于我院在用西门子1.5T Avanto，并出具第三方屏蔽性能检测报告）</w:t>
      </w:r>
    </w:p>
    <w:p>
      <w:pPr>
        <w:pStyle w:val="4"/>
        <w:ind w:firstLine="422"/>
        <w:rPr>
          <w:rFonts w:ascii="Calibri" w:hAnsi="Calibri"/>
          <w:color w:val="auto"/>
          <w:szCs w:val="24"/>
          <w:highlight w:val="none"/>
        </w:rPr>
      </w:pPr>
      <w:r>
        <w:rPr>
          <w:rFonts w:hint="eastAsia" w:ascii="Calibri" w:hAnsi="Calibri"/>
          <w:color w:val="auto"/>
          <w:szCs w:val="24"/>
          <w:highlight w:val="none"/>
        </w:rPr>
        <w:t>（1）</w:t>
      </w:r>
      <w:bookmarkStart w:id="445" w:name="_Toc7452"/>
      <w:r>
        <w:rPr>
          <w:rFonts w:hint="eastAsia" w:ascii="Calibri" w:hAnsi="Calibri"/>
          <w:color w:val="auto"/>
          <w:szCs w:val="24"/>
          <w:highlight w:val="none"/>
        </w:rPr>
        <w:t>墙面屏蔽层施工方法</w:t>
      </w:r>
      <w:bookmarkEnd w:id="445"/>
    </w:p>
    <w:p>
      <w:pPr>
        <w:pStyle w:val="4"/>
        <w:ind w:firstLine="422"/>
        <w:rPr>
          <w:rFonts w:ascii="Calibri" w:hAnsi="Calibri"/>
          <w:color w:val="auto"/>
          <w:szCs w:val="24"/>
          <w:highlight w:val="none"/>
        </w:rPr>
      </w:pPr>
      <w:r>
        <w:rPr>
          <w:rFonts w:hint="eastAsia" w:ascii="Calibri" w:hAnsi="Calibri"/>
          <w:color w:val="auto"/>
          <w:szCs w:val="24"/>
          <w:highlight w:val="none"/>
        </w:rPr>
        <w:t>西门子1.5T Avanto射频屏蔽采用相应屏蔽的电解铜箔，按房间尺寸排模，在车间将每块板四周折弯成直角并在折弯处冲孔制成模块。在施工现场用无磁螺栓将屏蔽模块连接安装，缝隙填充铜丝网。屏蔽体与墙体采用PVC绝缘连接件或木方固定。之后再做第二层木龙骨，面层安装木质吸音板，并填充隔音棉。</w:t>
      </w:r>
    </w:p>
    <w:p>
      <w:pPr>
        <w:spacing w:line="360" w:lineRule="auto"/>
        <w:ind w:firstLine="420" w:firstLineChars="200"/>
        <w:rPr>
          <w:rFonts w:ascii="Calibri" w:hAnsi="Calibri"/>
          <w:color w:val="auto"/>
          <w:highlight w:val="none"/>
          <w:lang w:val="zh-CN"/>
        </w:rPr>
      </w:pPr>
    </w:p>
    <w:p>
      <w:pPr>
        <w:pStyle w:val="4"/>
        <w:ind w:firstLine="422"/>
        <w:rPr>
          <w:rFonts w:ascii="Calibri" w:hAnsi="Calibri"/>
          <w:color w:val="auto"/>
          <w:szCs w:val="24"/>
          <w:highlight w:val="none"/>
        </w:rPr>
      </w:pPr>
      <w:bookmarkStart w:id="446" w:name="_Toc16528"/>
      <w:r>
        <w:rPr>
          <w:rFonts w:hint="eastAsia" w:ascii="Calibri" w:hAnsi="Calibri"/>
          <w:color w:val="auto"/>
          <w:szCs w:val="24"/>
          <w:highlight w:val="none"/>
        </w:rPr>
        <w:t>（2）顶面屏蔽层施工方法</w:t>
      </w:r>
      <w:bookmarkEnd w:id="446"/>
    </w:p>
    <w:p>
      <w:pPr>
        <w:widowControl/>
        <w:spacing w:line="440" w:lineRule="exact"/>
        <w:ind w:firstLine="420" w:firstLineChars="200"/>
        <w:rPr>
          <w:rFonts w:ascii="Calibri" w:hAnsi="Calibri"/>
          <w:color w:val="auto"/>
          <w:highlight w:val="none"/>
        </w:rPr>
      </w:pPr>
      <w:r>
        <w:rPr>
          <w:rFonts w:hint="eastAsia" w:ascii="Calibri" w:hAnsi="Calibri"/>
          <w:color w:val="auto"/>
          <w:highlight w:val="none"/>
        </w:rPr>
        <w:t xml:space="preserve"> 射频屏蔽采用相应屏蔽的电解铜箔，按房间尺寸排模，在车间将每块板四周折弯成直角并在折弯处冲孔制成模块。屏蔽顶面采用通丝吊杆固定，并用PVC绝缘连接件或木方做连接以起到绝缘效果。之后再做抗氧化铝合金龙骨架，安装铝合金微孔吊顶板。装饰龙骨架与屏蔽体用木方连接固定，不可穿过屏蔽板。</w:t>
      </w:r>
    </w:p>
    <w:p>
      <w:pPr>
        <w:spacing w:line="360" w:lineRule="auto"/>
        <w:rPr>
          <w:rFonts w:ascii="Calibri" w:hAnsi="Calibri"/>
          <w:color w:val="auto"/>
          <w:highlight w:val="none"/>
        </w:rPr>
      </w:pPr>
    </w:p>
    <w:p>
      <w:pPr>
        <w:pStyle w:val="4"/>
        <w:ind w:firstLine="422"/>
        <w:rPr>
          <w:rFonts w:ascii="Calibri" w:hAnsi="Calibri"/>
          <w:color w:val="auto"/>
          <w:szCs w:val="24"/>
          <w:highlight w:val="none"/>
        </w:rPr>
      </w:pPr>
      <w:bookmarkStart w:id="447" w:name="_Toc22265"/>
      <w:r>
        <w:rPr>
          <w:rFonts w:hint="eastAsia" w:ascii="Calibri" w:hAnsi="Calibri"/>
          <w:color w:val="auto"/>
          <w:szCs w:val="24"/>
          <w:highlight w:val="none"/>
        </w:rPr>
        <w:t>（3）地面屏蔽层施工方法</w:t>
      </w:r>
      <w:bookmarkEnd w:id="447"/>
    </w:p>
    <w:p>
      <w:pPr>
        <w:widowControl/>
        <w:spacing w:line="440" w:lineRule="exact"/>
        <w:ind w:firstLine="420" w:firstLineChars="200"/>
        <w:rPr>
          <w:rFonts w:ascii="Calibri" w:hAnsi="Calibri"/>
          <w:color w:val="auto"/>
          <w:highlight w:val="none"/>
        </w:rPr>
      </w:pPr>
      <w:r>
        <w:rPr>
          <w:rFonts w:hint="eastAsia" w:ascii="Calibri" w:hAnsi="Calibri"/>
          <w:color w:val="auto"/>
          <w:highlight w:val="none"/>
        </w:rPr>
        <w:t>射频屏蔽采用相应屏蔽的电解铜箔，按房间尺寸排模，在车间将每块板四周折弯成直角并在折弯处冲孔制成模块。先将绝缘板满铺于地面上，板缝用塑料胶带粘贴连接。再将屏蔽模块铺在绝缘板上，并用无磁螺栓将屏蔽模块连接安装，缝隙填充铜丝网。屏蔽模块安装完毕后做高密度板回填，并粘贴塑胶卷材地面。</w:t>
      </w:r>
    </w:p>
    <w:p>
      <w:pPr>
        <w:pStyle w:val="3"/>
        <w:rPr>
          <w:rFonts w:ascii="Calibri" w:hAnsi="Calibri"/>
          <w:b w:val="0"/>
          <w:bCs w:val="0"/>
          <w:color w:val="auto"/>
          <w:sz w:val="21"/>
          <w:szCs w:val="24"/>
          <w:highlight w:val="none"/>
        </w:rPr>
      </w:pPr>
      <w:bookmarkStart w:id="448" w:name="_Toc414694265"/>
      <w:bookmarkStart w:id="449" w:name="_Toc416186331"/>
      <w:r>
        <w:rPr>
          <w:rFonts w:hint="eastAsia" w:ascii="Calibri" w:hAnsi="Calibri"/>
          <w:b w:val="0"/>
          <w:bCs w:val="0"/>
          <w:color w:val="auto"/>
          <w:sz w:val="21"/>
          <w:szCs w:val="24"/>
          <w:highlight w:val="none"/>
        </w:rPr>
        <w:t>(4)装饰装修施工做法</w:t>
      </w:r>
      <w:bookmarkEnd w:id="448"/>
      <w:bookmarkEnd w:id="449"/>
    </w:p>
    <w:p>
      <w:pPr>
        <w:pStyle w:val="4"/>
        <w:ind w:firstLine="422"/>
        <w:rPr>
          <w:rFonts w:ascii="宋体" w:hAnsi="宋体"/>
          <w:color w:val="auto"/>
          <w:szCs w:val="28"/>
          <w:highlight w:val="none"/>
        </w:rPr>
      </w:pPr>
      <w:bookmarkStart w:id="450" w:name="_Toc416186332"/>
      <w:r>
        <w:rPr>
          <w:rFonts w:hint="eastAsia" w:ascii="宋体" w:hAnsi="宋体"/>
          <w:color w:val="auto"/>
          <w:szCs w:val="28"/>
          <w:highlight w:val="none"/>
        </w:rPr>
        <w:t>木质吸音板墙面施工工艺</w:t>
      </w:r>
      <w:bookmarkEnd w:id="450"/>
    </w:p>
    <w:p>
      <w:pPr>
        <w:spacing w:line="360" w:lineRule="auto"/>
        <w:ind w:firstLine="420" w:firstLineChars="200"/>
        <w:rPr>
          <w:rFonts w:ascii="宋体" w:hAnsi="宋体"/>
          <w:color w:val="auto"/>
          <w:highlight w:val="none"/>
        </w:rPr>
      </w:pPr>
      <w:r>
        <w:rPr>
          <w:rFonts w:hint="eastAsia" w:ascii="宋体" w:hAnsi="宋体"/>
          <w:color w:val="auto"/>
          <w:highlight w:val="none"/>
        </w:rPr>
        <w:t>1、无磁EO级木质吸音板安装方法及原则要求</w:t>
      </w:r>
    </w:p>
    <w:p>
      <w:pPr>
        <w:spacing w:line="360" w:lineRule="auto"/>
        <w:ind w:firstLine="420" w:firstLineChars="200"/>
        <w:rPr>
          <w:rFonts w:ascii="宋体" w:hAnsi="宋体"/>
          <w:color w:val="auto"/>
          <w:highlight w:val="none"/>
        </w:rPr>
      </w:pPr>
      <w:r>
        <w:rPr>
          <w:rFonts w:hint="eastAsia" w:ascii="宋体" w:hAnsi="宋体"/>
          <w:color w:val="auto"/>
          <w:highlight w:val="none"/>
        </w:rPr>
        <w:t>木质吸音板的加工为了减少在现场的二次加工工序，防止表面拉毛和浪费，为施工提供方便，应量好尺寸，按照实际需要的规格加工，一次成形。</w:t>
      </w:r>
    </w:p>
    <w:p>
      <w:pPr>
        <w:spacing w:line="360" w:lineRule="auto"/>
        <w:ind w:firstLine="420" w:firstLineChars="200"/>
        <w:rPr>
          <w:rFonts w:ascii="宋体" w:hAnsi="宋体"/>
          <w:color w:val="auto"/>
          <w:highlight w:val="none"/>
        </w:rPr>
      </w:pPr>
      <w:r>
        <w:rPr>
          <w:rFonts w:hint="eastAsia" w:ascii="宋体" w:hAnsi="宋体"/>
          <w:color w:val="auto"/>
          <w:highlight w:val="none"/>
        </w:rPr>
        <w:t>木质吸音板运输和保管。木质吸音板出厂应采取保护措施，采用妥善包装双面贴膜，这样在运输搬动过程中可以确保其面层不受损坏，运输中要防止下雨和捆扎不结实，木质吸音板存放场地必须平整、坚实、堆放高度不得超过1.5m，下部用木条或泡沫板辅垫，垫木间距离不大于1.5m。</w:t>
      </w:r>
    </w:p>
    <w:p>
      <w:pPr>
        <w:spacing w:line="360" w:lineRule="auto"/>
        <w:ind w:firstLine="420" w:firstLineChars="200"/>
        <w:rPr>
          <w:rFonts w:ascii="宋体" w:hAnsi="宋体"/>
          <w:color w:val="auto"/>
          <w:highlight w:val="none"/>
        </w:rPr>
      </w:pPr>
      <w:r>
        <w:rPr>
          <w:rFonts w:hint="eastAsia" w:ascii="宋体" w:hAnsi="宋体"/>
          <w:color w:val="auto"/>
          <w:highlight w:val="none"/>
        </w:rPr>
        <w:t>木质吸音板的安装，应在建筑结构工程完成后，须保证室内空间清洁、无积尘。在安装过程中对板面和沟槽及零件以及施工场地随时清扫、擦试干净。</w:t>
      </w:r>
    </w:p>
    <w:p>
      <w:pPr>
        <w:spacing w:line="360" w:lineRule="auto"/>
        <w:ind w:firstLine="420" w:firstLineChars="200"/>
        <w:rPr>
          <w:rFonts w:ascii="宋体" w:hAnsi="宋体"/>
          <w:color w:val="auto"/>
          <w:highlight w:val="none"/>
        </w:rPr>
      </w:pPr>
      <w:r>
        <w:rPr>
          <w:rFonts w:hint="eastAsia" w:ascii="宋体" w:hAnsi="宋体"/>
          <w:color w:val="auto"/>
          <w:highlight w:val="none"/>
        </w:rPr>
        <w:t>在安装时，应首先进行吊挂、锚固件等立体结构和楼、地面的联结件固定，施工中产生的垃圾要及时清场。</w:t>
      </w:r>
    </w:p>
    <w:p>
      <w:pPr>
        <w:spacing w:line="360" w:lineRule="auto"/>
        <w:ind w:firstLine="420" w:firstLineChars="200"/>
        <w:rPr>
          <w:rFonts w:ascii="宋体" w:hAnsi="宋体"/>
          <w:color w:val="auto"/>
          <w:highlight w:val="none"/>
        </w:rPr>
      </w:pPr>
      <w:r>
        <w:rPr>
          <w:rFonts w:hint="eastAsia" w:ascii="宋体" w:hAnsi="宋体"/>
          <w:color w:val="auto"/>
          <w:highlight w:val="none"/>
        </w:rPr>
        <w:t>地面面层必须平整，在作涂料面层时，应考虑与垂直壁板交接处的密封。</w:t>
      </w:r>
    </w:p>
    <w:p>
      <w:pPr>
        <w:spacing w:line="360" w:lineRule="auto"/>
        <w:ind w:firstLine="420" w:firstLineChars="200"/>
        <w:rPr>
          <w:rFonts w:ascii="宋体" w:hAnsi="宋体"/>
          <w:color w:val="auto"/>
          <w:highlight w:val="none"/>
        </w:rPr>
      </w:pPr>
      <w:r>
        <w:rPr>
          <w:rFonts w:hint="eastAsia" w:ascii="宋体" w:hAnsi="宋体"/>
          <w:color w:val="auto"/>
          <w:highlight w:val="none"/>
        </w:rPr>
        <w:t>隔断安装前，必须严格放线尺寸，墙角应垂直交接，防止累积误差造成壁板斜扭曲。</w:t>
      </w:r>
    </w:p>
    <w:p>
      <w:pPr>
        <w:spacing w:line="360" w:lineRule="auto"/>
        <w:ind w:firstLine="420" w:firstLineChars="200"/>
        <w:rPr>
          <w:rFonts w:ascii="宋体" w:hAnsi="宋体"/>
          <w:color w:val="auto"/>
          <w:highlight w:val="none"/>
        </w:rPr>
      </w:pPr>
      <w:r>
        <w:rPr>
          <w:rFonts w:hint="eastAsia" w:ascii="宋体" w:hAnsi="宋体"/>
          <w:color w:val="auto"/>
          <w:highlight w:val="none"/>
        </w:rPr>
        <w:t>吊顶应按房间宽度方向后拱，使吊顶在受载荷后的使用过程中保持平整。吊顶周边应与墙体交接紧密，应采用专用铝槽或角铁来作固定。</w:t>
      </w:r>
    </w:p>
    <w:p>
      <w:pPr>
        <w:spacing w:line="360" w:lineRule="auto"/>
        <w:ind w:firstLine="420" w:firstLineChars="200"/>
        <w:rPr>
          <w:rFonts w:ascii="宋体" w:hAnsi="宋体"/>
          <w:color w:val="auto"/>
          <w:highlight w:val="none"/>
        </w:rPr>
      </w:pPr>
      <w:r>
        <w:rPr>
          <w:rFonts w:hint="eastAsia" w:ascii="宋体" w:hAnsi="宋体"/>
          <w:color w:val="auto"/>
          <w:highlight w:val="none"/>
        </w:rPr>
        <w:t>安装过程中不得撕下壁板表面塑料保护膜，禁止撞击和踩踏板面。</w:t>
      </w:r>
    </w:p>
    <w:p>
      <w:pPr>
        <w:spacing w:line="360" w:lineRule="auto"/>
        <w:ind w:firstLine="420" w:firstLineChars="200"/>
        <w:rPr>
          <w:rFonts w:ascii="宋体" w:hAnsi="宋体"/>
          <w:color w:val="auto"/>
          <w:highlight w:val="none"/>
        </w:rPr>
      </w:pPr>
      <w:r>
        <w:rPr>
          <w:rFonts w:hint="eastAsia" w:ascii="宋体" w:hAnsi="宋体"/>
          <w:color w:val="auto"/>
          <w:highlight w:val="none"/>
        </w:rPr>
        <w:t>各种构配件和材料应放在有围护结构的清洁、干燥的环境中，平整地放在薄膜上。</w:t>
      </w:r>
    </w:p>
    <w:p>
      <w:pPr>
        <w:spacing w:line="360" w:lineRule="auto"/>
        <w:ind w:firstLine="420" w:firstLineChars="200"/>
        <w:rPr>
          <w:rFonts w:ascii="宋体" w:hAnsi="宋体"/>
          <w:color w:val="auto"/>
          <w:highlight w:val="none"/>
        </w:rPr>
      </w:pPr>
      <w:r>
        <w:rPr>
          <w:rFonts w:hint="eastAsia" w:ascii="宋体" w:hAnsi="宋体"/>
          <w:color w:val="auto"/>
          <w:highlight w:val="none"/>
        </w:rPr>
        <w:t>设备和构配件的开启应在清洁的环境中进行，应严格检查其规格、性能和完好程度，不合格或已损坏的构配件严禁使用，并及时通知采购员、项目经理。</w:t>
      </w:r>
    </w:p>
    <w:p>
      <w:pPr>
        <w:spacing w:line="360" w:lineRule="auto"/>
        <w:ind w:firstLine="420" w:firstLineChars="200"/>
        <w:rPr>
          <w:rFonts w:ascii="宋体" w:hAnsi="宋体"/>
          <w:color w:val="auto"/>
          <w:highlight w:val="none"/>
        </w:rPr>
      </w:pPr>
      <w:r>
        <w:rPr>
          <w:rFonts w:hint="eastAsia" w:ascii="宋体" w:hAnsi="宋体"/>
          <w:color w:val="auto"/>
          <w:highlight w:val="none"/>
        </w:rPr>
        <w:t>需要粘贴面层的材料、嵌封密封胶的表面和沟槽，必须严格清扫、清洗、除去杂质和油污，确保粘贴密实，防止脱落和积灰。</w:t>
      </w:r>
    </w:p>
    <w:p>
      <w:pPr>
        <w:spacing w:line="360" w:lineRule="auto"/>
        <w:ind w:firstLine="420" w:firstLineChars="200"/>
        <w:rPr>
          <w:rFonts w:ascii="宋体" w:hAnsi="宋体"/>
          <w:color w:val="auto"/>
          <w:highlight w:val="none"/>
        </w:rPr>
      </w:pPr>
      <w:r>
        <w:rPr>
          <w:rFonts w:hint="eastAsia" w:ascii="宋体" w:hAnsi="宋体"/>
          <w:color w:val="auto"/>
          <w:highlight w:val="none"/>
        </w:rPr>
        <w:t>板与板的接合缝隙、板与构配件的安装缝隙，必须全部用密封胶密封好。</w:t>
      </w:r>
    </w:p>
    <w:p>
      <w:pPr>
        <w:spacing w:line="360" w:lineRule="auto"/>
        <w:ind w:firstLine="420" w:firstLineChars="200"/>
        <w:rPr>
          <w:rFonts w:ascii="宋体" w:hAnsi="宋体"/>
          <w:color w:val="auto"/>
          <w:highlight w:val="none"/>
        </w:rPr>
      </w:pPr>
      <w:r>
        <w:rPr>
          <w:rFonts w:hint="eastAsia" w:ascii="宋体" w:hAnsi="宋体"/>
          <w:color w:val="auto"/>
          <w:highlight w:val="none"/>
        </w:rPr>
        <w:t>墙面与顶板相接形成的各个夹角要用阴（阳）角铝镶嵌，隔断与地面相交的夹角处应预加固。</w:t>
      </w:r>
    </w:p>
    <w:p>
      <w:pPr>
        <w:spacing w:line="360" w:lineRule="auto"/>
        <w:ind w:firstLine="420" w:firstLineChars="200"/>
        <w:rPr>
          <w:rFonts w:ascii="宋体" w:hAnsi="宋体"/>
          <w:color w:val="auto"/>
          <w:highlight w:val="none"/>
        </w:rPr>
      </w:pPr>
      <w:r>
        <w:rPr>
          <w:rFonts w:hint="eastAsia" w:ascii="宋体" w:hAnsi="宋体"/>
          <w:color w:val="auto"/>
          <w:highlight w:val="none"/>
        </w:rPr>
        <w:t>施工过程中必须层层把关严格检查，每一道密封工序都必须有记录。</w:t>
      </w:r>
    </w:p>
    <w:p>
      <w:pPr>
        <w:spacing w:line="360" w:lineRule="auto"/>
        <w:ind w:firstLine="420" w:firstLineChars="200"/>
        <w:rPr>
          <w:rFonts w:ascii="宋体" w:hAnsi="宋体"/>
          <w:color w:val="auto"/>
          <w:highlight w:val="none"/>
        </w:rPr>
      </w:pPr>
      <w:r>
        <w:rPr>
          <w:rFonts w:hint="eastAsia" w:ascii="宋体" w:hAnsi="宋体"/>
          <w:color w:val="auto"/>
          <w:highlight w:val="none"/>
        </w:rPr>
        <w:t>2、墙面木质吸音板装饰做法</w:t>
      </w:r>
    </w:p>
    <w:p>
      <w:pPr>
        <w:spacing w:line="360" w:lineRule="auto"/>
        <w:ind w:firstLine="420" w:firstLineChars="200"/>
        <w:rPr>
          <w:rFonts w:ascii="宋体" w:hAnsi="宋体"/>
          <w:color w:val="auto"/>
          <w:highlight w:val="none"/>
        </w:rPr>
      </w:pPr>
      <w:r>
        <w:rPr>
          <w:rFonts w:hint="eastAsia" w:ascii="宋体" w:hAnsi="宋体"/>
          <w:color w:val="auto"/>
          <w:highlight w:val="none"/>
        </w:rPr>
        <w:t>（1）工艺流程：放线—龙骨定位—龙骨安装—安装木质吸音板—处理板面接缝</w:t>
      </w:r>
    </w:p>
    <w:p>
      <w:pPr>
        <w:spacing w:line="360" w:lineRule="auto"/>
        <w:ind w:firstLine="420" w:firstLineChars="200"/>
        <w:rPr>
          <w:rFonts w:ascii="宋体" w:hAnsi="宋体"/>
          <w:color w:val="auto"/>
          <w:highlight w:val="none"/>
        </w:rPr>
      </w:pPr>
      <w:r>
        <w:rPr>
          <w:rFonts w:hint="eastAsia" w:ascii="宋体" w:hAnsi="宋体"/>
          <w:color w:val="auto"/>
          <w:highlight w:val="none"/>
        </w:rPr>
        <w:t>（2）操作要点</w:t>
      </w:r>
    </w:p>
    <w:p>
      <w:pPr>
        <w:spacing w:line="360" w:lineRule="auto"/>
        <w:ind w:firstLine="420" w:firstLineChars="200"/>
        <w:rPr>
          <w:rFonts w:ascii="宋体" w:hAnsi="宋体"/>
          <w:color w:val="auto"/>
          <w:highlight w:val="none"/>
        </w:rPr>
      </w:pPr>
      <w:r>
        <w:rPr>
          <w:rFonts w:hint="eastAsia" w:ascii="宋体" w:hAnsi="宋体"/>
          <w:color w:val="auto"/>
          <w:highlight w:val="none"/>
        </w:rPr>
        <w:t>1）施工前，先将原墙面灰尘扫尽，在墙面弹出水平线。</w:t>
      </w:r>
    </w:p>
    <w:p>
      <w:pPr>
        <w:spacing w:line="360" w:lineRule="auto"/>
        <w:ind w:firstLine="420" w:firstLineChars="200"/>
        <w:rPr>
          <w:rFonts w:ascii="宋体" w:hAnsi="宋体"/>
          <w:color w:val="auto"/>
          <w:highlight w:val="none"/>
        </w:rPr>
      </w:pPr>
      <w:r>
        <w:rPr>
          <w:rFonts w:hint="eastAsia" w:ascii="宋体" w:hAnsi="宋体"/>
          <w:color w:val="auto"/>
          <w:highlight w:val="none"/>
        </w:rPr>
        <w:t>2）根据设计图纸确定木质吸音板铺设方向和先后顺序，在墙面进行龙骨定位、分格弹线。</w:t>
      </w:r>
    </w:p>
    <w:p>
      <w:pPr>
        <w:spacing w:line="360" w:lineRule="auto"/>
        <w:ind w:firstLine="420" w:firstLineChars="200"/>
        <w:rPr>
          <w:rFonts w:ascii="宋体" w:hAnsi="宋体"/>
          <w:color w:val="auto"/>
          <w:highlight w:val="none"/>
        </w:rPr>
      </w:pPr>
      <w:r>
        <w:rPr>
          <w:rFonts w:hint="eastAsia" w:ascii="宋体" w:hAnsi="宋体"/>
          <w:color w:val="auto"/>
          <w:highlight w:val="none"/>
        </w:rPr>
        <w:t>3）龙骨安装</w:t>
      </w:r>
    </w:p>
    <w:p>
      <w:pPr>
        <w:spacing w:line="360" w:lineRule="auto"/>
        <w:ind w:firstLine="420" w:firstLineChars="200"/>
        <w:rPr>
          <w:rFonts w:ascii="宋体" w:hAnsi="宋体"/>
          <w:color w:val="auto"/>
          <w:highlight w:val="none"/>
        </w:rPr>
      </w:pPr>
      <w:r>
        <w:rPr>
          <w:rFonts w:hint="eastAsia" w:ascii="宋体" w:hAnsi="宋体"/>
          <w:color w:val="auto"/>
          <w:highlight w:val="none"/>
        </w:rPr>
        <w:t>①龙骨固定件与墙体连接必须牢固，固定件的排布及间距应满足相关技术手册的要求。</w:t>
      </w:r>
    </w:p>
    <w:p>
      <w:pPr>
        <w:spacing w:line="360" w:lineRule="auto"/>
        <w:ind w:firstLine="420" w:firstLineChars="200"/>
        <w:rPr>
          <w:rFonts w:ascii="宋体" w:hAnsi="宋体"/>
          <w:color w:val="auto"/>
          <w:highlight w:val="none"/>
        </w:rPr>
      </w:pPr>
      <w:r>
        <w:rPr>
          <w:rFonts w:hint="eastAsia" w:ascii="宋体" w:hAnsi="宋体"/>
          <w:color w:val="auto"/>
          <w:highlight w:val="none"/>
        </w:rPr>
        <w:t>②固定龙骨，龙骨与固定件的连接必须牢固可靠。</w:t>
      </w:r>
    </w:p>
    <w:p>
      <w:pPr>
        <w:spacing w:line="360" w:lineRule="auto"/>
        <w:ind w:firstLine="420" w:firstLineChars="200"/>
        <w:rPr>
          <w:rFonts w:ascii="宋体" w:hAnsi="宋体"/>
          <w:color w:val="auto"/>
          <w:highlight w:val="none"/>
        </w:rPr>
      </w:pPr>
      <w:r>
        <w:rPr>
          <w:rFonts w:hint="eastAsia" w:ascii="宋体" w:hAnsi="宋体"/>
          <w:color w:val="auto"/>
          <w:highlight w:val="none"/>
        </w:rPr>
        <w:t>③使用2m的直尺检查龙骨得垂直度，垂直度的偏差应不大于直尺2mm；使用2m的靠尺和塞尺检查龙骨骨架的平整度，平整度的偏差应不大于3mm。</w:t>
      </w:r>
    </w:p>
    <w:p>
      <w:pPr>
        <w:spacing w:line="360" w:lineRule="auto"/>
        <w:ind w:firstLine="420" w:firstLineChars="200"/>
        <w:rPr>
          <w:rFonts w:ascii="宋体" w:hAnsi="宋体"/>
          <w:color w:val="auto"/>
          <w:highlight w:val="none"/>
        </w:rPr>
      </w:pPr>
      <w:r>
        <w:rPr>
          <w:rFonts w:hint="eastAsia" w:ascii="宋体" w:hAnsi="宋体"/>
          <w:color w:val="auto"/>
          <w:highlight w:val="none"/>
        </w:rPr>
        <w:t>4）木质吸音板的安装</w:t>
      </w:r>
    </w:p>
    <w:p>
      <w:pPr>
        <w:spacing w:line="360" w:lineRule="auto"/>
        <w:ind w:firstLine="420" w:firstLineChars="200"/>
        <w:rPr>
          <w:rFonts w:ascii="宋体" w:hAnsi="宋体"/>
          <w:color w:val="auto"/>
          <w:highlight w:val="none"/>
        </w:rPr>
      </w:pPr>
      <w:r>
        <w:rPr>
          <w:rFonts w:hint="eastAsia" w:ascii="宋体" w:hAnsi="宋体"/>
          <w:color w:val="auto"/>
          <w:highlight w:val="none"/>
        </w:rPr>
        <w:t>①在安装时，应首先进行吊挂、锚固件等立体结构和楼、地面的连接件固定，施工中产生的垃圾要及时清场。</w:t>
      </w:r>
    </w:p>
    <w:p>
      <w:pPr>
        <w:spacing w:line="360" w:lineRule="auto"/>
        <w:ind w:firstLine="420" w:firstLineChars="200"/>
        <w:rPr>
          <w:rFonts w:ascii="宋体" w:hAnsi="宋体"/>
          <w:color w:val="auto"/>
          <w:highlight w:val="none"/>
        </w:rPr>
      </w:pPr>
      <w:r>
        <w:rPr>
          <w:rFonts w:hint="eastAsia" w:ascii="宋体" w:hAnsi="宋体"/>
          <w:color w:val="auto"/>
          <w:highlight w:val="none"/>
        </w:rPr>
        <w:t>②地面面层必须平整，在做面层时，应考虑与垂直壁板交界处的密封。</w:t>
      </w:r>
    </w:p>
    <w:p>
      <w:pPr>
        <w:spacing w:line="360" w:lineRule="auto"/>
        <w:ind w:firstLine="420" w:firstLineChars="200"/>
        <w:rPr>
          <w:rFonts w:ascii="宋体" w:hAnsi="宋体"/>
          <w:color w:val="auto"/>
          <w:highlight w:val="none"/>
        </w:rPr>
      </w:pPr>
      <w:r>
        <w:rPr>
          <w:rFonts w:hint="eastAsia" w:ascii="宋体" w:hAnsi="宋体"/>
          <w:color w:val="auto"/>
          <w:highlight w:val="none"/>
        </w:rPr>
        <w:t>③木质吸音板安装前，必须严格放线尺寸，墙角应垂直交接，防止累计误差造成壁板歪斜扭曲。</w:t>
      </w:r>
    </w:p>
    <w:p>
      <w:pPr>
        <w:pStyle w:val="4"/>
        <w:ind w:firstLine="422"/>
        <w:rPr>
          <w:rFonts w:ascii="宋体" w:hAnsi="宋体"/>
          <w:color w:val="auto"/>
          <w:szCs w:val="28"/>
          <w:highlight w:val="none"/>
        </w:rPr>
      </w:pPr>
      <w:bookmarkStart w:id="451" w:name="_Toc416186334"/>
      <w:r>
        <w:rPr>
          <w:rFonts w:hint="eastAsia" w:ascii="宋体" w:hAnsi="宋体"/>
          <w:color w:val="auto"/>
          <w:szCs w:val="28"/>
          <w:highlight w:val="none"/>
        </w:rPr>
        <w:t>铝制微孔吸音板吊顶施工工艺</w:t>
      </w:r>
      <w:bookmarkEnd w:id="451"/>
    </w:p>
    <w:p>
      <w:pPr>
        <w:spacing w:line="360" w:lineRule="auto"/>
        <w:ind w:firstLine="420" w:firstLineChars="200"/>
        <w:rPr>
          <w:rFonts w:ascii="宋体" w:hAnsi="宋体"/>
          <w:color w:val="auto"/>
          <w:highlight w:val="none"/>
        </w:rPr>
      </w:pPr>
      <w:r>
        <w:rPr>
          <w:rFonts w:hint="eastAsia" w:ascii="宋体" w:hAnsi="宋体"/>
          <w:color w:val="auto"/>
          <w:highlight w:val="none"/>
        </w:rPr>
        <w:t>1、工艺流程</w:t>
      </w:r>
    </w:p>
    <w:p>
      <w:pPr>
        <w:spacing w:line="360" w:lineRule="auto"/>
        <w:ind w:firstLine="420" w:firstLineChars="200"/>
        <w:rPr>
          <w:rFonts w:ascii="宋体" w:hAnsi="宋体"/>
          <w:color w:val="auto"/>
          <w:highlight w:val="none"/>
        </w:rPr>
      </w:pPr>
      <w:r>
        <w:rPr>
          <w:rFonts w:hint="eastAsia" w:ascii="宋体" w:hAnsi="宋体"/>
          <w:color w:val="auto"/>
          <w:highlight w:val="none"/>
        </w:rPr>
        <w:t>弹标高线—打孔下胀栓—安装主龙骨吊杆—安装主龙骨—安装副龙骨—调平—安装铝制微孔吸引板—装饰面清理</w:t>
      </w:r>
    </w:p>
    <w:p>
      <w:pPr>
        <w:spacing w:line="360" w:lineRule="auto"/>
        <w:ind w:firstLine="420" w:firstLineChars="200"/>
        <w:rPr>
          <w:rFonts w:ascii="宋体" w:hAnsi="宋体"/>
          <w:color w:val="auto"/>
          <w:highlight w:val="none"/>
        </w:rPr>
      </w:pPr>
      <w:r>
        <w:rPr>
          <w:rFonts w:hint="eastAsia" w:ascii="宋体" w:hAnsi="宋体"/>
          <w:color w:val="auto"/>
          <w:highlight w:val="none"/>
        </w:rPr>
        <w:t>2、主要施工技术措施</w:t>
      </w:r>
    </w:p>
    <w:p>
      <w:pPr>
        <w:spacing w:line="360" w:lineRule="auto"/>
        <w:ind w:firstLine="420" w:firstLineChars="200"/>
        <w:rPr>
          <w:rFonts w:ascii="宋体" w:hAnsi="宋体"/>
          <w:color w:val="auto"/>
          <w:highlight w:val="none"/>
        </w:rPr>
      </w:pPr>
      <w:r>
        <w:rPr>
          <w:rFonts w:hint="eastAsia" w:ascii="宋体" w:hAnsi="宋体"/>
          <w:color w:val="auto"/>
          <w:highlight w:val="none"/>
        </w:rPr>
        <w:t>（1）弹线：根据设计标高，沿墙四周弹顶棚标高水平线，并沿水平标高线在墙四周画出龙骨分档位置线，其水平允许偏差±5mm。</w:t>
      </w:r>
    </w:p>
    <w:p>
      <w:pPr>
        <w:spacing w:line="360" w:lineRule="auto"/>
        <w:ind w:firstLine="420" w:firstLineChars="200"/>
        <w:rPr>
          <w:rFonts w:ascii="宋体" w:hAnsi="宋体"/>
          <w:color w:val="auto"/>
          <w:highlight w:val="none"/>
        </w:rPr>
      </w:pPr>
      <w:r>
        <w:rPr>
          <w:rFonts w:hint="eastAsia" w:ascii="宋体" w:hAnsi="宋体"/>
          <w:color w:val="auto"/>
          <w:highlight w:val="none"/>
        </w:rPr>
        <w:t>（2）打孔下张栓安装主龙骨吊杆，首先确定吊杆下端标高，安装吊杆，间距900—1200mm，吊点分部均匀。</w:t>
      </w:r>
    </w:p>
    <w:p>
      <w:pPr>
        <w:spacing w:line="360" w:lineRule="auto"/>
        <w:ind w:firstLine="420" w:firstLineChars="200"/>
        <w:rPr>
          <w:rFonts w:ascii="宋体" w:hAnsi="宋体"/>
          <w:color w:val="auto"/>
          <w:highlight w:val="none"/>
        </w:rPr>
      </w:pPr>
      <w:r>
        <w:rPr>
          <w:rFonts w:hint="eastAsia" w:ascii="宋体" w:hAnsi="宋体"/>
          <w:color w:val="auto"/>
          <w:highlight w:val="none"/>
        </w:rPr>
        <w:t>（3）安装主龙骨吊杆：主龙骨吊杆间距900-1200mm，主龙骨用配套的吊件安装，吊杆距主龙骨边缘不大于300mm。</w:t>
      </w:r>
    </w:p>
    <w:p>
      <w:pPr>
        <w:spacing w:line="360" w:lineRule="auto"/>
        <w:ind w:firstLine="420" w:firstLineChars="200"/>
        <w:rPr>
          <w:rFonts w:ascii="宋体" w:hAnsi="宋体"/>
          <w:color w:val="auto"/>
          <w:highlight w:val="none"/>
        </w:rPr>
      </w:pPr>
      <w:r>
        <w:rPr>
          <w:rFonts w:hint="eastAsia" w:ascii="宋体" w:hAnsi="宋体"/>
          <w:color w:val="auto"/>
          <w:highlight w:val="none"/>
        </w:rPr>
        <w:t>（4）安装主龙骨：主龙骨间距为600mm，主龙骨和吊杆之间用专用的吊件连接，安装后整体调平。</w:t>
      </w:r>
    </w:p>
    <w:p>
      <w:pPr>
        <w:spacing w:line="360" w:lineRule="auto"/>
        <w:ind w:firstLine="420" w:firstLineChars="200"/>
        <w:rPr>
          <w:rFonts w:ascii="宋体" w:hAnsi="宋体"/>
          <w:color w:val="auto"/>
          <w:highlight w:val="none"/>
        </w:rPr>
      </w:pPr>
      <w:r>
        <w:rPr>
          <w:rFonts w:hint="eastAsia" w:ascii="宋体" w:hAnsi="宋体"/>
          <w:color w:val="auto"/>
          <w:highlight w:val="none"/>
        </w:rPr>
        <w:t>（5）安装副龙骨：副龙骨安装在主龙骨上，安装完后，拉通线整体调平。中间起拱高度按短向距离的1/200起拱。</w:t>
      </w:r>
    </w:p>
    <w:p>
      <w:pPr>
        <w:spacing w:line="360" w:lineRule="auto"/>
        <w:ind w:firstLine="420" w:firstLineChars="200"/>
        <w:rPr>
          <w:rFonts w:ascii="宋体" w:hAnsi="宋体"/>
          <w:color w:val="auto"/>
          <w:highlight w:val="none"/>
        </w:rPr>
      </w:pPr>
      <w:r>
        <w:rPr>
          <w:rFonts w:hint="eastAsia" w:ascii="宋体" w:hAnsi="宋体"/>
          <w:color w:val="auto"/>
          <w:highlight w:val="none"/>
        </w:rPr>
        <w:t>（6）在验收合格的龙骨上安装硅钙板。</w:t>
      </w:r>
    </w:p>
    <w:p>
      <w:pPr>
        <w:spacing w:line="360" w:lineRule="auto"/>
        <w:ind w:firstLine="420" w:firstLineChars="200"/>
        <w:rPr>
          <w:rFonts w:ascii="宋体" w:hAnsi="宋体"/>
          <w:color w:val="auto"/>
          <w:highlight w:val="none"/>
        </w:rPr>
      </w:pPr>
      <w:r>
        <w:rPr>
          <w:rFonts w:hint="eastAsia" w:ascii="宋体" w:hAnsi="宋体"/>
          <w:color w:val="auto"/>
          <w:highlight w:val="none"/>
        </w:rPr>
        <w:t>（7）铝制微孔吸音板装饰层完成后进行饰面清理。</w:t>
      </w:r>
    </w:p>
    <w:p>
      <w:pPr>
        <w:spacing w:line="360" w:lineRule="auto"/>
        <w:ind w:firstLine="420" w:firstLineChars="200"/>
        <w:rPr>
          <w:rFonts w:ascii="宋体" w:hAnsi="宋体"/>
          <w:color w:val="auto"/>
          <w:highlight w:val="none"/>
        </w:rPr>
      </w:pPr>
      <w:r>
        <w:rPr>
          <w:rFonts w:hint="eastAsia" w:ascii="宋体" w:hAnsi="宋体"/>
          <w:color w:val="auto"/>
          <w:highlight w:val="none"/>
        </w:rPr>
        <w:t>3、质量要求</w:t>
      </w:r>
    </w:p>
    <w:p>
      <w:pPr>
        <w:spacing w:line="360" w:lineRule="auto"/>
        <w:ind w:firstLine="420" w:firstLineChars="200"/>
        <w:rPr>
          <w:rFonts w:ascii="宋体" w:hAnsi="宋体"/>
          <w:color w:val="auto"/>
          <w:highlight w:val="none"/>
        </w:rPr>
      </w:pPr>
      <w:r>
        <w:rPr>
          <w:rFonts w:hint="eastAsia" w:ascii="宋体" w:hAnsi="宋体"/>
          <w:color w:val="auto"/>
          <w:highlight w:val="none"/>
        </w:rPr>
        <w:t>表面平整、洁净、无污染、边缘整齐一致，无缺棱掉角，色泽一致，美观；龙骨顺直，接缝平直，收口条割向正确，无缝隙、无错台，所有连接件固定牢固，龙骨不松动，吊点分布合理，灯饰、探头等应整齐、无缝隙。允许偏差项目符合要求。</w:t>
      </w:r>
    </w:p>
    <w:p>
      <w:pPr>
        <w:pStyle w:val="4"/>
        <w:ind w:firstLine="422"/>
        <w:rPr>
          <w:rFonts w:ascii="宋体" w:hAnsi="宋体"/>
          <w:color w:val="auto"/>
          <w:szCs w:val="28"/>
          <w:highlight w:val="none"/>
        </w:rPr>
      </w:pPr>
      <w:bookmarkStart w:id="452" w:name="_Toc416186335"/>
      <w:r>
        <w:rPr>
          <w:rFonts w:hint="eastAsia" w:ascii="宋体" w:hAnsi="宋体"/>
          <w:color w:val="auto"/>
          <w:szCs w:val="28"/>
          <w:highlight w:val="none"/>
        </w:rPr>
        <w:t>地面装饰施工工艺</w:t>
      </w:r>
      <w:bookmarkEnd w:id="452"/>
    </w:p>
    <w:p>
      <w:pPr>
        <w:spacing w:line="360" w:lineRule="auto"/>
        <w:ind w:firstLine="420" w:firstLineChars="200"/>
        <w:rPr>
          <w:rFonts w:ascii="宋体" w:hAnsi="宋体"/>
          <w:color w:val="auto"/>
          <w:highlight w:val="none"/>
        </w:rPr>
      </w:pPr>
      <w:r>
        <w:rPr>
          <w:rFonts w:hint="eastAsia" w:ascii="宋体" w:hAnsi="宋体"/>
          <w:color w:val="auto"/>
          <w:highlight w:val="none"/>
        </w:rPr>
        <w:t>本工程采用橡胶地板地面装饰层。</w:t>
      </w:r>
    </w:p>
    <w:p>
      <w:pPr>
        <w:autoSpaceDE w:val="0"/>
        <w:autoSpaceDN w:val="0"/>
        <w:adjustRightInd w:val="0"/>
        <w:spacing w:line="360" w:lineRule="auto"/>
        <w:ind w:firstLine="420" w:firstLineChars="200"/>
        <w:rPr>
          <w:color w:val="auto"/>
          <w:highlight w:val="none"/>
        </w:rPr>
      </w:pPr>
      <w:r>
        <w:rPr>
          <w:rFonts w:hint="eastAsia" w:ascii="宋体" w:hAnsi="宋体"/>
          <w:color w:val="auto"/>
          <w:highlight w:val="none"/>
        </w:rPr>
        <w:t>1、橡胶地板的作业条件：</w:t>
      </w:r>
      <w:r>
        <w:rPr>
          <w:rFonts w:hint="eastAsia"/>
          <w:color w:val="auto"/>
          <w:highlight w:val="none"/>
        </w:rPr>
        <w:t>天花、墙面及门窗各项作业已施工完成；地面垫层及预埋在地面的各种管线已施工完成，房间四周踢角线上口已弹完水平线。</w:t>
      </w:r>
    </w:p>
    <w:p>
      <w:pPr>
        <w:autoSpaceDE w:val="0"/>
        <w:autoSpaceDN w:val="0"/>
        <w:adjustRightInd w:val="0"/>
        <w:spacing w:line="360" w:lineRule="auto"/>
        <w:ind w:firstLine="420" w:firstLineChars="200"/>
        <w:rPr>
          <w:rFonts w:ascii="宋体" w:hAnsi="宋体"/>
          <w:bCs/>
          <w:color w:val="auto"/>
          <w:highlight w:val="none"/>
        </w:rPr>
      </w:pPr>
      <w:r>
        <w:rPr>
          <w:rFonts w:hint="eastAsia" w:ascii="宋体" w:hAnsi="宋体"/>
          <w:bCs/>
          <w:color w:val="auto"/>
          <w:highlight w:val="none"/>
        </w:rPr>
        <w:t>2、橡胶地板铺贴的工艺流程：</w:t>
      </w:r>
    </w:p>
    <w:p>
      <w:pPr>
        <w:autoSpaceDE w:val="0"/>
        <w:autoSpaceDN w:val="0"/>
        <w:adjustRightInd w:val="0"/>
        <w:spacing w:line="360" w:lineRule="auto"/>
        <w:ind w:firstLine="420" w:firstLineChars="200"/>
        <w:rPr>
          <w:rFonts w:ascii="宋体" w:hAnsi="宋体"/>
          <w:color w:val="auto"/>
          <w:highlight w:val="none"/>
        </w:rPr>
      </w:pPr>
      <w:r>
        <w:rPr>
          <w:rFonts w:hint="eastAsia" w:ascii="宋体" w:hAnsi="宋体"/>
          <w:color w:val="auto"/>
          <w:highlight w:val="none"/>
        </w:rPr>
        <w:t>1）地面基层处理：在完成找平层的地面上首先进行粗磨处理，以确保整个混凝土界面的附着力。</w:t>
      </w:r>
    </w:p>
    <w:p>
      <w:pPr>
        <w:autoSpaceDE w:val="0"/>
        <w:autoSpaceDN w:val="0"/>
        <w:adjustRightInd w:val="0"/>
        <w:spacing w:line="360" w:lineRule="auto"/>
        <w:ind w:firstLine="420" w:firstLineChars="200"/>
        <w:rPr>
          <w:rFonts w:ascii="宋体" w:hAnsi="宋体"/>
          <w:color w:val="auto"/>
          <w:highlight w:val="none"/>
        </w:rPr>
      </w:pPr>
      <w:r>
        <w:rPr>
          <w:rFonts w:hint="eastAsia" w:ascii="宋体" w:hAnsi="宋体"/>
          <w:color w:val="auto"/>
          <w:highlight w:val="none"/>
        </w:rPr>
        <w:t>界面处理：对精磨处理过的地面进行细致的保洁后，用界面处理剂1:1兑水，以200g/m</w:t>
      </w:r>
      <w:r>
        <w:rPr>
          <w:rFonts w:hint="eastAsia" w:ascii="宋体" w:hAnsi="宋体"/>
          <w:color w:val="auto"/>
          <w:highlight w:val="none"/>
          <w:vertAlign w:val="superscript"/>
        </w:rPr>
        <w:t>2</w:t>
      </w:r>
      <w:r>
        <w:rPr>
          <w:rFonts w:hint="eastAsia" w:ascii="宋体" w:hAnsi="宋体"/>
          <w:color w:val="auto"/>
          <w:highlight w:val="none"/>
        </w:rPr>
        <w:t>的用量用羊毛滚筒均匀的将勾兑完毕的界面剂对地坪进行封底，以降低基层的吸收性和增强界面的附着力；场地的边角部分用专用滚筒进行充分的滚涂，在自然风干的情况下，等待5分钟后便可进行自流平施工。</w:t>
      </w:r>
    </w:p>
    <w:p>
      <w:pPr>
        <w:spacing w:line="360" w:lineRule="auto"/>
        <w:ind w:firstLine="420" w:firstLineChars="200"/>
        <w:rPr>
          <w:rFonts w:ascii="宋体" w:hAnsi="宋体"/>
          <w:color w:val="auto"/>
          <w:highlight w:val="none"/>
        </w:rPr>
      </w:pPr>
      <w:r>
        <w:rPr>
          <w:rFonts w:hint="eastAsia" w:ascii="宋体" w:hAnsi="宋体"/>
          <w:color w:val="auto"/>
          <w:highlight w:val="none"/>
        </w:rPr>
        <w:t>2）自流平的施工：按照比例，将自流平搅拌均匀后，在已处理过的地坪上进行自流平施工。</w:t>
      </w:r>
    </w:p>
    <w:p>
      <w:pPr>
        <w:autoSpaceDE w:val="0"/>
        <w:autoSpaceDN w:val="0"/>
        <w:adjustRightInd w:val="0"/>
        <w:spacing w:line="360" w:lineRule="auto"/>
        <w:ind w:firstLine="420" w:firstLineChars="200"/>
        <w:rPr>
          <w:rFonts w:ascii="宋体" w:hAnsi="宋体"/>
          <w:color w:val="auto"/>
          <w:kern w:val="24"/>
          <w:highlight w:val="none"/>
        </w:rPr>
      </w:pPr>
      <w:r>
        <w:rPr>
          <w:rFonts w:hint="eastAsia" w:ascii="宋体" w:hAnsi="宋体"/>
          <w:color w:val="auto"/>
          <w:highlight w:val="none"/>
        </w:rPr>
        <w:t>自流平整体施工完毕后，在室内温度20</w:t>
      </w:r>
      <w:r>
        <w:rPr>
          <w:rFonts w:hint="eastAsia" w:ascii="宋体" w:hAnsi="宋体"/>
          <w:color w:val="auto"/>
          <w:highlight w:val="none"/>
          <w:vertAlign w:val="superscript"/>
        </w:rPr>
        <w:t>0</w:t>
      </w:r>
      <w:r>
        <w:rPr>
          <w:rFonts w:hint="eastAsia" w:ascii="宋体" w:hAnsi="宋体"/>
          <w:color w:val="auto"/>
          <w:highlight w:val="none"/>
        </w:rPr>
        <w:t>C的情况下养护24小时后，即可上</w:t>
      </w:r>
      <w:r>
        <w:rPr>
          <w:rFonts w:hint="eastAsia" w:ascii="宋体" w:hAnsi="宋体"/>
          <w:color w:val="auto"/>
          <w:kern w:val="24"/>
          <w:highlight w:val="none"/>
        </w:rPr>
        <w:t>人进行橡胶地板铺贴。</w:t>
      </w:r>
    </w:p>
    <w:p>
      <w:pPr>
        <w:spacing w:line="360" w:lineRule="auto"/>
        <w:ind w:firstLine="420" w:firstLineChars="200"/>
        <w:rPr>
          <w:rFonts w:ascii="宋体" w:hAnsi="宋体"/>
          <w:color w:val="auto"/>
          <w:kern w:val="28"/>
          <w:highlight w:val="none"/>
        </w:rPr>
      </w:pPr>
      <w:r>
        <w:rPr>
          <w:rFonts w:hint="eastAsia" w:ascii="宋体" w:hAnsi="宋体"/>
          <w:color w:val="auto"/>
          <w:kern w:val="28"/>
          <w:highlight w:val="none"/>
        </w:rPr>
        <w:t>3）定位、弹线分格：在强度已经达到要求的自流平地面上，</w:t>
      </w:r>
      <w:r>
        <w:rPr>
          <w:rFonts w:hint="eastAsia" w:ascii="宋体" w:hAnsi="宋体"/>
          <w:color w:val="auto"/>
          <w:highlight w:val="none"/>
          <w:lang w:val="en-GB"/>
        </w:rPr>
        <w:t>将房间依照塑胶板的尺寸，排布出塑胶板的铺贴位置，并在地面弹出十字控制线和分格线。</w:t>
      </w:r>
    </w:p>
    <w:p>
      <w:pPr>
        <w:spacing w:line="360" w:lineRule="auto"/>
        <w:ind w:firstLine="420" w:firstLineChars="200"/>
        <w:rPr>
          <w:rFonts w:ascii="宋体" w:hAnsi="宋体"/>
          <w:color w:val="auto"/>
          <w:kern w:val="28"/>
          <w:highlight w:val="none"/>
          <w:lang w:val="en-GB"/>
        </w:rPr>
      </w:pPr>
      <w:r>
        <w:rPr>
          <w:rFonts w:hint="eastAsia" w:ascii="宋体" w:hAnsi="宋体"/>
          <w:color w:val="auto"/>
          <w:kern w:val="28"/>
          <w:highlight w:val="none"/>
        </w:rPr>
        <w:t>4）</w:t>
      </w:r>
      <w:r>
        <w:rPr>
          <w:rFonts w:hint="eastAsia" w:ascii="宋体" w:hAnsi="宋体"/>
          <w:color w:val="auto"/>
          <w:highlight w:val="none"/>
          <w:lang w:val="en-GB"/>
        </w:rPr>
        <w:t>试铺橡胶地板：在铺贴橡胶地板前，按弹线的定位位置先进行试铺，并在橡胶地板上做好标记。</w:t>
      </w:r>
    </w:p>
    <w:p>
      <w:pPr>
        <w:spacing w:line="360" w:lineRule="auto"/>
        <w:ind w:firstLine="420" w:firstLineChars="200"/>
        <w:rPr>
          <w:rFonts w:ascii="宋体" w:hAnsi="宋体"/>
          <w:color w:val="auto"/>
          <w:highlight w:val="none"/>
          <w:lang w:val="en-GB"/>
        </w:rPr>
      </w:pPr>
      <w:r>
        <w:rPr>
          <w:rFonts w:hint="eastAsia" w:ascii="宋体" w:hAnsi="宋体"/>
          <w:color w:val="auto"/>
          <w:kern w:val="28"/>
          <w:highlight w:val="none"/>
        </w:rPr>
        <w:t>5）</w:t>
      </w:r>
      <w:r>
        <w:rPr>
          <w:rFonts w:hint="eastAsia" w:ascii="宋体" w:hAnsi="宋体"/>
          <w:color w:val="auto"/>
          <w:highlight w:val="none"/>
          <w:lang w:val="en-GB"/>
        </w:rPr>
        <w:t>刷底胶：橡胶地板正式铺设前，再对基底进行清理，完成清理后，在自流平基底上刷一道薄而匀的底胶，底胶涂刷时，面积不宜过大，要随刷随贴。</w:t>
      </w:r>
    </w:p>
    <w:p>
      <w:pPr>
        <w:spacing w:line="360" w:lineRule="auto"/>
        <w:ind w:firstLine="420" w:firstLineChars="200"/>
        <w:rPr>
          <w:rFonts w:ascii="宋体" w:hAnsi="宋体"/>
          <w:color w:val="auto"/>
          <w:highlight w:val="none"/>
          <w:lang w:val="en-GB"/>
        </w:rPr>
      </w:pPr>
      <w:r>
        <w:rPr>
          <w:rFonts w:hint="eastAsia" w:ascii="宋体" w:hAnsi="宋体"/>
          <w:color w:val="auto"/>
          <w:kern w:val="28"/>
          <w:highlight w:val="none"/>
        </w:rPr>
        <w:t>6）</w:t>
      </w:r>
      <w:r>
        <w:rPr>
          <w:rFonts w:hint="eastAsia" w:ascii="宋体" w:hAnsi="宋体"/>
          <w:color w:val="auto"/>
          <w:highlight w:val="none"/>
          <w:lang w:val="en-GB"/>
        </w:rPr>
        <w:t>铺塑胶板：铺塑胶板时按照弹好的十字控制线铺设十字控制板，之后再按照十字控制板向四周铺贴。</w:t>
      </w:r>
    </w:p>
    <w:p>
      <w:pPr>
        <w:pStyle w:val="21"/>
        <w:spacing w:line="360" w:lineRule="auto"/>
        <w:ind w:left="0" w:firstLine="420" w:firstLineChars="200"/>
        <w:rPr>
          <w:rFonts w:ascii="宋体" w:hAnsi="宋体"/>
          <w:color w:val="auto"/>
          <w:highlight w:val="none"/>
          <w:lang w:val="en-GB"/>
        </w:rPr>
      </w:pPr>
      <w:r>
        <w:rPr>
          <w:rFonts w:hint="eastAsia" w:ascii="宋体" w:hAnsi="宋体"/>
          <w:bCs/>
          <w:color w:val="auto"/>
          <w:highlight w:val="none"/>
        </w:rPr>
        <w:t>7）</w:t>
      </w:r>
      <w:r>
        <w:rPr>
          <w:rFonts w:hint="eastAsia" w:ascii="宋体" w:hAnsi="宋体"/>
          <w:color w:val="auto"/>
          <w:highlight w:val="none"/>
          <w:lang w:val="en-GB"/>
        </w:rPr>
        <w:t>完成橡胶地板整体铺装完成后，用吸尘器洗尘后再用半干湿软抹布进行擦洗，擦洗干净后上蜡2遍保护处理。</w:t>
      </w:r>
    </w:p>
    <w:p>
      <w:pPr>
        <w:spacing w:line="360" w:lineRule="auto"/>
        <w:ind w:firstLine="382" w:firstLineChars="182"/>
        <w:rPr>
          <w:rFonts w:ascii="宋体" w:hAnsi="宋体"/>
          <w:color w:val="auto"/>
          <w:highlight w:val="none"/>
          <w:lang w:val="en-GB"/>
        </w:rPr>
      </w:pPr>
      <w:r>
        <w:rPr>
          <w:rFonts w:hint="eastAsia" w:ascii="宋体" w:hAnsi="宋体"/>
          <w:color w:val="auto"/>
          <w:highlight w:val="none"/>
          <w:lang w:val="en-GB"/>
        </w:rPr>
        <w:t>8）质量标准</w:t>
      </w:r>
    </w:p>
    <w:p>
      <w:pPr>
        <w:spacing w:line="360" w:lineRule="auto"/>
        <w:ind w:firstLine="420" w:firstLineChars="200"/>
        <w:rPr>
          <w:rFonts w:ascii="宋体" w:hAnsi="宋体"/>
          <w:color w:val="auto"/>
          <w:highlight w:val="none"/>
          <w:lang w:val="en-GB"/>
        </w:rPr>
      </w:pPr>
      <w:r>
        <w:rPr>
          <w:rFonts w:hint="eastAsia" w:ascii="宋体" w:hAnsi="宋体"/>
          <w:color w:val="auto"/>
          <w:highlight w:val="none"/>
          <w:lang w:val="en-GB"/>
        </w:rPr>
        <w:t>必须保证：橡胶地板的品种、规格、颜色符合设计及标准规定，橡胶地板与基层粘结牢固，不翘边、不脱胶、无溢胶。</w:t>
      </w:r>
    </w:p>
    <w:p>
      <w:pPr>
        <w:spacing w:line="360" w:lineRule="auto"/>
        <w:ind w:firstLine="420" w:firstLineChars="200"/>
        <w:rPr>
          <w:rFonts w:ascii="宋体" w:hAnsi="宋体"/>
          <w:color w:val="auto"/>
          <w:highlight w:val="none"/>
          <w:lang w:val="en-GB"/>
        </w:rPr>
      </w:pPr>
      <w:r>
        <w:rPr>
          <w:rFonts w:hint="eastAsia" w:ascii="宋体" w:hAnsi="宋体"/>
          <w:color w:val="auto"/>
          <w:highlight w:val="none"/>
          <w:lang w:val="en-GB"/>
        </w:rPr>
        <w:t>严格控制：橡胶地板表面洁净、图案清晰、色泽一致、接缝严密；拼缝处纹路吻合，无胶痕；镶边尺寸准确、边角整齐。</w:t>
      </w:r>
    </w:p>
    <w:p>
      <w:pPr>
        <w:spacing w:line="360" w:lineRule="auto"/>
        <w:ind w:firstLine="420" w:firstLineChars="200"/>
        <w:rPr>
          <w:rFonts w:ascii="宋体" w:hAnsi="宋体"/>
          <w:color w:val="auto"/>
          <w:highlight w:val="none"/>
          <w:lang w:val="en-GB"/>
        </w:rPr>
      </w:pPr>
      <w:r>
        <w:rPr>
          <w:rFonts w:hint="eastAsia" w:ascii="宋体" w:hAnsi="宋体"/>
          <w:color w:val="auto"/>
          <w:highlight w:val="none"/>
          <w:lang w:val="en-GB"/>
        </w:rPr>
        <w:t>质量允许偏差表：</w:t>
      </w:r>
    </w:p>
    <w:p>
      <w:pPr>
        <w:spacing w:line="360" w:lineRule="auto"/>
        <w:ind w:firstLine="420" w:firstLineChars="200"/>
        <w:rPr>
          <w:rFonts w:ascii="宋体" w:hAnsi="宋体"/>
          <w:color w:val="auto"/>
          <w:highlight w:val="none"/>
          <w:lang w:val="en-GB"/>
        </w:rPr>
      </w:pPr>
    </w:p>
    <w:tbl>
      <w:tblPr>
        <w:tblStyle w:val="28"/>
        <w:tblW w:w="85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2"/>
        <w:gridCol w:w="2060"/>
        <w:gridCol w:w="1943"/>
        <w:gridCol w:w="3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序号</w:t>
            </w:r>
          </w:p>
        </w:tc>
        <w:tc>
          <w:tcPr>
            <w:tcW w:w="2060"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项目</w:t>
            </w:r>
          </w:p>
        </w:tc>
        <w:tc>
          <w:tcPr>
            <w:tcW w:w="1943"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允许偏差（mm）</w:t>
            </w:r>
          </w:p>
        </w:tc>
        <w:tc>
          <w:tcPr>
            <w:tcW w:w="3600"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1</w:t>
            </w:r>
          </w:p>
        </w:tc>
        <w:tc>
          <w:tcPr>
            <w:tcW w:w="2060" w:type="dxa"/>
            <w:vAlign w:val="center"/>
          </w:tcPr>
          <w:p>
            <w:pPr>
              <w:spacing w:line="360" w:lineRule="auto"/>
              <w:ind w:firstLine="200"/>
              <w:rPr>
                <w:rFonts w:ascii="宋体" w:hAnsi="宋体"/>
                <w:color w:val="auto"/>
                <w:highlight w:val="none"/>
              </w:rPr>
            </w:pPr>
            <w:r>
              <w:rPr>
                <w:rFonts w:hint="eastAsia" w:ascii="宋体" w:hAnsi="宋体"/>
                <w:color w:val="auto"/>
                <w:highlight w:val="none"/>
              </w:rPr>
              <w:t>表面平整度</w:t>
            </w:r>
          </w:p>
        </w:tc>
        <w:tc>
          <w:tcPr>
            <w:tcW w:w="1943"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2</w:t>
            </w:r>
          </w:p>
        </w:tc>
        <w:tc>
          <w:tcPr>
            <w:tcW w:w="3600" w:type="dxa"/>
            <w:vAlign w:val="center"/>
          </w:tcPr>
          <w:p>
            <w:pPr>
              <w:spacing w:line="360" w:lineRule="auto"/>
              <w:ind w:firstLine="200"/>
              <w:rPr>
                <w:rFonts w:ascii="宋体" w:hAnsi="宋体"/>
                <w:color w:val="auto"/>
                <w:highlight w:val="none"/>
              </w:rPr>
            </w:pPr>
            <w:r>
              <w:rPr>
                <w:rFonts w:hint="eastAsia" w:ascii="宋体" w:hAnsi="宋体"/>
                <w:color w:val="auto"/>
                <w:highlight w:val="none"/>
              </w:rPr>
              <w:t>用2m靠尺及楔形塞尺检查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2</w:t>
            </w:r>
          </w:p>
        </w:tc>
        <w:tc>
          <w:tcPr>
            <w:tcW w:w="2060" w:type="dxa"/>
            <w:vAlign w:val="center"/>
          </w:tcPr>
          <w:p>
            <w:pPr>
              <w:spacing w:line="360" w:lineRule="auto"/>
              <w:ind w:firstLine="200"/>
              <w:rPr>
                <w:rFonts w:ascii="宋体" w:hAnsi="宋体"/>
                <w:color w:val="auto"/>
                <w:highlight w:val="none"/>
              </w:rPr>
            </w:pPr>
            <w:r>
              <w:rPr>
                <w:rFonts w:hint="eastAsia" w:ascii="宋体" w:hAnsi="宋体"/>
                <w:color w:val="auto"/>
                <w:highlight w:val="none"/>
              </w:rPr>
              <w:t>格缝平直</w:t>
            </w:r>
          </w:p>
        </w:tc>
        <w:tc>
          <w:tcPr>
            <w:tcW w:w="1943"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1</w:t>
            </w:r>
          </w:p>
        </w:tc>
        <w:tc>
          <w:tcPr>
            <w:tcW w:w="3600" w:type="dxa"/>
            <w:vAlign w:val="center"/>
          </w:tcPr>
          <w:p>
            <w:pPr>
              <w:spacing w:line="360" w:lineRule="auto"/>
              <w:ind w:firstLine="200"/>
              <w:rPr>
                <w:rFonts w:ascii="宋体" w:hAnsi="宋体"/>
                <w:color w:val="auto"/>
                <w:highlight w:val="none"/>
              </w:rPr>
            </w:pPr>
            <w:r>
              <w:rPr>
                <w:rFonts w:hint="eastAsia" w:ascii="宋体" w:hAnsi="宋体"/>
                <w:color w:val="auto"/>
                <w:highlight w:val="none"/>
              </w:rPr>
              <w:t>拉5m线，不足5m拉通线检查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3</w:t>
            </w:r>
          </w:p>
        </w:tc>
        <w:tc>
          <w:tcPr>
            <w:tcW w:w="2060" w:type="dxa"/>
            <w:vAlign w:val="center"/>
          </w:tcPr>
          <w:p>
            <w:pPr>
              <w:spacing w:line="360" w:lineRule="auto"/>
              <w:ind w:firstLine="200"/>
              <w:rPr>
                <w:rFonts w:ascii="宋体" w:hAnsi="宋体"/>
                <w:color w:val="auto"/>
                <w:highlight w:val="none"/>
              </w:rPr>
            </w:pPr>
            <w:r>
              <w:rPr>
                <w:rFonts w:hint="eastAsia" w:ascii="宋体" w:hAnsi="宋体"/>
                <w:color w:val="auto"/>
                <w:highlight w:val="none"/>
              </w:rPr>
              <w:t>接缝高低差</w:t>
            </w:r>
          </w:p>
        </w:tc>
        <w:tc>
          <w:tcPr>
            <w:tcW w:w="1943"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0.5</w:t>
            </w:r>
          </w:p>
        </w:tc>
        <w:tc>
          <w:tcPr>
            <w:tcW w:w="3600" w:type="dxa"/>
            <w:vAlign w:val="center"/>
          </w:tcPr>
          <w:p>
            <w:pPr>
              <w:spacing w:line="360" w:lineRule="auto"/>
              <w:ind w:firstLine="200"/>
              <w:rPr>
                <w:rFonts w:ascii="宋体" w:hAnsi="宋体"/>
                <w:color w:val="auto"/>
                <w:highlight w:val="none"/>
              </w:rPr>
            </w:pPr>
            <w:r>
              <w:rPr>
                <w:rFonts w:hint="eastAsia" w:ascii="宋体" w:hAnsi="宋体"/>
                <w:color w:val="auto"/>
                <w:highlight w:val="none"/>
              </w:rPr>
              <w:t>用尺量及楔形塞尺检查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4</w:t>
            </w:r>
          </w:p>
        </w:tc>
        <w:tc>
          <w:tcPr>
            <w:tcW w:w="2060" w:type="dxa"/>
            <w:vAlign w:val="center"/>
          </w:tcPr>
          <w:p>
            <w:pPr>
              <w:spacing w:line="360" w:lineRule="auto"/>
              <w:rPr>
                <w:rFonts w:ascii="宋体" w:hAnsi="宋体"/>
                <w:color w:val="auto"/>
                <w:highlight w:val="none"/>
              </w:rPr>
            </w:pPr>
            <w:r>
              <w:rPr>
                <w:rFonts w:hint="eastAsia" w:ascii="宋体" w:hAnsi="宋体"/>
                <w:color w:val="auto"/>
                <w:highlight w:val="none"/>
              </w:rPr>
              <w:t>踢脚线上口平直</w:t>
            </w:r>
          </w:p>
        </w:tc>
        <w:tc>
          <w:tcPr>
            <w:tcW w:w="1943"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1</w:t>
            </w:r>
          </w:p>
        </w:tc>
        <w:tc>
          <w:tcPr>
            <w:tcW w:w="3600" w:type="dxa"/>
            <w:vAlign w:val="center"/>
          </w:tcPr>
          <w:p>
            <w:pPr>
              <w:spacing w:line="360" w:lineRule="auto"/>
              <w:ind w:firstLine="200"/>
              <w:rPr>
                <w:rFonts w:ascii="宋体" w:hAnsi="宋体"/>
                <w:color w:val="auto"/>
                <w:highlight w:val="none"/>
              </w:rPr>
            </w:pPr>
            <w:r>
              <w:rPr>
                <w:rFonts w:hint="eastAsia" w:ascii="宋体" w:hAnsi="宋体"/>
                <w:color w:val="auto"/>
                <w:highlight w:val="none"/>
              </w:rPr>
              <w:t>拉5m线，不足5m拉通线检查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2"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5</w:t>
            </w:r>
          </w:p>
        </w:tc>
        <w:tc>
          <w:tcPr>
            <w:tcW w:w="2060" w:type="dxa"/>
            <w:vAlign w:val="center"/>
          </w:tcPr>
          <w:p>
            <w:pPr>
              <w:spacing w:line="360" w:lineRule="auto"/>
              <w:rPr>
                <w:rFonts w:ascii="宋体" w:hAnsi="宋体"/>
                <w:color w:val="auto"/>
                <w:highlight w:val="none"/>
              </w:rPr>
            </w:pPr>
            <w:r>
              <w:rPr>
                <w:rFonts w:hint="eastAsia" w:ascii="宋体" w:hAnsi="宋体"/>
                <w:color w:val="auto"/>
                <w:highlight w:val="none"/>
              </w:rPr>
              <w:t>板块间宽度偏差</w:t>
            </w:r>
          </w:p>
        </w:tc>
        <w:tc>
          <w:tcPr>
            <w:tcW w:w="1943" w:type="dxa"/>
            <w:vAlign w:val="center"/>
          </w:tcPr>
          <w:p>
            <w:pPr>
              <w:spacing w:line="360" w:lineRule="auto"/>
              <w:ind w:firstLine="200"/>
              <w:jc w:val="center"/>
              <w:rPr>
                <w:rFonts w:ascii="宋体" w:hAnsi="宋体"/>
                <w:color w:val="auto"/>
                <w:highlight w:val="none"/>
              </w:rPr>
            </w:pPr>
            <w:r>
              <w:rPr>
                <w:rFonts w:hint="eastAsia" w:ascii="宋体" w:hAnsi="宋体"/>
                <w:color w:val="auto"/>
                <w:highlight w:val="none"/>
              </w:rPr>
              <w:t>＜1</w:t>
            </w:r>
          </w:p>
        </w:tc>
        <w:tc>
          <w:tcPr>
            <w:tcW w:w="3600" w:type="dxa"/>
            <w:vAlign w:val="center"/>
          </w:tcPr>
          <w:p>
            <w:pPr>
              <w:spacing w:line="360" w:lineRule="auto"/>
              <w:ind w:firstLine="200"/>
              <w:rPr>
                <w:rFonts w:ascii="宋体" w:hAnsi="宋体"/>
                <w:color w:val="auto"/>
                <w:highlight w:val="none"/>
              </w:rPr>
            </w:pPr>
            <w:r>
              <w:rPr>
                <w:rFonts w:hint="eastAsia" w:ascii="宋体" w:hAnsi="宋体"/>
                <w:color w:val="auto"/>
                <w:highlight w:val="none"/>
              </w:rPr>
              <w:t>尺量检查</w:t>
            </w:r>
          </w:p>
        </w:tc>
      </w:tr>
    </w:tbl>
    <w:p>
      <w:pPr>
        <w:spacing w:line="360" w:lineRule="auto"/>
        <w:ind w:firstLine="420" w:firstLineChars="200"/>
        <w:jc w:val="left"/>
        <w:rPr>
          <w:rFonts w:ascii="宋体" w:hAnsi="宋体"/>
          <w:color w:val="auto"/>
          <w:highlight w:val="none"/>
          <w:lang w:val="en-GB"/>
        </w:rPr>
      </w:pPr>
      <w:r>
        <w:rPr>
          <w:rFonts w:hint="eastAsia" w:ascii="宋体" w:hAnsi="宋体"/>
          <w:color w:val="auto"/>
          <w:highlight w:val="none"/>
          <w:lang w:val="en-GB"/>
        </w:rPr>
        <w:t>3</w:t>
      </w:r>
      <w:r>
        <w:rPr>
          <w:rFonts w:hint="eastAsia" w:ascii="宋体" w:hAnsi="宋体"/>
          <w:color w:val="auto"/>
          <w:highlight w:val="none"/>
        </w:rPr>
        <w:t>.</w:t>
      </w:r>
      <w:r>
        <w:rPr>
          <w:rFonts w:hint="eastAsia" w:ascii="宋体" w:hAnsi="宋体"/>
          <w:color w:val="auto"/>
          <w:highlight w:val="none"/>
          <w:lang w:val="en-GB"/>
        </w:rPr>
        <w:t>检测要求：施工完成后，提供磁屏蔽第三方性能检测，放射第三方环评、控评、机房性能检测、放射设备性能检测，及辐射安全许可、放射诊疗许可变更等手续及相关费用。</w:t>
      </w:r>
    </w:p>
    <w:p>
      <w:pPr>
        <w:pStyle w:val="9"/>
        <w:rPr>
          <w:color w:val="auto"/>
          <w:highlight w:val="none"/>
        </w:rPr>
      </w:pPr>
    </w:p>
    <w:p>
      <w:pPr>
        <w:spacing w:line="360" w:lineRule="auto"/>
        <w:rPr>
          <w:b/>
          <w:bCs/>
          <w:color w:val="auto"/>
          <w:sz w:val="28"/>
          <w:szCs w:val="28"/>
          <w:highlight w:val="none"/>
        </w:rPr>
      </w:pPr>
      <w:r>
        <w:rPr>
          <w:rFonts w:hint="eastAsia"/>
          <w:b/>
          <w:bCs/>
          <w:color w:val="auto"/>
          <w:sz w:val="28"/>
          <w:szCs w:val="28"/>
          <w:highlight w:val="none"/>
        </w:rPr>
        <w:t>二、主要设备材料品牌推荐表</w:t>
      </w:r>
    </w:p>
    <w:p>
      <w:pPr>
        <w:spacing w:line="360" w:lineRule="auto"/>
        <w:ind w:left="19" w:leftChars="9" w:firstLine="210" w:firstLineChars="100"/>
        <w:jc w:val="left"/>
        <w:rPr>
          <w:rFonts w:ascii="宋体" w:hAnsi="宋体" w:cs="宋体"/>
          <w:color w:val="auto"/>
          <w:szCs w:val="21"/>
          <w:highlight w:val="none"/>
        </w:rPr>
      </w:pPr>
    </w:p>
    <w:tbl>
      <w:tblPr>
        <w:tblStyle w:val="28"/>
        <w:tblW w:w="7796" w:type="dxa"/>
        <w:tblInd w:w="10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00"/>
        <w:gridCol w:w="2896"/>
        <w:gridCol w:w="3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color w:val="auto"/>
                <w:szCs w:val="21"/>
                <w:highlight w:val="none"/>
              </w:rPr>
            </w:pPr>
            <w:r>
              <w:rPr>
                <w:rFonts w:hint="eastAsia"/>
                <w:color w:val="auto"/>
                <w:szCs w:val="21"/>
                <w:highlight w:val="none"/>
              </w:rPr>
              <w:t>序号</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ascii="宋体" w:hAnsi="宋体"/>
                <w:b/>
                <w:color w:val="auto"/>
                <w:szCs w:val="21"/>
                <w:highlight w:val="none"/>
              </w:rPr>
              <w:t>产品</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color w:val="auto"/>
                <w:szCs w:val="21"/>
                <w:highlight w:val="none"/>
              </w:rPr>
            </w:pPr>
            <w:r>
              <w:rPr>
                <w:rFonts w:hint="eastAsia"/>
                <w:color w:val="auto"/>
                <w:szCs w:val="21"/>
                <w:highlight w:val="none"/>
              </w:rPr>
              <w:t>品牌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1</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自动门的电动装置</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松下、欧尼克、纳博克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2</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防辐射防护门</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3</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磁屏蔽防护门</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欧尼克、格满林、德科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4</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同透PVC卷材地板</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洁福、阿姆斯壮、得嘉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5</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轻钢龙骨</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杰森、雪丰、宝欣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6</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纸面石膏板</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杰森、雪丰、宝欣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7</w:t>
            </w:r>
          </w:p>
        </w:tc>
        <w:tc>
          <w:tcPr>
            <w:tcW w:w="2896"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洁菌板</w:t>
            </w:r>
          </w:p>
        </w:tc>
        <w:tc>
          <w:tcPr>
            <w:tcW w:w="360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宋体" w:hAnsi="宋体" w:cs="宋体"/>
                <w:color w:val="auto"/>
                <w:szCs w:val="21"/>
                <w:highlight w:val="none"/>
              </w:rPr>
            </w:pPr>
            <w:r>
              <w:rPr>
                <w:rFonts w:hint="eastAsia" w:ascii="宋体" w:hAnsi="宋体" w:cs="宋体"/>
                <w:color w:val="auto"/>
                <w:szCs w:val="21"/>
                <w:highlight w:val="none"/>
              </w:rPr>
              <w:t>新瑞铭、格特、卡利</w:t>
            </w:r>
          </w:p>
        </w:tc>
      </w:tr>
    </w:tbl>
    <w:p>
      <w:pPr>
        <w:pStyle w:val="9"/>
        <w:rPr>
          <w:color w:val="auto"/>
          <w:highlight w:val="none"/>
        </w:rPr>
        <w:sectPr>
          <w:pgSz w:w="11906" w:h="16838"/>
          <w:pgMar w:top="1440" w:right="1803" w:bottom="1440" w:left="1803" w:header="851" w:footer="992" w:gutter="0"/>
          <w:cols w:space="720" w:num="1"/>
          <w:docGrid w:type="lines" w:linePitch="312" w:charSpace="0"/>
        </w:sectPr>
      </w:pPr>
      <w:r>
        <w:rPr>
          <w:rFonts w:hint="eastAsia"/>
          <w:color w:val="auto"/>
          <w:highlight w:val="none"/>
        </w:rPr>
        <w:t>说明：此品牌选择表仅作为投标方报价的参考，投标方可以提供不低于表格中品牌档次的其他品牌产品。所提供的所有设备材料品牌与型号，均需通过甲方同意。</w:t>
      </w:r>
    </w:p>
    <w:p>
      <w:pPr>
        <w:pStyle w:val="75"/>
        <w:widowControl/>
        <w:snapToGrid w:val="0"/>
        <w:spacing w:line="360" w:lineRule="auto"/>
        <w:rPr>
          <w:color w:val="auto"/>
          <w:highlight w:val="none"/>
        </w:rPr>
      </w:pPr>
    </w:p>
    <w:p>
      <w:pPr>
        <w:pStyle w:val="3"/>
        <w:jc w:val="left"/>
        <w:rPr>
          <w:rStyle w:val="74"/>
          <w:rFonts w:ascii="Calibri" w:hAnsi="Calibri"/>
          <w:color w:val="auto"/>
          <w:highlight w:val="none"/>
        </w:rPr>
      </w:pPr>
      <w:r>
        <w:rPr>
          <w:rStyle w:val="74"/>
          <w:rFonts w:hint="eastAsia" w:ascii="Calibri" w:hAnsi="Calibri"/>
          <w:color w:val="auto"/>
          <w:highlight w:val="none"/>
        </w:rPr>
        <w:t>三、货物清单</w:t>
      </w:r>
    </w:p>
    <w:tbl>
      <w:tblPr>
        <w:tblStyle w:val="28"/>
        <w:tblW w:w="11318" w:type="dxa"/>
        <w:jc w:val="center"/>
        <w:tblLayout w:type="fixed"/>
        <w:tblCellMar>
          <w:top w:w="0" w:type="dxa"/>
          <w:left w:w="108" w:type="dxa"/>
          <w:bottom w:w="0" w:type="dxa"/>
          <w:right w:w="108" w:type="dxa"/>
        </w:tblCellMar>
      </w:tblPr>
      <w:tblGrid>
        <w:gridCol w:w="475"/>
        <w:gridCol w:w="1277"/>
        <w:gridCol w:w="5063"/>
        <w:gridCol w:w="1086"/>
        <w:gridCol w:w="722"/>
        <w:gridCol w:w="1215"/>
        <w:gridCol w:w="687"/>
        <w:gridCol w:w="793"/>
      </w:tblGrid>
      <w:tr>
        <w:tblPrEx>
          <w:tblCellMar>
            <w:top w:w="0" w:type="dxa"/>
            <w:left w:w="108" w:type="dxa"/>
            <w:bottom w:w="0" w:type="dxa"/>
            <w:right w:w="108" w:type="dxa"/>
          </w:tblCellMar>
        </w:tblPrEx>
        <w:trPr>
          <w:trHeight w:val="408" w:hRule="atLeast"/>
          <w:jc w:val="center"/>
        </w:trPr>
        <w:tc>
          <w:tcPr>
            <w:tcW w:w="11318" w:type="dxa"/>
            <w:gridSpan w:val="8"/>
            <w:tcBorders>
              <w:top w:val="nil"/>
              <w:left w:val="nil"/>
              <w:bottom w:val="nil"/>
              <w:right w:val="nil"/>
            </w:tcBorders>
            <w:noWrap/>
            <w:vAlign w:val="center"/>
          </w:tcPr>
          <w:p>
            <w:pPr>
              <w:widowControl/>
              <w:jc w:val="center"/>
              <w:textAlignment w:val="center"/>
              <w:rPr>
                <w:rFonts w:ascii="宋体" w:hAnsi="宋体" w:cs="宋体"/>
                <w:b/>
                <w:bCs/>
                <w:color w:val="auto"/>
                <w:sz w:val="32"/>
                <w:szCs w:val="32"/>
                <w:highlight w:val="none"/>
              </w:rPr>
            </w:pPr>
            <w:r>
              <w:rPr>
                <w:rFonts w:hint="eastAsia" w:ascii="宋体" w:hAnsi="宋体" w:cs="宋体"/>
                <w:b/>
                <w:bCs/>
                <w:color w:val="auto"/>
                <w:sz w:val="32"/>
                <w:szCs w:val="32"/>
                <w:highlight w:val="none"/>
                <w:lang w:bidi="ar"/>
              </w:rPr>
              <w:t>一、放射防护专业</w:t>
            </w:r>
          </w:p>
        </w:tc>
      </w:tr>
      <w:tr>
        <w:tblPrEx>
          <w:tblCellMar>
            <w:top w:w="0" w:type="dxa"/>
            <w:left w:w="108" w:type="dxa"/>
            <w:bottom w:w="0" w:type="dxa"/>
            <w:right w:w="108" w:type="dxa"/>
          </w:tblCellMar>
        </w:tblPrEx>
        <w:trPr>
          <w:trHeight w:val="630" w:hRule="atLeast"/>
          <w:jc w:val="center"/>
        </w:trPr>
        <w:tc>
          <w:tcPr>
            <w:tcW w:w="475"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名称</w:t>
            </w:r>
          </w:p>
        </w:tc>
        <w:tc>
          <w:tcPr>
            <w:tcW w:w="506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型号规格</w:t>
            </w:r>
          </w:p>
        </w:tc>
        <w:tc>
          <w:tcPr>
            <w:tcW w:w="108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品牌</w:t>
            </w:r>
          </w:p>
        </w:tc>
        <w:tc>
          <w:tcPr>
            <w:tcW w:w="722"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1215"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数量</w:t>
            </w:r>
          </w:p>
        </w:tc>
        <w:tc>
          <w:tcPr>
            <w:tcW w:w="687"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黑体" w:hAnsi="宋体" w:eastAsia="黑体" w:cs="黑体"/>
                <w:b/>
                <w:bCs/>
                <w:color w:val="auto"/>
                <w:sz w:val="20"/>
                <w:szCs w:val="20"/>
                <w:highlight w:val="none"/>
              </w:rPr>
            </w:pPr>
            <w:r>
              <w:rPr>
                <w:rFonts w:hint="eastAsia" w:ascii="黑体" w:hAnsi="宋体" w:eastAsia="黑体" w:cs="黑体"/>
                <w:b/>
                <w:bCs/>
                <w:color w:val="auto"/>
                <w:sz w:val="20"/>
                <w:szCs w:val="20"/>
                <w:highlight w:val="none"/>
                <w:lang w:bidi="ar"/>
              </w:rPr>
              <w:t xml:space="preserve">含税综合单价     </w:t>
            </w:r>
          </w:p>
        </w:tc>
        <w:tc>
          <w:tcPr>
            <w:tcW w:w="79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黑体" w:hAnsi="宋体" w:eastAsia="黑体" w:cs="黑体"/>
                <w:b/>
                <w:bCs/>
                <w:color w:val="auto"/>
                <w:sz w:val="20"/>
                <w:szCs w:val="20"/>
                <w:highlight w:val="none"/>
              </w:rPr>
            </w:pPr>
            <w:r>
              <w:rPr>
                <w:rFonts w:hint="eastAsia" w:ascii="黑体" w:hAnsi="宋体" w:eastAsia="黑体" w:cs="黑体"/>
                <w:b/>
                <w:bCs/>
                <w:color w:val="auto"/>
                <w:sz w:val="20"/>
                <w:szCs w:val="20"/>
                <w:highlight w:val="none"/>
                <w:lang w:bidi="ar"/>
              </w:rPr>
              <w:t>合价</w:t>
            </w:r>
          </w:p>
        </w:tc>
      </w:tr>
      <w:tr>
        <w:tblPrEx>
          <w:tblCellMar>
            <w:top w:w="0" w:type="dxa"/>
            <w:left w:w="108" w:type="dxa"/>
            <w:bottom w:w="0" w:type="dxa"/>
            <w:right w:w="108" w:type="dxa"/>
          </w:tblCellMar>
        </w:tblPrEx>
        <w:trPr>
          <w:trHeight w:val="630" w:hRule="atLeast"/>
          <w:jc w:val="center"/>
        </w:trPr>
        <w:tc>
          <w:tcPr>
            <w:tcW w:w="47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127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506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108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72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68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cs="黑体"/>
                <w:b/>
                <w:bCs/>
                <w:color w:val="auto"/>
                <w:sz w:val="20"/>
                <w:szCs w:val="20"/>
                <w:highlight w:val="none"/>
              </w:rPr>
            </w:pPr>
          </w:p>
        </w:tc>
        <w:tc>
          <w:tcPr>
            <w:tcW w:w="79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cs="黑体"/>
                <w:b/>
                <w:bCs/>
                <w:color w:val="auto"/>
                <w:sz w:val="20"/>
                <w:szCs w:val="20"/>
                <w:highlight w:val="none"/>
              </w:rPr>
            </w:pPr>
          </w:p>
        </w:tc>
      </w:tr>
      <w:tr>
        <w:tblPrEx>
          <w:tblCellMar>
            <w:top w:w="0" w:type="dxa"/>
            <w:left w:w="108" w:type="dxa"/>
            <w:bottom w:w="0" w:type="dxa"/>
            <w:right w:w="108" w:type="dxa"/>
          </w:tblCellMar>
        </w:tblPrEx>
        <w:trPr>
          <w:trHeight w:val="498"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 地面工程 </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right"/>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vAlign w:val="center"/>
          </w:tcPr>
          <w:p>
            <w:pPr>
              <w:jc w:val="right"/>
              <w:rPr>
                <w:rFonts w:ascii="宋体" w:hAnsi="宋体" w:cs="宋体"/>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硫酸钡水泥</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2.砂浆配合比:硫酸钡砂:水泥=4:1</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3.找平厚度:40mm厚硫酸钡水泥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4.工作内容:清理基层、调运砂浆、抹平、压实</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ascii="宋体" w:hAnsi="宋体" w:cs="宋体"/>
                <w:color w:val="auto"/>
                <w:sz w:val="20"/>
                <w:szCs w:val="20"/>
                <w:highlight w:val="none"/>
                <w:lang w:bidi="ar"/>
              </w:rPr>
              <w:t>351.44</w:t>
            </w:r>
            <w:r>
              <w:rPr>
                <w:rFonts w:hint="eastAsia" w:ascii="宋体" w:hAnsi="宋体" w:cs="宋体"/>
                <w:color w:val="auto"/>
                <w:sz w:val="20"/>
                <w:szCs w:val="20"/>
                <w:highlight w:val="none"/>
                <w:lang w:bidi="ar"/>
              </w:rPr>
              <w:t xml:space="preserve">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硫酸钡水泥</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2.砂浆配合比:硫酸钡砂:水泥=4:1</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3.找平厚度:45mm厚硫酸钡水泥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4.工作内容:清理基层、调运砂浆、抹平、压实</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19.55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卷材地板专用自流平</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1.名称:卷材地板专用自流平</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2.基层:涂刷界面剂一道</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3.面层材料种类、厚度:卷材地板专用自流平3mm厚</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4.工作内容:清理基层、刷界面剂、调自流平砂浆,铺砂浆,滚压地面。</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602.57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同透PVC卷材地板</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1.名称:2mm厚的橡胶地材</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2.面层材料:2mm厚防静电、防滑、防潮、防火、防霉耐磨、耐腐蚀、易清洗同质透心</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3.粘贴剂:2mm厚的橡胶地材专用粘贴剂</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4.工作内容:清理基层、弹线、涂刷粘结剂、贴面层、收口、净面。</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洁福、阿姆斯壮、得嘉</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602.57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44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卷材踢脚线</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1.名称：PVC卷材踢脚线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2.规格：水泥造型R40，100mm高</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3.工作内容：清理基层、安装踢脚线</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洁福、阿姆斯壮、得嘉</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48.01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2"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二</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墙面工程</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9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硫酸钡水泥</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2.砂浆配合比:硫酸钡砂:水泥=4:1</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3.找平厚度:20mm厚硫酸钡水泥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4.工作内容:清理基层、调运砂浆、抹平、压实</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935.97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9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砌体</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1.名称:墙面95红砖砌体</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2.工作内容:清理基层、调运砂浆、抹平、压实</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329.68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4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墙面铅屏蔽</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1.名称：墙面铅屏蔽</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2.材质、规格:3mm铅板，钢龙骨基层</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3.铅板搭接：铅板与铅板之间的搭接宽度为(50mm正负5mm)</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4.工作内容：清理基层、打胶、粘贴面层、清理净面等。</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4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墙面洁菌板（砖墙为基层）</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1.名称：墙面洁菌板（包含金属收边条）</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2.规格：6mm厚</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3.工作内容：清理基层、钉或铺贴面层；板缝采用抗菌防霉洁净专用密封胶处理,保证气密性、清理净面等。</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新瑞铭、格特、卡利</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152.66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4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墙面抗菌涂料</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1.名称：墙面抗菌涂料</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2.规格：刮腻子3道+抗菌涂料3遍，与产品配套腻子满刮三遍,砂纸磨光。喷涂抗菌涂料。</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嘉宝莉、天天晴、厦光漆</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1170.52</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4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金属压条</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成品踢脚线压条</w:t>
            </w: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480.04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rFonts w:ascii="宋体" w:hAnsi="宋体" w:cs="宋体"/>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 顶面工程 </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right"/>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75"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硫酸钡水泥（顶面在上一次楼地面铺）</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2.砂浆配合比:硫酸钡砂:水泥=4:1</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3.找平厚度:40mm厚硫酸钡水泥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4.工作内容:清理基层、调运砂浆、抹平、压实</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270.77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575"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硫酸钡水泥（顶面在上一次楼地面铺）</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2.砂浆配合比:硫酸钡砂:水泥=4:1</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3.找平厚度:45mm厚硫酸钡水泥</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4.工作内容:清理基层、调运砂浆、抹平、压实</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 xml:space="preserve">19.55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2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顶面铅屏蔽</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1.名称：顶面铅屏蔽</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2.材质、规格:2mm铅板附在顶面装饰龙骨上</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3.铅板搭接：铅板与铅板之间的搭接宽度为(50mm正负5mm)</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4.工作内容：清理基层、打胶、粘贴面层、清理净面等。</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80.67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2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顶面轻钢龙骨</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1.名称：顶面轻钢龙骨</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2.规格：60系列吊顶轻钢龙骨</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3.工作内容：基层清理,定位,弹线,钻眼、安膨胀螺栓、安装龙骨。</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602.57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2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纸面石膏板</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1.名称：纸面石膏板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2.规格:9.5mm厚</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3.工作内容：铺钉面层、钉压条、清理等。</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杰森、雪丰、宝欣</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646.23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2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5</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顶面抗菌涂料</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1.名称：顶面抗菌涂料</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2.规格：刮腻子3道+抗菌涂料3遍，与产品配套腻子满刮三遍,砂纸磨光。喷涂抗菌涂料。</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嘉宝莉、天天晴、厦光漆</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646.23</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82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ascii="宋体" w:hAnsi="宋体" w:cs="宋体"/>
                <w:color w:val="auto"/>
                <w:sz w:val="20"/>
                <w:szCs w:val="20"/>
                <w:highlight w:val="none"/>
                <w:lang w:bidi="ar"/>
              </w:rPr>
              <w:t>6</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吊顶反支撑</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螺纹杆件φ8</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Arial Narrow" w:hAnsi="Arial Narrow" w:eastAsia="Arial Narrow" w:cs="Arial Narrow"/>
                <w:color w:val="auto"/>
                <w:sz w:val="20"/>
                <w:szCs w:val="20"/>
                <w:highlight w:val="none"/>
              </w:rPr>
            </w:pPr>
            <w:r>
              <w:rPr>
                <w:rFonts w:ascii="Arial Narrow" w:hAnsi="Arial Narrow" w:eastAsia="Arial Narrow" w:cs="Arial Narrow"/>
                <w:color w:val="auto"/>
                <w:sz w:val="20"/>
                <w:szCs w:val="20"/>
                <w:highlight w:val="none"/>
                <w:lang w:bidi="ar"/>
              </w:rPr>
              <w:t>T</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6.61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r>
              <w:rPr>
                <w:rFonts w:hint="eastAsia" w:ascii="宋体" w:hAnsi="宋体" w:cs="宋体"/>
                <w:b/>
                <w:bCs/>
                <w:color w:val="auto"/>
                <w:sz w:val="20"/>
                <w:szCs w:val="20"/>
                <w:highlight w:val="none"/>
              </w:rPr>
              <w:t>四</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 门窗工程 </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8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辅房单开手推门（含铅）</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1.名称：辅房单开手推门（3个铅当量）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2.代号：DT4X</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3.规格：1000*2200mm单开,铝合金门框，观察窗</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4.工作内容：校正框扇,安装观察窗,装配五金,焊接、框周边塞缝等。要求详见招标文件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辐射防护门：欧尼克、格满林、德科</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14.00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8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电动感应门(含铅)</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1.名称：电动感应门(3个铅当量)</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2.代号：ZDM1024</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3.规格：1000*2400mm单开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4.工作内容：安装门框、门扇、校正、安装锚固件、刷防腐油、安装自动感应装置、安装配套指示灯、安装五金配件、周边塞缝、清扫、调试等要求详见招标文件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电动装置：松下、欧尼克、纳博克</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8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电动感应门(含铅)</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1.名称：电动感应门(3个铅当量)</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2.代号：ZDM1021</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3.规格：1000*2100mm单开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4.工作内容：安装门框、门扇、校正、安装锚固件、刷防腐油、安装自动感应装置、安装配套指示灯、安装五金配件、周边塞缝、清扫、调试等要求详见招标文件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电动装置：松下、欧尼克、纳博克</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8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ascii="宋体" w:hAnsi="宋体" w:cs="宋体"/>
                <w:color w:val="auto"/>
                <w:sz w:val="20"/>
                <w:szCs w:val="20"/>
                <w:highlight w:val="none"/>
                <w:lang w:bidi="ar"/>
              </w:rPr>
              <w:t>4</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电动感应门(含铅)</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1.名称：电动感应门(3个铅当量)</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2.代号：M1524</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3.规格：1500*2400mm单开</w:t>
            </w:r>
          </w:p>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5.工作内容：安装门框、门扇、校正、安装锚固件、刷防腐油、安装自动感应装置、安装配套指示灯、安装五金配件、周边塞缝、清扫、调试等要求详见招标文件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电动装置：松下、欧尼克、纳博克</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ascii="宋体" w:hAnsi="宋体" w:cs="宋体"/>
                <w:color w:val="auto"/>
                <w:sz w:val="20"/>
                <w:szCs w:val="20"/>
                <w:highlight w:val="none"/>
                <w:lang w:bidi="ar"/>
              </w:rPr>
              <w:t>2</w:t>
            </w:r>
            <w:r>
              <w:rPr>
                <w:rFonts w:hint="eastAsia" w:ascii="宋体" w:hAnsi="宋体" w:cs="宋体"/>
                <w:color w:val="auto"/>
                <w:sz w:val="20"/>
                <w:szCs w:val="20"/>
                <w:highlight w:val="none"/>
                <w:lang w:bidi="ar"/>
              </w:rPr>
              <w:t xml:space="preserve">.00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8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5</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电动感应门(含铅)</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1.名称：电动感应门（3个铅当量)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2.代号：WAT6X/DTM1622</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3.规格：1600*2200mm单开</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4.工作内容：安装门框、门扇、校正、安装锚固件、刷防腐油、安装自动感应装置、安装配套指示灯、安装五金配件、周边塞缝、清扫、调试等要求详见招标文件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电动装置：松下、欧尼克、纳博克</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9.00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0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6</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电动感应门(含铅)</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1.名称：电动感应门（3个铅当量)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2.代号：WAT6X/DTM1622</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3.规格：1600*2200mm单开</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4.工作内容：安装门框、门扇、校正、安装锚固件、刷防腐油、安装自动感应装置、安装配套指示灯、安装五金配件、周边塞缝、清扫、调试等要求详见招标文件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电动装置：松下、欧尼克、纳博克</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10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7</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辅房单开手推门（含铅）</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numPr>
                <w:ilvl w:val="0"/>
                <w:numId w:val="7"/>
              </w:numPr>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名称：辅房单开手推门（3个铅当量）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2.代号：FM甲0620</w:t>
            </w:r>
          </w:p>
          <w:p>
            <w:pPr>
              <w:widowControl/>
              <w:numPr>
                <w:ilvl w:val="255"/>
                <w:numId w:val="0"/>
              </w:numPr>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3.规格：600*2000mm单开,铝合金门框，观察窗</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4.工作内容：校正框扇,安装观察窗,装配五金,焊接、框周边塞缝等。要求详见招标文件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辐射防护门：欧尼克、格满林、德科</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0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8</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铅屏蔽观察窗</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1.名称：铅屏蔽观察窗（3个铅当量）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3.规格：800*1200mm，15mm厚铅玻璃，窗套1.2mm厚不锈钢板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4.工作内容：定位、划线、吊正、找平、安装、框周边塞缝等要求详见招标文件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扇</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2.00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241"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9</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铅屏蔽观察窗</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1.名称：铅屏蔽观察窗（3个铅当量）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3.规格：1000*1200mm，15mm厚铅玻璃，窗套1.2mm厚不锈钢板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4.工作内容：定位、划线、吊正、找平、安装、框周边塞缝等要求详见招标文件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扇</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ascii="宋体" w:hAnsi="宋体" w:cs="宋体"/>
                <w:color w:val="auto"/>
                <w:sz w:val="20"/>
                <w:szCs w:val="20"/>
                <w:highlight w:val="none"/>
                <w:lang w:bidi="ar"/>
              </w:rPr>
              <w:t>2</w:t>
            </w:r>
            <w:r>
              <w:rPr>
                <w:rFonts w:hint="eastAsia" w:ascii="宋体" w:hAnsi="宋体" w:cs="宋体"/>
                <w:color w:val="auto"/>
                <w:sz w:val="20"/>
                <w:szCs w:val="20"/>
                <w:highlight w:val="none"/>
                <w:lang w:bidi="ar"/>
              </w:rPr>
              <w:t xml:space="preserve">.00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79"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10</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铅屏蔽观察窗</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1.名称：铅屏蔽观察窗（3个铅当量）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3.规格：1300*1200mm，15mm厚铅玻璃，窗套1.2mm厚不锈钢板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4.工作内容：定位、划线、吊正、找平、安装、框周边塞缝等要求详见招标文件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扇</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7.00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079"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铅屏蔽观察窗</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1.名称：铅屏蔽观察窗（3个铅当量）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3.规格：1300*1200mm，115mm厚铅玻璃，窗套1.2mm厚不锈钢板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4.工作内容：定位、划线、吊正、找平、安装、框周边塞缝等要求详见招标文件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扇</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35"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12</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铅屏蔽观察窗</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1.名称：铅屏蔽观察窗（3个铅当量）</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3.规格：1500*1200mm，15mm厚铅玻璃，窗套1.2mm厚不锈钢板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4.工作内容：定位、划线、吊正、找平、安装、框周边塞缝等要求详见招标文件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扇</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36"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b/>
                <w:bCs/>
                <w:color w:val="auto"/>
                <w:sz w:val="20"/>
                <w:szCs w:val="20"/>
                <w:highlight w:val="none"/>
                <w:lang w:bidi="ar"/>
              </w:rPr>
              <w:t>五</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b/>
                <w:bCs/>
                <w:color w:val="auto"/>
                <w:sz w:val="20"/>
                <w:szCs w:val="20"/>
                <w:highlight w:val="none"/>
                <w:lang w:bidi="ar"/>
              </w:rPr>
              <w:t>其他</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lang w:bidi="ar"/>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714"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房间内照明系统等</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1.含机房内工作插座、照明、弱电等管线布置和等电位联接</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2.根据机房设备线路布局图设置地面暗槽</w:t>
            </w:r>
          </w:p>
          <w:p>
            <w:pPr>
              <w:widowControl/>
              <w:jc w:val="lef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3.工作内容：定位、划线、安装等要求详见招标文件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间</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26.00</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6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小计</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12" w:hRule="atLeast"/>
          <w:jc w:val="center"/>
        </w:trPr>
        <w:tc>
          <w:tcPr>
            <w:tcW w:w="11318" w:type="dxa"/>
            <w:gridSpan w:val="8"/>
            <w:tcBorders>
              <w:top w:val="nil"/>
              <w:left w:val="nil"/>
              <w:bottom w:val="nil"/>
              <w:right w:val="nil"/>
            </w:tcBorders>
            <w:noWrap/>
            <w:vAlign w:val="center"/>
          </w:tcPr>
          <w:p>
            <w:pPr>
              <w:jc w:val="center"/>
              <w:rPr>
                <w:rFonts w:ascii="宋体" w:hAnsi="宋体" w:cs="宋体"/>
                <w:b/>
                <w:bCs/>
                <w:color w:val="auto"/>
                <w:sz w:val="32"/>
                <w:szCs w:val="32"/>
                <w:highlight w:val="none"/>
                <w:lang w:bidi="ar"/>
              </w:rPr>
            </w:pPr>
          </w:p>
          <w:p>
            <w:pPr>
              <w:jc w:val="center"/>
              <w:rPr>
                <w:rFonts w:ascii="宋体" w:hAnsi="宋体" w:cs="宋体"/>
                <w:b/>
                <w:bCs/>
                <w:color w:val="auto"/>
                <w:sz w:val="32"/>
                <w:szCs w:val="32"/>
                <w:highlight w:val="none"/>
                <w:lang w:bidi="ar"/>
              </w:rPr>
            </w:pPr>
          </w:p>
          <w:p>
            <w:pPr>
              <w:jc w:val="center"/>
              <w:rPr>
                <w:rFonts w:ascii="宋体" w:hAnsi="宋体" w:cs="宋体"/>
                <w:b/>
                <w:bCs/>
                <w:color w:val="auto"/>
                <w:sz w:val="32"/>
                <w:szCs w:val="32"/>
                <w:highlight w:val="none"/>
                <w:lang w:bidi="ar"/>
              </w:rPr>
            </w:pPr>
          </w:p>
          <w:p>
            <w:pPr>
              <w:jc w:val="center"/>
              <w:rPr>
                <w:rFonts w:ascii="宋体" w:hAnsi="宋体" w:cs="宋体"/>
                <w:color w:val="auto"/>
                <w:sz w:val="24"/>
                <w:szCs w:val="24"/>
                <w:highlight w:val="none"/>
              </w:rPr>
            </w:pPr>
            <w:r>
              <w:rPr>
                <w:rFonts w:hint="eastAsia" w:ascii="宋体" w:hAnsi="宋体" w:cs="宋体"/>
                <w:b/>
                <w:bCs/>
                <w:color w:val="auto"/>
                <w:sz w:val="32"/>
                <w:szCs w:val="32"/>
                <w:highlight w:val="none"/>
                <w:lang w:bidi="ar"/>
              </w:rPr>
              <w:t>二、磁屏蔽专业</w:t>
            </w:r>
          </w:p>
        </w:tc>
      </w:tr>
      <w:tr>
        <w:tblPrEx>
          <w:tblCellMar>
            <w:top w:w="0" w:type="dxa"/>
            <w:left w:w="108" w:type="dxa"/>
            <w:bottom w:w="0" w:type="dxa"/>
            <w:right w:w="108" w:type="dxa"/>
          </w:tblCellMar>
        </w:tblPrEx>
        <w:trPr>
          <w:trHeight w:val="312" w:hRule="atLeast"/>
          <w:jc w:val="center"/>
        </w:trPr>
        <w:tc>
          <w:tcPr>
            <w:tcW w:w="475"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序号</w:t>
            </w:r>
          </w:p>
        </w:tc>
        <w:tc>
          <w:tcPr>
            <w:tcW w:w="1277"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名称</w:t>
            </w:r>
          </w:p>
        </w:tc>
        <w:tc>
          <w:tcPr>
            <w:tcW w:w="506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型号规格</w:t>
            </w:r>
          </w:p>
        </w:tc>
        <w:tc>
          <w:tcPr>
            <w:tcW w:w="1086"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品牌</w:t>
            </w:r>
          </w:p>
        </w:tc>
        <w:tc>
          <w:tcPr>
            <w:tcW w:w="722"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单位</w:t>
            </w:r>
          </w:p>
        </w:tc>
        <w:tc>
          <w:tcPr>
            <w:tcW w:w="1215"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数量</w:t>
            </w:r>
          </w:p>
        </w:tc>
        <w:tc>
          <w:tcPr>
            <w:tcW w:w="687"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黑体" w:hAnsi="宋体" w:eastAsia="黑体" w:cs="黑体"/>
                <w:b/>
                <w:bCs/>
                <w:color w:val="auto"/>
                <w:sz w:val="20"/>
                <w:szCs w:val="20"/>
                <w:highlight w:val="none"/>
              </w:rPr>
            </w:pPr>
            <w:r>
              <w:rPr>
                <w:rFonts w:hint="eastAsia" w:ascii="黑体" w:hAnsi="宋体" w:eastAsia="黑体" w:cs="黑体"/>
                <w:b/>
                <w:bCs/>
                <w:color w:val="auto"/>
                <w:sz w:val="20"/>
                <w:szCs w:val="20"/>
                <w:highlight w:val="none"/>
                <w:lang w:bidi="ar"/>
              </w:rPr>
              <w:t>含税     综合单价</w:t>
            </w:r>
          </w:p>
        </w:tc>
        <w:tc>
          <w:tcPr>
            <w:tcW w:w="793" w:type="dxa"/>
            <w:vMerge w:val="restart"/>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黑体" w:hAnsi="宋体" w:eastAsia="黑体" w:cs="黑体"/>
                <w:b/>
                <w:bCs/>
                <w:color w:val="auto"/>
                <w:sz w:val="20"/>
                <w:szCs w:val="20"/>
                <w:highlight w:val="none"/>
              </w:rPr>
            </w:pPr>
            <w:r>
              <w:rPr>
                <w:rFonts w:hint="eastAsia" w:ascii="黑体" w:hAnsi="宋体" w:eastAsia="黑体" w:cs="黑体"/>
                <w:b/>
                <w:bCs/>
                <w:color w:val="auto"/>
                <w:sz w:val="20"/>
                <w:szCs w:val="20"/>
                <w:highlight w:val="none"/>
                <w:lang w:bidi="ar"/>
              </w:rPr>
              <w:t>合价</w:t>
            </w:r>
          </w:p>
        </w:tc>
      </w:tr>
      <w:tr>
        <w:tblPrEx>
          <w:tblCellMar>
            <w:top w:w="0" w:type="dxa"/>
            <w:left w:w="108" w:type="dxa"/>
            <w:bottom w:w="0" w:type="dxa"/>
            <w:right w:w="108" w:type="dxa"/>
          </w:tblCellMar>
        </w:tblPrEx>
        <w:trPr>
          <w:trHeight w:val="960" w:hRule="atLeast"/>
          <w:jc w:val="center"/>
        </w:trPr>
        <w:tc>
          <w:tcPr>
            <w:tcW w:w="47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127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506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1086"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722"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1215"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b/>
                <w:bCs/>
                <w:color w:val="auto"/>
                <w:sz w:val="20"/>
                <w:szCs w:val="20"/>
                <w:highlight w:val="none"/>
              </w:rPr>
            </w:pPr>
          </w:p>
        </w:tc>
        <w:tc>
          <w:tcPr>
            <w:tcW w:w="687"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cs="黑体"/>
                <w:b/>
                <w:bCs/>
                <w:color w:val="auto"/>
                <w:sz w:val="20"/>
                <w:szCs w:val="20"/>
                <w:highlight w:val="none"/>
              </w:rPr>
            </w:pPr>
          </w:p>
        </w:tc>
        <w:tc>
          <w:tcPr>
            <w:tcW w:w="793" w:type="dxa"/>
            <w:vMerge w:val="continue"/>
            <w:tcBorders>
              <w:top w:val="single" w:color="000000" w:sz="4" w:space="0"/>
              <w:left w:val="single" w:color="000000" w:sz="4" w:space="0"/>
              <w:bottom w:val="single" w:color="000000" w:sz="4" w:space="0"/>
              <w:right w:val="single" w:color="000000" w:sz="4" w:space="0"/>
            </w:tcBorders>
            <w:vAlign w:val="center"/>
          </w:tcPr>
          <w:p>
            <w:pPr>
              <w:jc w:val="center"/>
              <w:rPr>
                <w:rFonts w:ascii="黑体" w:hAnsi="宋体" w:eastAsia="黑体" w:cs="黑体"/>
                <w:b/>
                <w:bCs/>
                <w:color w:val="auto"/>
                <w:sz w:val="20"/>
                <w:szCs w:val="20"/>
                <w:highlight w:val="none"/>
              </w:rPr>
            </w:pPr>
          </w:p>
        </w:tc>
      </w:tr>
      <w:tr>
        <w:tblPrEx>
          <w:tblCellMar>
            <w:top w:w="0" w:type="dxa"/>
            <w:left w:w="108" w:type="dxa"/>
            <w:bottom w:w="0" w:type="dxa"/>
            <w:right w:w="108" w:type="dxa"/>
          </w:tblCellMar>
        </w:tblPrEx>
        <w:trPr>
          <w:trHeight w:val="522"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一</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地面工程</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vAlign w:val="center"/>
          </w:tcPr>
          <w:p>
            <w:pPr>
              <w:jc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719"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地面磁屏蔽（含塑胶卷材地面）</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1.名称：地面磁屏蔽</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2.材质、规格：电解铜箔0.2mm，后做高密度板回填，并粘贴塑胶卷材地面</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3、工作内容：清理基层、打胶、粘贴面层、清理净面等。</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43.66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522"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二</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墙面工程</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2669"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墙面磁屏蔽（含木质吸音板）</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1.名称：墙面磁屏蔽</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材质、规格:电解铜箔0.14mm，按房间尺寸排模，在车间将每块板四周折弯成直角并在折弯处冲孔制成模块。在施工现场用无磁螺栓将屏蔽模块连接安装，缝隙填充铜丝网。屏蔽体与墙体采用PVC绝缘连接件或木方固定。之后再做第二层木龙骨，，面层安装木质吸音板，并填充隔音棉</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4.工作内容：清理基层、打胶、粘贴面层、清理净面等。</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152.66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三</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 顶面工程 </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right"/>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179"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顶面磁屏蔽（含铝制微孔吸音板吊顶）</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1.名称：顶面磁屏蔽</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材质、规格:电解铜箔0.14mm，按房间尺寸排模，在车间将每块板四周折弯成直角并在折弯处冲孔制成模块。屏蔽顶面采用通丝吊杆固定，并用PVC绝缘连接件或木方做连接以起到绝缘效果。之后再做抗氧化铝合金龙骨架，安装铝合金微孔吊顶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3工作内容：装饰龙骨架与屏蔽体用木方连接固定，不可穿过屏蔽板，清理基层、打胶、粘贴面层、清理净面等。</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m2</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43.66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60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四</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 xml:space="preserve"> 门窗工程 </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right"/>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35"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辅房单开手推门（磁）</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1.名称：辅房单开手推门（磁屏蔽）</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2.代号：DT4（磁）</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3.规格：1000*2200mm单开,铝合金门框，观察窗</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4.工作内容：校正框扇,安装观察窗,装配五金,焊接、框周边塞缝等。要求详见招标文件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辐射防护门：欧尼克、格满林、德科</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35"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2</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电动感应门(磁)</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1.名称：电动感应门(磁屏蔽)</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2.代号：WAT6（磁）</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3.规格：1600*2200mm单开</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5.工作内容：安装门框、门扇、校正、安装锚固件、刷防腐油、安装自动感应装置、安装配套指示灯、安装五金配件、周边塞缝、清扫、调试等要求详见招标文件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电动装置：松下、欧尼克、纳博克</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樘</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1935"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3</w:t>
            </w: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磁屏蔽观察窗</w:t>
            </w:r>
          </w:p>
        </w:tc>
        <w:tc>
          <w:tcPr>
            <w:tcW w:w="5063" w:type="dxa"/>
            <w:tcBorders>
              <w:top w:val="single" w:color="000000" w:sz="4" w:space="0"/>
              <w:left w:val="single" w:color="000000" w:sz="4" w:space="0"/>
              <w:bottom w:val="single" w:color="000000" w:sz="4" w:space="0"/>
              <w:right w:val="single" w:color="000000" w:sz="4" w:space="0"/>
            </w:tcBorders>
            <w:vAlign w:val="center"/>
          </w:tcPr>
          <w:p>
            <w:pPr>
              <w:widowControl/>
              <w:jc w:val="lef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1.名称：磁屏蔽观察窗</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2.代号：</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3.规格：1300*1200mm，磁屏蔽玻璃，窗套1.2mm厚不锈钢板</w:t>
            </w:r>
            <w:r>
              <w:rPr>
                <w:rFonts w:hint="eastAsia" w:ascii="宋体" w:hAnsi="宋体" w:cs="宋体"/>
                <w:color w:val="auto"/>
                <w:sz w:val="20"/>
                <w:szCs w:val="20"/>
                <w:highlight w:val="none"/>
                <w:lang w:bidi="ar"/>
              </w:rPr>
              <w:br w:type="textWrapping"/>
            </w:r>
            <w:r>
              <w:rPr>
                <w:rFonts w:hint="eastAsia" w:ascii="宋体" w:hAnsi="宋体" w:cs="宋体"/>
                <w:color w:val="auto"/>
                <w:sz w:val="20"/>
                <w:szCs w:val="20"/>
                <w:highlight w:val="none"/>
                <w:lang w:bidi="ar"/>
              </w:rPr>
              <w:t>7.工作内容：定位、划线、吊正、找平、安装、框周边塞缝等要求详见招标文件</w:t>
            </w:r>
          </w:p>
        </w:tc>
        <w:tc>
          <w:tcPr>
            <w:tcW w:w="108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w:t>
            </w:r>
          </w:p>
        </w:tc>
        <w:tc>
          <w:tcPr>
            <w:tcW w:w="722"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扇</w:t>
            </w:r>
          </w:p>
        </w:tc>
        <w:tc>
          <w:tcPr>
            <w:tcW w:w="1215"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1.00 </w:t>
            </w:r>
          </w:p>
        </w:tc>
        <w:tc>
          <w:tcPr>
            <w:tcW w:w="687"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widowControl/>
              <w:jc w:val="right"/>
              <w:textAlignment w:val="center"/>
              <w:rPr>
                <w:rFonts w:ascii="宋体" w:hAnsi="宋体" w:cs="宋体"/>
                <w:color w:val="auto"/>
                <w:sz w:val="20"/>
                <w:szCs w:val="20"/>
                <w:highlight w:val="none"/>
              </w:rPr>
            </w:pPr>
          </w:p>
        </w:tc>
      </w:tr>
      <w:tr>
        <w:tblPrEx>
          <w:tblCellMar>
            <w:top w:w="0" w:type="dxa"/>
            <w:left w:w="108" w:type="dxa"/>
            <w:bottom w:w="0" w:type="dxa"/>
            <w:right w:w="108" w:type="dxa"/>
          </w:tblCellMar>
        </w:tblPrEx>
        <w:trPr>
          <w:trHeight w:val="420"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小计</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left"/>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Arial Narrow" w:hAnsi="Arial Narrow" w:eastAsia="Arial Narrow" w:cs="Arial Narrow"/>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noWrap/>
            <w:vAlign w:val="center"/>
          </w:tcPr>
          <w:p>
            <w:pPr>
              <w:jc w:val="right"/>
              <w:rPr>
                <w:rFonts w:ascii="宋体" w:hAnsi="宋体" w:cs="宋体"/>
                <w:color w:val="auto"/>
                <w:sz w:val="20"/>
                <w:szCs w:val="20"/>
                <w:highlight w:val="none"/>
              </w:rPr>
            </w:pPr>
          </w:p>
        </w:tc>
      </w:tr>
      <w:tr>
        <w:tblPrEx>
          <w:tblCellMar>
            <w:top w:w="0" w:type="dxa"/>
            <w:left w:w="108" w:type="dxa"/>
            <w:bottom w:w="0" w:type="dxa"/>
            <w:right w:w="108" w:type="dxa"/>
          </w:tblCellMar>
        </w:tblPrEx>
        <w:trPr>
          <w:trHeight w:val="399" w:hRule="atLeast"/>
          <w:jc w:val="center"/>
        </w:trPr>
        <w:tc>
          <w:tcPr>
            <w:tcW w:w="47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77"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r>
              <w:rPr>
                <w:rFonts w:hint="eastAsia" w:ascii="宋体" w:hAnsi="宋体" w:cs="宋体"/>
                <w:b/>
                <w:bCs/>
                <w:color w:val="auto"/>
                <w:sz w:val="20"/>
                <w:szCs w:val="20"/>
                <w:highlight w:val="none"/>
                <w:lang w:bidi="ar"/>
              </w:rPr>
              <w:t>合计</w:t>
            </w:r>
          </w:p>
        </w:tc>
        <w:tc>
          <w:tcPr>
            <w:tcW w:w="5063"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086"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22"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1215"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687" w:type="dxa"/>
            <w:tcBorders>
              <w:top w:val="single" w:color="000000" w:sz="4" w:space="0"/>
              <w:left w:val="single" w:color="000000" w:sz="4" w:space="0"/>
              <w:bottom w:val="single" w:color="000000" w:sz="4" w:space="0"/>
              <w:right w:val="single" w:color="000000" w:sz="4" w:space="0"/>
            </w:tcBorders>
            <w:vAlign w:val="center"/>
          </w:tcPr>
          <w:p>
            <w:pPr>
              <w:jc w:val="center"/>
              <w:rPr>
                <w:rFonts w:ascii="宋体" w:hAnsi="宋体" w:cs="宋体"/>
                <w:color w:val="auto"/>
                <w:sz w:val="20"/>
                <w:szCs w:val="20"/>
                <w:highlight w:val="none"/>
              </w:rPr>
            </w:pPr>
          </w:p>
        </w:tc>
        <w:tc>
          <w:tcPr>
            <w:tcW w:w="79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ascii="宋体" w:hAnsi="宋体" w:cs="宋体"/>
                <w:b/>
                <w:bCs/>
                <w:color w:val="auto"/>
                <w:sz w:val="20"/>
                <w:szCs w:val="20"/>
                <w:highlight w:val="none"/>
              </w:rPr>
            </w:pPr>
          </w:p>
        </w:tc>
      </w:tr>
    </w:tbl>
    <w:p>
      <w:pPr>
        <w:pStyle w:val="9"/>
        <w:spacing w:line="360" w:lineRule="auto"/>
        <w:rPr>
          <w:rFonts w:ascii="宋体" w:hAnsi="宋体" w:cs="宋体"/>
          <w:color w:val="auto"/>
          <w:sz w:val="21"/>
          <w:szCs w:val="21"/>
          <w:highlight w:val="none"/>
        </w:rPr>
      </w:pPr>
    </w:p>
    <w:p>
      <w:pPr>
        <w:pStyle w:val="9"/>
        <w:spacing w:line="360" w:lineRule="auto"/>
        <w:rPr>
          <w:rFonts w:ascii="宋体" w:hAnsi="宋体" w:cs="宋体"/>
          <w:color w:val="auto"/>
          <w:sz w:val="21"/>
          <w:szCs w:val="21"/>
          <w:highlight w:val="none"/>
        </w:rPr>
      </w:pPr>
      <w:r>
        <w:rPr>
          <w:rFonts w:hint="eastAsia" w:ascii="宋体" w:hAnsi="宋体" w:cs="宋体"/>
          <w:color w:val="auto"/>
          <w:sz w:val="21"/>
          <w:szCs w:val="21"/>
          <w:highlight w:val="none"/>
        </w:rPr>
        <w:t>注：1、“含税综合单价”包括深化设计（中标后提供）费、设备材料费、运输保险费、卸货费、保管费、仓储费、施工费、调试费、技术服务与培训费、试运行费用、验收费、质保期内的维修保养费、备品备件（含专用工具）费、所有措施费、规费、税金（按国家规定）、施工水电费、总承包服务费、政策性文件规定等所有因素的相关费用。</w:t>
      </w:r>
    </w:p>
    <w:p>
      <w:pPr>
        <w:spacing w:line="360" w:lineRule="auto"/>
        <w:rPr>
          <w:rFonts w:ascii="宋体" w:hAnsi="宋体" w:cs="宋体"/>
          <w:color w:val="auto"/>
          <w:szCs w:val="21"/>
          <w:highlight w:val="none"/>
        </w:rPr>
      </w:pPr>
      <w:r>
        <w:rPr>
          <w:rFonts w:hint="eastAsia" w:ascii="宋体" w:hAnsi="宋体" w:cs="宋体"/>
          <w:color w:val="auto"/>
          <w:szCs w:val="21"/>
          <w:highlight w:val="none"/>
        </w:rPr>
        <w:t>2、投标人可在以上货物清单之后详细列出认为对于按招标文件、图纸及技术要求完成本工程所必须发生的，但没有包括在上述货物清单费用中的项目；如认为清单内项目的数量有误，亦可于下方列明具体的“序号、名称、型号规格、品牌、单位、数量、含税综合单价、合价”并计算增减费用。</w:t>
      </w: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color w:val="auto"/>
          <w:highlight w:val="none"/>
        </w:rPr>
      </w:pPr>
      <w:bookmarkStart w:id="453" w:name="_Toc24820"/>
      <w:r>
        <w:rPr>
          <w:rFonts w:hint="eastAsia"/>
          <w:color w:val="auto"/>
          <w:highlight w:val="none"/>
        </w:rPr>
        <w:t>第七章</w:t>
      </w:r>
      <w:r>
        <w:rPr>
          <w:color w:val="auto"/>
          <w:highlight w:val="none"/>
        </w:rPr>
        <w:t xml:space="preserve">  </w:t>
      </w:r>
      <w:r>
        <w:rPr>
          <w:rFonts w:hint="eastAsia"/>
          <w:color w:val="auto"/>
          <w:highlight w:val="none"/>
        </w:rPr>
        <w:t>投标文件格式</w:t>
      </w:r>
      <w:bookmarkEnd w:id="453"/>
    </w:p>
    <w:p>
      <w:pPr>
        <w:spacing w:line="360" w:lineRule="auto"/>
        <w:ind w:left="1290"/>
        <w:jc w:val="left"/>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投标文件内容</w:t>
      </w:r>
      <w:r>
        <w:rPr>
          <w:rFonts w:asciiTheme="minorEastAsia" w:hAnsiTheme="minorEastAsia" w:eastAsiaTheme="minorEastAsia" w:cstheme="minorEastAsia"/>
          <w:color w:val="auto"/>
          <w:sz w:val="28"/>
          <w:szCs w:val="28"/>
          <w:highlight w:val="none"/>
        </w:rPr>
        <w:t xml:space="preserve">: </w:t>
      </w:r>
      <w:r>
        <w:rPr>
          <w:rFonts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rPr>
        <w:t>资格审查资料</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7"/>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7"/>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pStyle w:val="27"/>
        <w:ind w:firstLine="281"/>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资格审查资料：</w:t>
      </w:r>
    </w:p>
    <w:p>
      <w:pPr>
        <w:pStyle w:val="27"/>
        <w:ind w:firstLine="281"/>
        <w:rPr>
          <w:rFonts w:asciiTheme="minorEastAsia" w:hAnsiTheme="minorEastAsia" w:eastAsiaTheme="minorEastAsia" w:cstheme="minorEastAsia"/>
          <w:b/>
          <w:bCs/>
          <w:color w:val="auto"/>
          <w:sz w:val="28"/>
          <w:szCs w:val="28"/>
          <w:highlight w:val="none"/>
        </w:rPr>
      </w:pPr>
    </w:p>
    <w:p>
      <w:pPr>
        <w:spacing w:line="360" w:lineRule="auto"/>
        <w:ind w:firstLine="210"/>
        <w:rPr>
          <w:rFonts w:asciiTheme="minorEastAsia" w:hAnsiTheme="minorEastAsia" w:eastAsiaTheme="minorEastAsia" w:cstheme="minorEastAsia"/>
          <w:color w:val="auto"/>
          <w:sz w:val="28"/>
          <w:szCs w:val="28"/>
          <w:highlight w:val="none"/>
        </w:rPr>
      </w:pPr>
    </w:p>
    <w:p>
      <w:pPr>
        <w:numPr>
          <w:ilvl w:val="255"/>
          <w:numId w:val="0"/>
        </w:numPr>
        <w:spacing w:line="360" w:lineRule="auto"/>
        <w:ind w:right="241"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asciiTheme="minorEastAsia" w:hAnsiTheme="minorEastAsia" w:eastAsiaTheme="minorEastAsia" w:cstheme="minorEastAsia"/>
          <w:color w:val="auto"/>
          <w:sz w:val="24"/>
          <w:szCs w:val="24"/>
          <w:highlight w:val="none"/>
        </w:rPr>
        <w:t>企业法人营业执照</w:t>
      </w:r>
      <w:r>
        <w:rPr>
          <w:rFonts w:hint="eastAsia" w:asciiTheme="minorEastAsia" w:hAnsiTheme="minorEastAsia" w:eastAsiaTheme="minorEastAsia" w:cstheme="minorEastAsia"/>
          <w:color w:val="auto"/>
          <w:sz w:val="24"/>
          <w:szCs w:val="24"/>
          <w:highlight w:val="none"/>
        </w:rPr>
        <w:t>复印件。</w:t>
      </w:r>
    </w:p>
    <w:p>
      <w:pPr>
        <w:widowControl/>
        <w:numPr>
          <w:ilvl w:val="255"/>
          <w:numId w:val="0"/>
        </w:numPr>
        <w:spacing w:line="360" w:lineRule="auto"/>
        <w:ind w:right="241" w:firstLine="480" w:firstLineChars="200"/>
        <w:jc w:val="left"/>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lang w:bidi="ar"/>
        </w:rPr>
        <w:t>2、企业资质证书、安全生产许可证复印件。</w:t>
      </w:r>
    </w:p>
    <w:p>
      <w:pPr>
        <w:pStyle w:val="27"/>
        <w:ind w:firstLine="240"/>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 xml:space="preserve">  3、</w:t>
      </w:r>
      <w:r>
        <w:rPr>
          <w:rFonts w:hint="eastAsia" w:asciiTheme="minorEastAsia" w:hAnsiTheme="minorEastAsia" w:eastAsiaTheme="minorEastAsia" w:cstheme="minorEastAsia"/>
          <w:b w:val="0"/>
          <w:iCs w:val="0"/>
          <w:color w:val="auto"/>
          <w:sz w:val="24"/>
          <w:szCs w:val="24"/>
          <w:highlight w:val="none"/>
          <w:u w:val="none"/>
          <w:lang w:bidi="ar"/>
        </w:rPr>
        <w:t>浙江省外企业须提供浙江省住建厅核发的有效期内备案证明（浙江省内企业不作要求）</w:t>
      </w:r>
      <w:r>
        <w:rPr>
          <w:rFonts w:hint="eastAsia" w:asciiTheme="minorEastAsia" w:hAnsiTheme="minorEastAsia" w:eastAsiaTheme="minorEastAsia" w:cstheme="minorEastAsia"/>
          <w:color w:val="auto"/>
          <w:sz w:val="24"/>
          <w:szCs w:val="24"/>
          <w:highlight w:val="none"/>
          <w:lang w:bidi="ar"/>
        </w:rPr>
        <w:t>。</w:t>
      </w:r>
    </w:p>
    <w:p>
      <w:pPr>
        <w:numPr>
          <w:ilvl w:val="255"/>
          <w:numId w:val="0"/>
        </w:numPr>
        <w:spacing w:line="360" w:lineRule="auto"/>
        <w:ind w:right="241" w:firstLine="480" w:firstLineChars="200"/>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strike/>
          <w:color w:val="auto"/>
          <w:sz w:val="24"/>
          <w:szCs w:val="24"/>
          <w:highlight w:val="none"/>
          <w:lang w:bidi="ar"/>
        </w:rPr>
        <w:t>4</w:t>
      </w:r>
      <w:r>
        <w:rPr>
          <w:rFonts w:asciiTheme="minorEastAsia" w:hAnsiTheme="minorEastAsia" w:eastAsiaTheme="minorEastAsia" w:cstheme="minorEastAsia"/>
          <w:color w:val="auto"/>
          <w:sz w:val="24"/>
          <w:szCs w:val="24"/>
          <w:highlight w:val="none"/>
          <w:lang w:bidi="ar"/>
        </w:rPr>
        <w:t>、项目负责人注册证书、安全生产考核合格证、社保证明复印件。</w:t>
      </w:r>
    </w:p>
    <w:p>
      <w:pPr>
        <w:widowControl/>
        <w:numPr>
          <w:ilvl w:val="255"/>
          <w:numId w:val="0"/>
        </w:numPr>
        <w:spacing w:line="360" w:lineRule="auto"/>
        <w:ind w:right="241"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5</w:t>
      </w:r>
      <w:r>
        <w:rPr>
          <w:rFonts w:asciiTheme="minorEastAsia" w:hAnsiTheme="minorEastAsia" w:eastAsiaTheme="minorEastAsia" w:cstheme="minorEastAsia"/>
          <w:color w:val="auto"/>
          <w:sz w:val="24"/>
          <w:szCs w:val="24"/>
          <w:highlight w:val="none"/>
          <w:lang w:bidi="ar"/>
        </w:rPr>
        <w:t>、承诺书（①承诺对资格审查资料所有提交的证明材料真实有效性负责，若发现其有伪造证书、业绩等行为的，同意招标人不接受其投标，其缴纳的投标保证金不予退还；②承诺企业和项目负责人近 5年内无行贿犯罪记录。）格式自拟，加盖投标人公章。</w:t>
      </w:r>
    </w:p>
    <w:p>
      <w:pPr>
        <w:widowControl/>
        <w:spacing w:line="360" w:lineRule="auto"/>
        <w:jc w:val="left"/>
        <w:rPr>
          <w:color w:val="auto"/>
          <w:sz w:val="24"/>
          <w:szCs w:val="24"/>
          <w:highlight w:val="none"/>
        </w:rPr>
      </w:pPr>
      <w:r>
        <w:rPr>
          <w:rFonts w:hint="eastAsia" w:ascii="宋体" w:hAnsi="宋体" w:cs="宋体"/>
          <w:b/>
          <w:bCs/>
          <w:color w:val="auto"/>
          <w:sz w:val="24"/>
          <w:szCs w:val="24"/>
          <w:highlight w:val="none"/>
          <w:lang w:bidi="ar"/>
        </w:rPr>
        <w:t>注：不能提供上述</w:t>
      </w:r>
      <w:r>
        <w:rPr>
          <w:rFonts w:hint="eastAsia" w:ascii="宋体" w:hAnsi="宋体" w:cs="宋体"/>
          <w:color w:val="auto"/>
          <w:sz w:val="24"/>
          <w:szCs w:val="24"/>
          <w:highlight w:val="none"/>
          <w:lang w:bidi="ar"/>
        </w:rPr>
        <w:t>（1）～（5）</w:t>
      </w:r>
      <w:r>
        <w:rPr>
          <w:rFonts w:hint="eastAsia" w:ascii="宋体" w:hAnsi="宋体" w:cs="宋体"/>
          <w:b/>
          <w:bCs/>
          <w:color w:val="auto"/>
          <w:sz w:val="24"/>
          <w:szCs w:val="24"/>
          <w:highlight w:val="none"/>
          <w:lang w:bidi="ar"/>
        </w:rPr>
        <w:t>材料任何一项或不符合审查要求的投标人为资格审查不合格。</w:t>
      </w:r>
    </w:p>
    <w:p>
      <w:pPr>
        <w:ind w:right="241" w:firstLine="560"/>
        <w:rPr>
          <w:rFonts w:asciiTheme="minorEastAsia" w:hAnsiTheme="minorEastAsia" w:eastAsiaTheme="minorEastAsia" w:cstheme="minorEastAsia"/>
          <w:color w:val="auto"/>
          <w:sz w:val="24"/>
          <w:szCs w:val="24"/>
          <w:highlight w:val="none"/>
        </w:rPr>
      </w:pPr>
    </w:p>
    <w:p>
      <w:pPr>
        <w:rPr>
          <w:color w:val="auto"/>
          <w:sz w:val="24"/>
          <w:szCs w:val="24"/>
          <w:highlight w:val="none"/>
        </w:rPr>
      </w:pPr>
    </w:p>
    <w:p>
      <w:pPr>
        <w:widowControl/>
        <w:ind w:right="241" w:firstLine="560"/>
        <w:jc w:val="left"/>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color w:val="auto"/>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技术标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7"/>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7"/>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
        <w:spacing w:before="120" w:after="120" w:line="400" w:lineRule="exac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投标人提供的评审打分资料一览表</w:t>
      </w:r>
    </w:p>
    <w:p>
      <w:pPr>
        <w:adjustRightInd w:val="0"/>
        <w:snapToGrid w:val="0"/>
        <w:rPr>
          <w:rFonts w:asciiTheme="minorEastAsia" w:hAnsiTheme="minorEastAsia" w:eastAsiaTheme="minorEastAsia" w:cstheme="minorEastAsia"/>
          <w:b/>
          <w:color w:val="auto"/>
          <w:sz w:val="24"/>
          <w:szCs w:val="24"/>
          <w:highlight w:val="none"/>
        </w:rPr>
      </w:pPr>
    </w:p>
    <w:tbl>
      <w:tblPr>
        <w:tblStyle w:val="28"/>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资料名称</w:t>
            </w:r>
          </w:p>
        </w:tc>
        <w:tc>
          <w:tcPr>
            <w:tcW w:w="1477"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共 页</w:t>
            </w:r>
          </w:p>
        </w:tc>
        <w:tc>
          <w:tcPr>
            <w:tcW w:w="1808"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bl>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日期：          </w:t>
      </w:r>
      <w:r>
        <w:rPr>
          <w:rFonts w:hint="eastAsia" w:asciiTheme="minorEastAsia" w:hAnsiTheme="minorEastAsia" w:eastAsiaTheme="minorEastAsia" w:cstheme="minorEastAsia"/>
          <w:color w:val="auto"/>
          <w:sz w:val="24"/>
          <w:szCs w:val="24"/>
          <w:highlight w:val="none"/>
        </w:rPr>
        <w:t>年   月   日</w:t>
      </w: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281"/>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详细内容由投标单位根据投标人须知第</w:t>
      </w:r>
      <w:r>
        <w:rPr>
          <w:rFonts w:asciiTheme="minorEastAsia" w:hAnsiTheme="minorEastAsia" w:eastAsiaTheme="minorEastAsia"/>
          <w:b/>
          <w:bCs/>
          <w:color w:val="auto"/>
          <w:sz w:val="28"/>
          <w:szCs w:val="28"/>
          <w:highlight w:val="none"/>
        </w:rPr>
        <w:t xml:space="preserve"> 3.1.2 </w:t>
      </w:r>
      <w:r>
        <w:rPr>
          <w:rFonts w:hint="eastAsia" w:asciiTheme="minorEastAsia" w:hAnsiTheme="minorEastAsia" w:eastAsiaTheme="minorEastAsia"/>
          <w:b/>
          <w:bCs/>
          <w:color w:val="auto"/>
          <w:sz w:val="28"/>
          <w:szCs w:val="28"/>
          <w:highlight w:val="none"/>
        </w:rPr>
        <w:t>技术标部分内容进行编制，格式自拟。</w:t>
      </w: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近年完成的类似项目情况表</w:t>
      </w:r>
    </w:p>
    <w:tbl>
      <w:tblPr>
        <w:tblStyle w:val="28"/>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bl>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pStyle w:val="27"/>
        <w:ind w:firstLine="321"/>
        <w:rPr>
          <w:rFonts w:ascii="黑体" w:hAnsi="黑体" w:eastAsia="黑体"/>
          <w:b/>
          <w:color w:val="auto"/>
          <w:sz w:val="32"/>
          <w:szCs w:val="32"/>
          <w:highlight w:val="none"/>
        </w:rPr>
      </w:pPr>
    </w:p>
    <w:p>
      <w:pPr>
        <w:rPr>
          <w:color w:val="auto"/>
          <w:highlight w:val="none"/>
        </w:rPr>
      </w:pPr>
    </w:p>
    <w:p>
      <w:pPr>
        <w:jc w:val="left"/>
        <w:rPr>
          <w:color w:val="auto"/>
          <w:highlight w:val="none"/>
        </w:rPr>
      </w:pPr>
    </w:p>
    <w:p>
      <w:pPr>
        <w:jc w:val="left"/>
        <w:rPr>
          <w:color w:val="auto"/>
          <w:highlight w:val="none"/>
        </w:rPr>
      </w:pPr>
    </w:p>
    <w:p>
      <w:pPr>
        <w:keepNext/>
        <w:keepLines/>
        <w:jc w:val="center"/>
        <w:rPr>
          <w:rFonts w:ascii="黑体" w:hAnsi="黑体" w:eastAsia="黑体"/>
          <w:b/>
          <w:color w:val="auto"/>
          <w:sz w:val="32"/>
          <w:szCs w:val="32"/>
          <w:highlight w:val="none"/>
        </w:rPr>
      </w:pPr>
    </w:p>
    <w:p>
      <w:pPr>
        <w:pStyle w:val="27"/>
        <w:ind w:firstLine="340"/>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正在施工的和新承接的项目情况表</w:t>
      </w:r>
    </w:p>
    <w:tbl>
      <w:tblPr>
        <w:tblStyle w:val="28"/>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项目所在地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发包人地址</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发包人电话</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签约合同价</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开工日期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计划竣工日期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承担的工作</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工程质量</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项目经理</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技术负责人</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项目描述</w:t>
            </w:r>
          </w:p>
        </w:tc>
        <w:tc>
          <w:tcPr>
            <w:tcW w:w="5218" w:type="dxa"/>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备注</w:t>
            </w:r>
          </w:p>
        </w:tc>
        <w:tc>
          <w:tcPr>
            <w:tcW w:w="5218" w:type="dxa"/>
          </w:tcPr>
          <w:p>
            <w:pPr>
              <w:spacing w:line="360" w:lineRule="auto"/>
              <w:rPr>
                <w:rFonts w:ascii="宋体" w:hAnsi="宋体"/>
                <w:color w:val="auto"/>
                <w:szCs w:val="21"/>
                <w:highlight w:val="none"/>
              </w:rPr>
            </w:pPr>
          </w:p>
        </w:tc>
      </w:tr>
    </w:tbl>
    <w:p>
      <w:pPr>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拟投入的主要施工人员一览表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8"/>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r>
        <w:rPr>
          <w:rFonts w:hint="eastAsia"/>
          <w:color w:val="auto"/>
          <w:szCs w:val="21"/>
          <w:highlight w:val="none"/>
        </w:rPr>
        <w:t>注：</w:t>
      </w:r>
      <w:r>
        <w:rPr>
          <w:color w:val="auto"/>
          <w:szCs w:val="21"/>
          <w:highlight w:val="none"/>
        </w:rPr>
        <w:t>1</w:t>
      </w:r>
      <w:r>
        <w:rPr>
          <w:rFonts w:hint="eastAsia"/>
          <w:color w:val="auto"/>
          <w:szCs w:val="21"/>
          <w:highlight w:val="none"/>
        </w:rPr>
        <w:t>、投标人的项目负责人、项目班组人员均应列入。</w:t>
      </w:r>
      <w:r>
        <w:rPr>
          <w:color w:val="auto"/>
          <w:szCs w:val="21"/>
          <w:highlight w:val="none"/>
        </w:rPr>
        <w:t>2</w:t>
      </w:r>
      <w:r>
        <w:rPr>
          <w:rFonts w:hint="eastAsia"/>
          <w:color w:val="auto"/>
          <w:szCs w:val="21"/>
          <w:highlight w:val="none"/>
        </w:rPr>
        <w:t>、列入本表人员如更换需经过发包单位的同意，擅自更换或不到位均属违约行为。</w:t>
      </w:r>
    </w:p>
    <w:p>
      <w:pPr>
        <w:spacing w:line="480" w:lineRule="auto"/>
        <w:rPr>
          <w:color w:val="auto"/>
          <w:szCs w:val="21"/>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jc w:val="center"/>
        <w:rPr>
          <w:rFonts w:ascii="黑体" w:hAnsi="黑体" w:eastAsia="黑体"/>
          <w:b/>
          <w:color w:val="auto"/>
          <w:sz w:val="30"/>
          <w:szCs w:val="30"/>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拟投入的主要班组人员的工作履历表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8"/>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拟在本合同</w:t>
            </w:r>
          </w:p>
          <w:p>
            <w:pPr>
              <w:spacing w:line="480" w:lineRule="auto"/>
              <w:jc w:val="center"/>
              <w:rPr>
                <w:color w:val="auto"/>
                <w:szCs w:val="21"/>
                <w:highlight w:val="none"/>
              </w:rPr>
            </w:pPr>
            <w:r>
              <w:rPr>
                <w:rFonts w:hint="eastAsia"/>
                <w:color w:val="auto"/>
                <w:szCs w:val="21"/>
                <w:highlight w:val="none"/>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经</w:t>
            </w:r>
            <w:r>
              <w:rPr>
                <w:color w:val="auto"/>
                <w:szCs w:val="21"/>
                <w:highlight w:val="none"/>
              </w:rPr>
              <w:t xml:space="preserve">               </w:t>
            </w:r>
            <w:r>
              <w:rPr>
                <w:rFonts w:hint="eastAsia"/>
                <w:color w:val="auto"/>
                <w:szCs w:val="21"/>
                <w:highlight w:val="none"/>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w:t>
            </w:r>
            <w:r>
              <w:rPr>
                <w:color w:val="auto"/>
                <w:szCs w:val="21"/>
                <w:highlight w:val="none"/>
              </w:rPr>
              <w:t xml:space="preserve">   </w:t>
            </w:r>
            <w:r>
              <w:rPr>
                <w:rFonts w:hint="eastAsia"/>
                <w:color w:val="auto"/>
                <w:szCs w:val="21"/>
                <w:highlight w:val="none"/>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p>
    <w:p>
      <w:pPr>
        <w:spacing w:line="480" w:lineRule="auto"/>
        <w:rPr>
          <w:color w:val="auto"/>
          <w:szCs w:val="21"/>
          <w:highlight w:val="none"/>
        </w:rPr>
      </w:pPr>
      <w:r>
        <w:rPr>
          <w:rFonts w:hint="eastAsia"/>
          <w:color w:val="auto"/>
          <w:szCs w:val="21"/>
          <w:highlight w:val="none"/>
        </w:rPr>
        <w:t>注：本表中人员如职称证书、岗位证书等资料复印件附后。</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rPr>
          <w:color w:val="auto"/>
          <w:highlight w:val="none"/>
        </w:rPr>
      </w:pPr>
    </w:p>
    <w:p>
      <w:pPr>
        <w:rPr>
          <w:color w:val="auto"/>
          <w:highlight w:val="none"/>
        </w:rPr>
      </w:pPr>
    </w:p>
    <w:p>
      <w:pPr>
        <w:pStyle w:val="27"/>
        <w:ind w:firstLine="340"/>
        <w:rPr>
          <w:color w:val="auto"/>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商务标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7"/>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ind w:firstLine="280"/>
        <w:rPr>
          <w:color w:val="auto"/>
          <w:highlight w:val="none"/>
        </w:rPr>
      </w:pPr>
    </w:p>
    <w:p>
      <w:pPr>
        <w:ind w:firstLine="280"/>
        <w:rPr>
          <w:rFonts w:asciiTheme="minorEastAsia" w:hAnsiTheme="minorEastAsia" w:eastAsiaTheme="minorEastAsia" w:cstheme="minorEastAsia"/>
          <w:color w:val="auto"/>
          <w:sz w:val="28"/>
          <w:szCs w:val="28"/>
          <w:highlight w:val="none"/>
        </w:rPr>
      </w:pPr>
    </w:p>
    <w:p>
      <w:pPr>
        <w:pStyle w:val="7"/>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7"/>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7"/>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7"/>
        <w:spacing w:line="360" w:lineRule="auto"/>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4）商务条款偏离表（格式自拟）</w:t>
      </w:r>
    </w:p>
    <w:p>
      <w:pPr>
        <w:pStyle w:val="7"/>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7"/>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7"/>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7"/>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27"/>
        <w:ind w:firstLine="0" w:firstLineChars="0"/>
        <w:rPr>
          <w:color w:val="auto"/>
          <w:highlight w:val="none"/>
        </w:rPr>
      </w:pPr>
    </w:p>
    <w:p>
      <w:pPr>
        <w:pStyle w:val="27"/>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pStyle w:val="27"/>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7"/>
        <w:ind w:firstLine="340"/>
        <w:rPr>
          <w:color w:val="auto"/>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kern w:val="44"/>
          <w:sz w:val="24"/>
          <w:szCs w:val="24"/>
          <w:highlight w:val="none"/>
        </w:rPr>
      </w:pPr>
      <w:r>
        <w:rPr>
          <w:rFonts w:hint="eastAsia" w:asciiTheme="minorEastAsia" w:hAnsiTheme="minorEastAsia" w:eastAsiaTheme="minorEastAsia" w:cstheme="minorEastAsia"/>
          <w:color w:val="auto"/>
          <w:kern w:val="44"/>
          <w:sz w:val="24"/>
          <w:szCs w:val="24"/>
          <w:highlight w:val="none"/>
        </w:rPr>
        <w:t>格式一</w:t>
      </w:r>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p>
    <w:p>
      <w:pPr>
        <w:spacing w:line="420" w:lineRule="exact"/>
        <w:ind w:firstLine="321"/>
        <w:jc w:val="center"/>
        <w:rPr>
          <w:rFonts w:asciiTheme="minorEastAsia" w:hAnsiTheme="minorEastAsia" w:eastAsiaTheme="minorEastAsia" w:cstheme="minorEastAsia"/>
          <w:b/>
          <w:bCs/>
          <w:color w:val="auto"/>
          <w:sz w:val="24"/>
          <w:szCs w:val="24"/>
          <w:highlight w:val="none"/>
        </w:rPr>
      </w:pPr>
      <w:bookmarkStart w:id="454" w:name="_Toc320271436"/>
      <w:bookmarkStart w:id="455" w:name="_Toc372212493"/>
      <w:bookmarkStart w:id="456" w:name="_Toc413527443"/>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投 标 </w:t>
      </w:r>
      <w:bookmarkEnd w:id="454"/>
      <w:bookmarkEnd w:id="455"/>
      <w:r>
        <w:rPr>
          <w:rFonts w:hint="eastAsia" w:asciiTheme="minorEastAsia" w:hAnsiTheme="minorEastAsia" w:eastAsiaTheme="minorEastAsia" w:cstheme="minorEastAsia"/>
          <w:b/>
          <w:bCs/>
          <w:color w:val="auto"/>
          <w:sz w:val="24"/>
          <w:szCs w:val="24"/>
          <w:highlight w:val="none"/>
        </w:rPr>
        <w:t>函</w:t>
      </w:r>
      <w:bookmarkEnd w:id="456"/>
    </w:p>
    <w:p>
      <w:pPr>
        <w:spacing w:line="360" w:lineRule="auto"/>
        <w:ind w:firstLine="211"/>
        <w:rPr>
          <w:rFonts w:asciiTheme="minorEastAsia" w:hAnsiTheme="minorEastAsia" w:eastAsiaTheme="minorEastAsia" w:cstheme="minorEastAsia"/>
          <w:b/>
          <w:bCs/>
          <w:color w:val="auto"/>
          <w:sz w:val="24"/>
          <w:szCs w:val="24"/>
          <w:highlight w:val="none"/>
        </w:rPr>
      </w:pPr>
    </w:p>
    <w:p>
      <w:pPr>
        <w:spacing w:line="360" w:lineRule="auto"/>
        <w:ind w:firstLine="211"/>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                    （招标人）：</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我方已全面阅读和研究了</w:t>
      </w:r>
      <w:r>
        <w:rPr>
          <w:rFonts w:hint="eastAsia" w:asciiTheme="minorEastAsia" w:hAnsiTheme="minorEastAsia" w:eastAsiaTheme="minorEastAsia" w:cstheme="minorEastAsia"/>
          <w:b/>
          <w:bCs/>
          <w:color w:val="auto"/>
          <w:sz w:val="24"/>
          <w:szCs w:val="24"/>
          <w:highlight w:val="none"/>
          <w:u w:val="single"/>
        </w:rPr>
        <w:t xml:space="preserve">        </w:t>
      </w:r>
      <w:r>
        <w:rPr>
          <w:rFonts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全部内容进行投标。最终报价为人民币</w:t>
      </w:r>
      <w:r>
        <w:rPr>
          <w:rFonts w:hint="eastAsia" w:asciiTheme="minorEastAsia" w:hAnsiTheme="minorEastAsia" w:eastAsiaTheme="minorEastAsia" w:cstheme="minorEastAsia"/>
          <w:color w:val="auto"/>
          <w:sz w:val="24"/>
          <w:szCs w:val="24"/>
          <w:highlight w:val="none"/>
          <w:u w:val="single"/>
        </w:rPr>
        <w:t>（大写）      ___</w:t>
      </w:r>
      <w:r>
        <w:rPr>
          <w:rFonts w:hint="eastAsia" w:asciiTheme="minorEastAsia" w:hAnsiTheme="minorEastAsia" w:eastAsiaTheme="minorEastAsia" w:cstheme="minorEastAsia"/>
          <w:color w:val="auto"/>
          <w:sz w:val="24"/>
          <w:szCs w:val="24"/>
          <w:highlight w:val="none"/>
        </w:rPr>
        <w:t>元，品牌_      ___/___，产地</w:t>
      </w:r>
      <w:r>
        <w:rPr>
          <w:rFonts w:hint="eastAsia" w:asciiTheme="minorEastAsia" w:hAnsiTheme="minorEastAsia" w:eastAsiaTheme="minorEastAsia" w:cstheme="minorEastAsia"/>
          <w:color w:val="auto"/>
          <w:sz w:val="24"/>
          <w:szCs w:val="24"/>
          <w:highlight w:val="none"/>
          <w:u w:val="single"/>
        </w:rPr>
        <w:t xml:space="preserve">     /     </w:t>
      </w:r>
      <w:r>
        <w:rPr>
          <w:rFonts w:hint="eastAsia" w:asciiTheme="minorEastAsia" w:hAnsiTheme="minorEastAsia" w:eastAsiaTheme="minorEastAsia" w:cstheme="minorEastAsia"/>
          <w:color w:val="auto"/>
          <w:sz w:val="24"/>
          <w:szCs w:val="24"/>
          <w:highlight w:val="none"/>
        </w:rPr>
        <w:t>，交货期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（月或日历天）</w:t>
      </w:r>
      <w:r>
        <w:rPr>
          <w:rFonts w:hint="eastAsia" w:asciiTheme="minorEastAsia" w:hAnsiTheme="minorEastAsia" w:eastAsiaTheme="minorEastAsia" w:cstheme="minorEastAsia"/>
          <w:color w:val="auto"/>
          <w:sz w:val="24"/>
          <w:szCs w:val="24"/>
          <w:highlight w:val="none"/>
        </w:rPr>
        <w:t>，质量标准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pStyle w:val="15"/>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我们同意从投标之日起在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投标单位：</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法定代表或授权代表：</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                联系地址：</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邮编：</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日期：  年    月    日  </w:t>
      </w:r>
    </w:p>
    <w:p>
      <w:pPr>
        <w:pStyle w:val="27"/>
        <w:ind w:firstLine="340"/>
        <w:rPr>
          <w:color w:val="auto"/>
          <w:highlight w:val="none"/>
        </w:rPr>
      </w:pPr>
    </w:p>
    <w:p>
      <w:pPr>
        <w:rPr>
          <w:color w:val="auto"/>
          <w:highlight w:val="none"/>
        </w:rPr>
      </w:pPr>
    </w:p>
    <w:p>
      <w:pPr>
        <w:pStyle w:val="27"/>
        <w:ind w:firstLine="340"/>
        <w:rPr>
          <w:color w:val="auto"/>
          <w:highlight w:val="none"/>
        </w:rPr>
      </w:pPr>
    </w:p>
    <w:p>
      <w:pPr>
        <w:rPr>
          <w:color w:val="auto"/>
          <w:highlight w:val="none"/>
        </w:rPr>
      </w:pPr>
    </w:p>
    <w:p>
      <w:pPr>
        <w:pStyle w:val="2"/>
        <w:spacing w:before="120" w:after="120" w:line="400" w:lineRule="exact"/>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格式二</w:t>
      </w:r>
    </w:p>
    <w:p>
      <w:pPr>
        <w:pStyle w:val="2"/>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法定代表人身份证明</w:t>
      </w:r>
    </w:p>
    <w:p>
      <w:pPr>
        <w:spacing w:line="360" w:lineRule="auto"/>
        <w:ind w:firstLine="280"/>
        <w:jc w:val="center"/>
        <w:rPr>
          <w:rFonts w:asciiTheme="minorEastAsia" w:hAnsiTheme="minorEastAsia" w:eastAsiaTheme="minorEastAsia" w:cstheme="minorEastAsia"/>
          <w:color w:val="auto"/>
          <w:kern w:val="44"/>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（投标人名称）的法定代表人。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pPr>
        <w:ind w:firstLine="210"/>
        <w:rPr>
          <w:rFonts w:asciiTheme="minorEastAsia" w:hAnsiTheme="minorEastAsia" w:eastAsiaTheme="minorEastAsia" w:cstheme="minorEastAsia"/>
          <w:color w:val="auto"/>
          <w:sz w:val="24"/>
          <w:szCs w:val="24"/>
          <w:highlight w:val="none"/>
        </w:rPr>
      </w:pPr>
    </w:p>
    <w:tbl>
      <w:tblPr>
        <w:tblStyle w:val="28"/>
        <w:tblW w:w="5886" w:type="dxa"/>
        <w:tblInd w:w="208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pStyle w:val="2"/>
        <w:spacing w:before="120" w:after="120" w:line="400" w:lineRule="exact"/>
        <w:ind w:firstLine="321"/>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val="0"/>
          <w:bCs w:val="0"/>
          <w:color w:val="auto"/>
          <w:sz w:val="24"/>
          <w:szCs w:val="24"/>
          <w:highlight w:val="none"/>
        </w:rPr>
        <w:t>格式三</w:t>
      </w:r>
    </w:p>
    <w:p>
      <w:pPr>
        <w:pStyle w:val="2"/>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授权委托书</w:t>
      </w:r>
    </w:p>
    <w:p>
      <w:pPr>
        <w:spacing w:line="420" w:lineRule="exact"/>
        <w:ind w:firstLine="280"/>
        <w:rPr>
          <w:rFonts w:asciiTheme="minorEastAsia" w:hAnsiTheme="minorEastAsia" w:eastAsiaTheme="minorEastAsia" w:cstheme="minorEastAsia"/>
          <w:color w:val="auto"/>
          <w:kern w:val="44"/>
          <w:sz w:val="24"/>
          <w:szCs w:val="24"/>
          <w:highlight w:val="none"/>
        </w:rPr>
      </w:pPr>
    </w:p>
    <w:p>
      <w:pPr>
        <w:topLinePun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（投标人名称）的法定代表人，现委托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（项目名称）的投标文件、签订合同和处理有关事宜，其法律后果由我方承担。</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附：法定代表人身份证明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（签字或盖章）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p>
    <w:p>
      <w:pPr>
        <w:ind w:firstLine="2640" w:firstLineChars="11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ind w:firstLine="6360" w:firstLineChars="265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tbl>
      <w:tblPr>
        <w:tblStyle w:val="28"/>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ind w:firstLine="340"/>
        <w:rPr>
          <w:color w:val="auto"/>
          <w:highlight w:val="none"/>
        </w:rPr>
      </w:pPr>
    </w:p>
    <w:p>
      <w:pPr>
        <w:rPr>
          <w:color w:val="auto"/>
          <w:highlight w:val="none"/>
        </w:rPr>
      </w:pPr>
    </w:p>
    <w:p>
      <w:pPr>
        <w:pStyle w:val="27"/>
        <w:ind w:firstLine="340"/>
        <w:rPr>
          <w:color w:val="auto"/>
          <w:highlight w:val="none"/>
        </w:rPr>
      </w:pPr>
    </w:p>
    <w:p>
      <w:pPr>
        <w:spacing w:line="360" w:lineRule="auto"/>
        <w:ind w:firstLine="211"/>
        <w:jc w:val="left"/>
        <w:rPr>
          <w:rFonts w:asciiTheme="minorEastAsia" w:hAnsiTheme="minorEastAsia" w:eastAsiaTheme="minorEastAsia" w:cstheme="minorEastAsia"/>
          <w:bCs/>
          <w:strike/>
          <w:color w:val="auto"/>
          <w:sz w:val="24"/>
          <w:szCs w:val="24"/>
          <w:highlight w:val="none"/>
        </w:rPr>
      </w:pPr>
      <w:r>
        <w:rPr>
          <w:rFonts w:hint="eastAsia" w:asciiTheme="minorEastAsia" w:hAnsiTheme="minorEastAsia" w:eastAsiaTheme="minorEastAsia" w:cstheme="minorEastAsia"/>
          <w:bCs/>
          <w:strike/>
          <w:color w:val="auto"/>
          <w:sz w:val="24"/>
          <w:szCs w:val="24"/>
          <w:highlight w:val="none"/>
        </w:rPr>
        <w:t>格式四</w:t>
      </w:r>
    </w:p>
    <w:p>
      <w:pPr>
        <w:pStyle w:val="45"/>
        <w:jc w:val="center"/>
        <w:rPr>
          <w:rFonts w:ascii="宋体" w:hAnsi="宋体" w:eastAsia="宋体"/>
          <w:b/>
          <w:bCs/>
          <w:strike/>
          <w:color w:val="auto"/>
          <w:sz w:val="30"/>
          <w:szCs w:val="30"/>
          <w:highlight w:val="none"/>
        </w:rPr>
      </w:pPr>
      <w:r>
        <w:rPr>
          <w:rFonts w:hint="eastAsia" w:ascii="宋体" w:hAnsi="宋体" w:eastAsia="宋体"/>
          <w:b/>
          <w:bCs/>
          <w:strike/>
          <w:color w:val="auto"/>
          <w:sz w:val="30"/>
          <w:szCs w:val="30"/>
          <w:highlight w:val="none"/>
        </w:rPr>
        <w:t>联合体协议书（若有）</w:t>
      </w:r>
    </w:p>
    <w:p>
      <w:pPr>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 xml:space="preserve"> （所有成员单位名称）自愿组成</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（联合体名称）联合体，共同参加</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（项目名称）施工投标。现就联合体投标事宜订立如下协议。</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（某成员单位名称）为</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（联合体名称）牵头人。</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3、联合体将严格按照招标文件的各项要求，递交投标文件，履行合同，并对外承担连带责任。</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4、联合体各成员单位内部的职责分工如下：</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（3）工程款与发包人结算的方式为【如：牵头人凭票据统一从发包人处领取后再由其向成员单位支付或由各成员单位凭票据分别向发包人申领或…………（由牵头人和成员单位双方协商一致后填入</w:t>
      </w:r>
      <w:r>
        <w:rPr>
          <w:rFonts w:ascii="宋体" w:hAnsi="宋体"/>
          <w:strike/>
          <w:color w:val="auto"/>
          <w:szCs w:val="21"/>
          <w:highlight w:val="none"/>
        </w:rPr>
        <w:t>）</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u w:val="single"/>
        </w:rPr>
        <w:t xml:space="preserve">（4）其他：                              </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5、本协议书自签署之日起生效，合同履行完毕后自动失效。</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6、本协议书一式</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份，联合体成员和招标人各执一份。</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注：本协议书由委托代理人签字的，应附法定代表人签字的授权委托书。</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牵头人名称：（盖单位章）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成员一名称：（盖单位章）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成员二名称：（盖单位章）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年月日</w:t>
      </w:r>
    </w:p>
    <w:p>
      <w:pPr>
        <w:pStyle w:val="27"/>
        <w:ind w:firstLine="340"/>
        <w:rPr>
          <w:rFonts w:ascii="宋体" w:hAnsi="宋体"/>
          <w:strike/>
          <w:color w:val="auto"/>
          <w:szCs w:val="21"/>
          <w:highlight w:val="none"/>
        </w:rPr>
      </w:pPr>
    </w:p>
    <w:p>
      <w:pPr>
        <w:rPr>
          <w:rFonts w:ascii="宋体" w:hAnsi="宋体"/>
          <w:strike/>
          <w:color w:val="auto"/>
          <w:szCs w:val="21"/>
          <w:highlight w:val="none"/>
        </w:rPr>
      </w:pPr>
    </w:p>
    <w:p>
      <w:pPr>
        <w:pStyle w:val="27"/>
        <w:ind w:firstLine="340"/>
        <w:rPr>
          <w:rFonts w:ascii="宋体" w:hAnsi="宋体"/>
          <w:strike/>
          <w:color w:val="auto"/>
          <w:szCs w:val="21"/>
          <w:highlight w:val="none"/>
        </w:rPr>
      </w:pPr>
    </w:p>
    <w:p>
      <w:pPr>
        <w:rPr>
          <w:rFonts w:ascii="宋体" w:hAnsi="宋体"/>
          <w:strike/>
          <w:color w:val="auto"/>
          <w:szCs w:val="21"/>
          <w:highlight w:val="none"/>
        </w:rPr>
      </w:pPr>
    </w:p>
    <w:p>
      <w:pPr>
        <w:pStyle w:val="27"/>
        <w:ind w:firstLine="340"/>
        <w:rPr>
          <w:rFonts w:ascii="宋体" w:hAnsi="宋体"/>
          <w:strike/>
          <w:color w:val="auto"/>
          <w:szCs w:val="21"/>
          <w:highlight w:val="none"/>
        </w:rPr>
      </w:pPr>
    </w:p>
    <w:p>
      <w:pPr>
        <w:rPr>
          <w:rFonts w:ascii="宋体" w:hAnsi="宋体"/>
          <w:strike/>
          <w:color w:val="auto"/>
          <w:szCs w:val="21"/>
          <w:highlight w:val="none"/>
        </w:rPr>
        <w:sectPr>
          <w:footerReference r:id="rId6" w:type="default"/>
          <w:footerReference r:id="rId7" w:type="even"/>
          <w:pgSz w:w="11907" w:h="16840"/>
          <w:pgMar w:top="1418" w:right="1134" w:bottom="1418" w:left="1134" w:header="680" w:footer="680" w:gutter="0"/>
          <w:cols w:space="720" w:num="1"/>
          <w:docGrid w:linePitch="271" w:charSpace="0"/>
        </w:sectPr>
      </w:pPr>
    </w:p>
    <w:p>
      <w:pPr>
        <w:pStyle w:val="2"/>
        <w:spacing w:before="120" w:after="120" w:line="400" w:lineRule="exact"/>
        <w:ind w:firstLine="280"/>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格式五</w:t>
      </w:r>
    </w:p>
    <w:p>
      <w:pPr>
        <w:ind w:firstLine="321"/>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投标报价表</w:t>
      </w:r>
    </w:p>
    <w:p>
      <w:pPr>
        <w:tabs>
          <w:tab w:val="left" w:pos="1800"/>
        </w:tabs>
        <w:ind w:firstLine="2880" w:firstLineChars="1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单位：人民币元</w:t>
      </w:r>
    </w:p>
    <w:tbl>
      <w:tblPr>
        <w:tblStyle w:val="28"/>
        <w:tblW w:w="14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834"/>
        <w:gridCol w:w="960"/>
        <w:gridCol w:w="886"/>
        <w:gridCol w:w="895"/>
        <w:gridCol w:w="1175"/>
        <w:gridCol w:w="1261"/>
        <w:gridCol w:w="1603"/>
        <w:gridCol w:w="1476"/>
        <w:gridCol w:w="989"/>
        <w:gridCol w:w="1400"/>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117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1261"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项号</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货物名称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型号规格</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1175" w:type="dxa"/>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出厂单价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261" w:type="dxa"/>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运杂、及保险费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特殊工具费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备品备件费(含税)</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相关服务费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(含税) </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总价</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spacing w:line="360" w:lineRule="exact"/>
              <w:rPr>
                <w:rFonts w:ascii="宋体" w:hAnsi="宋体"/>
                <w:color w:val="auto"/>
                <w:szCs w:val="21"/>
                <w:highlight w:val="none"/>
              </w:rPr>
            </w:pPr>
            <w:r>
              <w:rPr>
                <w:rFonts w:asciiTheme="minorEastAsia" w:hAnsiTheme="minorEastAsia" w:eastAsiaTheme="minorEastAsia" w:cstheme="minorEastAsia"/>
                <w:color w:val="auto"/>
                <w:sz w:val="24"/>
                <w:szCs w:val="24"/>
                <w:highlight w:val="none"/>
              </w:rPr>
              <w:t>一、</w:t>
            </w:r>
            <w:r>
              <w:rPr>
                <w:rFonts w:hint="eastAsia" w:hAnsi="宋体" w:cs="宋体"/>
                <w:b/>
                <w:bCs/>
                <w:color w:val="auto"/>
                <w:szCs w:val="21"/>
                <w:highlight w:val="none"/>
              </w:rPr>
              <w:t>货物清单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widowControl/>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以下按清单内容填写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r>
              <w:rPr>
                <w:rFonts w:hint="eastAsia" w:hAnsi="宋体" w:cs="宋体"/>
                <w:b/>
                <w:bCs/>
                <w:color w:val="auto"/>
                <w:szCs w:val="21"/>
                <w:highlight w:val="none"/>
              </w:rPr>
              <w:t>二</w:t>
            </w:r>
            <w:r>
              <w:rPr>
                <w:rFonts w:hAnsi="宋体" w:cs="宋体"/>
                <w:b/>
                <w:bCs/>
                <w:color w:val="auto"/>
                <w:szCs w:val="21"/>
                <w:highlight w:val="none"/>
              </w:rPr>
              <w:t>、其他清单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以下内容由投标单位自行填写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1"/>
                <w:rFonts w:hint="eastAsia" w:ascii="宋体" w:hAnsi="宋体" w:cs="宋体"/>
                <w:color w:val="auto"/>
                <w:sz w:val="20"/>
                <w:szCs w:val="20"/>
                <w:highlight w:val="none"/>
              </w:rPr>
              <w:t>3年质保期内驻场人员费用</w:t>
            </w:r>
          </w:p>
        </w:tc>
        <w:tc>
          <w:tcPr>
            <w:tcW w:w="10645" w:type="dxa"/>
            <w:gridSpan w:val="9"/>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41"/>
                <w:rFonts w:hint="eastAsia" w:ascii="宋体" w:hAnsi="宋体" w:cs="宋体"/>
                <w:color w:val="auto"/>
                <w:sz w:val="20"/>
                <w:szCs w:val="20"/>
                <w:highlight w:val="none"/>
              </w:rPr>
              <w:t>质保优惠期内驻场人员费用</w:t>
            </w: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优惠期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w:t>
            </w: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Style w:val="41"/>
                <w:rFonts w:ascii="宋体" w:hAnsi="宋体" w:cs="宋体"/>
                <w:color w:val="auto"/>
                <w:sz w:val="20"/>
                <w:szCs w:val="20"/>
                <w:highlight w:val="none"/>
              </w:rPr>
            </w:pP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投标总价合计</w:t>
            </w:r>
          </w:p>
        </w:tc>
        <w:tc>
          <w:tcPr>
            <w:tcW w:w="11507" w:type="dxa"/>
            <w:gridSpan w:val="10"/>
            <w:vAlign w:val="center"/>
          </w:tcPr>
          <w:p>
            <w:pPr>
              <w:tabs>
                <w:tab w:val="left" w:pos="1800"/>
              </w:tabs>
              <w:spacing w:line="360" w:lineRule="auto"/>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小写：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trike/>
                <w:color w:val="auto"/>
                <w:sz w:val="24"/>
                <w:szCs w:val="24"/>
                <w:highlight w:val="none"/>
                <w:u w:val="single"/>
              </w:rPr>
            </w:pPr>
            <w:r>
              <w:rPr>
                <w:rFonts w:hint="eastAsia" w:asciiTheme="minorEastAsia" w:hAnsiTheme="minorEastAsia" w:eastAsiaTheme="minorEastAsia" w:cstheme="minorEastAsia"/>
                <w:strike/>
                <w:color w:val="auto"/>
                <w:sz w:val="24"/>
                <w:szCs w:val="24"/>
                <w:highlight w:val="none"/>
              </w:rPr>
              <w:t>□</w:t>
            </w:r>
            <w:r>
              <w:rPr>
                <w:rFonts w:hint="eastAsia" w:asciiTheme="minorEastAsia" w:hAnsiTheme="minorEastAsia" w:eastAsiaTheme="minorEastAsia" w:cstheme="minorEastAsia"/>
                <w:b/>
                <w:strike/>
                <w:color w:val="auto"/>
                <w:sz w:val="24"/>
                <w:szCs w:val="24"/>
                <w:highlight w:val="none"/>
              </w:rPr>
              <w:t>质保期后的维保费用</w:t>
            </w:r>
          </w:p>
        </w:tc>
        <w:tc>
          <w:tcPr>
            <w:tcW w:w="11507" w:type="dxa"/>
            <w:gridSpan w:val="10"/>
            <w:vAlign w:val="center"/>
          </w:tcPr>
          <w:p>
            <w:pPr>
              <w:tabs>
                <w:tab w:val="left" w:pos="1800"/>
              </w:tabs>
              <w:jc w:val="left"/>
              <w:rPr>
                <w:rFonts w:asciiTheme="minorEastAsia" w:hAnsiTheme="minorEastAsia" w:eastAsiaTheme="minorEastAsia" w:cstheme="minorEastAsia"/>
                <w:b/>
                <w:strike/>
                <w:color w:val="auto"/>
                <w:sz w:val="24"/>
                <w:szCs w:val="24"/>
                <w:highlight w:val="none"/>
              </w:rPr>
            </w:pPr>
            <w:r>
              <w:rPr>
                <w:rFonts w:hint="eastAsia" w:asciiTheme="minorEastAsia" w:hAnsiTheme="minorEastAsia" w:eastAsiaTheme="minorEastAsia" w:cstheme="minorEastAsia"/>
                <w:strike/>
                <w:color w:val="auto"/>
                <w:sz w:val="20"/>
                <w:szCs w:val="20"/>
                <w:highlight w:val="none"/>
                <w:u w:val="single"/>
              </w:rPr>
              <w:t xml:space="preserve">                     </w:t>
            </w:r>
            <w:r>
              <w:rPr>
                <w:rFonts w:hint="eastAsia" w:asciiTheme="minorEastAsia" w:hAnsiTheme="minorEastAsia" w:eastAsiaTheme="minorEastAsia" w:cstheme="minorEastAsia"/>
                <w:b/>
                <w:strike/>
                <w:color w:val="auto"/>
                <w:sz w:val="24"/>
                <w:szCs w:val="24"/>
                <w:highlight w:val="none"/>
              </w:rPr>
              <w:t>元/年（不计入投标报价）</w:t>
            </w:r>
          </w:p>
        </w:tc>
      </w:tr>
    </w:tbl>
    <w:p>
      <w:pPr>
        <w:keepNext/>
        <w:keepLines/>
        <w:spacing w:line="360" w:lineRule="atLeast"/>
        <w:jc w:val="left"/>
        <w:rPr>
          <w:rFonts w:ascii="宋体" w:hAnsi="宋体"/>
          <w:color w:val="auto"/>
          <w:sz w:val="20"/>
          <w:szCs w:val="20"/>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color w:val="auto"/>
          <w:sz w:val="20"/>
          <w:szCs w:val="20"/>
          <w:highlight w:val="none"/>
        </w:rPr>
        <w:t>1、</w:t>
      </w:r>
      <w:r>
        <w:rPr>
          <w:rFonts w:hint="eastAsia" w:ascii="宋体" w:hAnsi="宋体"/>
          <w:color w:val="auto"/>
          <w:sz w:val="20"/>
          <w:szCs w:val="20"/>
          <w:highlight w:val="none"/>
        </w:rPr>
        <w:t>第7栏指制造厂运至交货地点全部货物运杂费和保险费，第10栏其它费用包括投标分项报价表中除本表6-9外的所有费用。</w:t>
      </w:r>
    </w:p>
    <w:p>
      <w:pPr>
        <w:pStyle w:val="76"/>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2</w:t>
      </w:r>
      <w:r>
        <w:rPr>
          <w:rFonts w:hint="eastAsia" w:ascii="宋体" w:hAnsi="宋体"/>
          <w:color w:val="auto"/>
          <w:sz w:val="20"/>
          <w:szCs w:val="20"/>
          <w:highlight w:val="none"/>
          <w:lang w:val="en-US"/>
        </w:rPr>
        <w:t>、第11栏综合单价=6+7+8+9</w:t>
      </w:r>
      <w:r>
        <w:rPr>
          <w:rFonts w:ascii="宋体" w:hAnsi="宋体"/>
          <w:color w:val="auto"/>
          <w:sz w:val="20"/>
          <w:szCs w:val="20"/>
          <w:highlight w:val="none"/>
          <w:lang w:val="en-US"/>
        </w:rPr>
        <w:t>+10</w:t>
      </w:r>
      <w:r>
        <w:rPr>
          <w:rFonts w:hint="eastAsia" w:ascii="宋体" w:hAnsi="宋体"/>
          <w:color w:val="auto"/>
          <w:sz w:val="20"/>
          <w:szCs w:val="20"/>
          <w:highlight w:val="none"/>
          <w:lang w:val="en-US"/>
        </w:rPr>
        <w:t>。</w:t>
      </w:r>
    </w:p>
    <w:p>
      <w:pPr>
        <w:pStyle w:val="76"/>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3</w:t>
      </w:r>
      <w:r>
        <w:rPr>
          <w:rFonts w:hint="eastAsia" w:ascii="宋体" w:hAnsi="宋体"/>
          <w:color w:val="auto"/>
          <w:sz w:val="20"/>
          <w:szCs w:val="20"/>
          <w:highlight w:val="none"/>
          <w:lang w:val="en-US"/>
        </w:rPr>
        <w:t>、第12栏合价=5×11项。</w:t>
      </w:r>
    </w:p>
    <w:p>
      <w:pPr>
        <w:pStyle w:val="76"/>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4</w:t>
      </w:r>
      <w:r>
        <w:rPr>
          <w:rFonts w:hint="eastAsia" w:ascii="宋体" w:hAnsi="宋体"/>
          <w:color w:val="auto"/>
          <w:sz w:val="20"/>
          <w:szCs w:val="20"/>
          <w:highlight w:val="none"/>
          <w:lang w:val="en-US"/>
        </w:rPr>
        <w:t>、投标总价合计为总价的合计，应与投标函的投标总价一致。</w:t>
      </w:r>
      <w:r>
        <w:rPr>
          <w:rFonts w:hint="eastAsia" w:hAnsi="宋体"/>
          <w:color w:val="auto"/>
          <w:sz w:val="20"/>
          <w:szCs w:val="20"/>
          <w:highlight w:val="none"/>
        </w:rPr>
        <w:t>投标报价为投标人的投标文件中提出的各项支付金额的总和。</w:t>
      </w:r>
    </w:p>
    <w:p>
      <w:pPr>
        <w:pStyle w:val="76"/>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5</w:t>
      </w:r>
      <w:r>
        <w:rPr>
          <w:rFonts w:hint="eastAsia" w:ascii="宋体" w:hAnsi="宋体"/>
          <w:color w:val="auto"/>
          <w:sz w:val="20"/>
          <w:szCs w:val="20"/>
          <w:highlight w:val="none"/>
          <w:lang w:val="en-US"/>
        </w:rPr>
        <w:t>、投标报价表中含价栏目，若无报价的须填“含”、“无”等字样，若出现空白，招标人视为已含在投标报价中。</w:t>
      </w:r>
    </w:p>
    <w:p>
      <w:pPr>
        <w:pStyle w:val="76"/>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6</w:t>
      </w:r>
      <w:r>
        <w:rPr>
          <w:rFonts w:hint="eastAsia" w:ascii="宋体" w:hAnsi="宋体"/>
          <w:color w:val="auto"/>
          <w:sz w:val="20"/>
          <w:szCs w:val="20"/>
          <w:highlight w:val="none"/>
          <w:lang w:val="en-US"/>
        </w:rPr>
        <w:t>、如交货货物数量调整时，综合单价不作调整。</w:t>
      </w:r>
    </w:p>
    <w:p>
      <w:pPr>
        <w:pStyle w:val="76"/>
        <w:spacing w:line="360" w:lineRule="exact"/>
        <w:ind w:firstLine="400"/>
        <w:rPr>
          <w:color w:val="auto"/>
          <w:sz w:val="20"/>
          <w:szCs w:val="20"/>
          <w:highlight w:val="none"/>
          <w:lang w:val="en-US"/>
        </w:rPr>
      </w:pPr>
      <w:r>
        <w:rPr>
          <w:rFonts w:ascii="宋体" w:hAnsi="宋体"/>
          <w:color w:val="auto"/>
          <w:sz w:val="20"/>
          <w:szCs w:val="20"/>
          <w:highlight w:val="none"/>
          <w:lang w:val="en-US"/>
        </w:rPr>
        <w:t>7</w:t>
      </w:r>
      <w:r>
        <w:rPr>
          <w:rFonts w:hint="eastAsia" w:ascii="宋体" w:hAnsi="宋体"/>
          <w:color w:val="auto"/>
          <w:sz w:val="20"/>
          <w:szCs w:val="20"/>
          <w:highlight w:val="none"/>
          <w:lang w:val="en-US"/>
        </w:rPr>
        <w:t>、其他清单是投标单位认为</w:t>
      </w:r>
      <w:r>
        <w:rPr>
          <w:rFonts w:hint="eastAsia"/>
          <w:color w:val="auto"/>
          <w:sz w:val="20"/>
          <w:szCs w:val="20"/>
          <w:highlight w:val="none"/>
          <w:lang w:val="en-US"/>
        </w:rPr>
        <w:t>图纸、货物清单不明确或缺项的内容，以及招标文件要求包含在投标总价中的所有内容的体现。如未填报则视为投标优惠。</w:t>
      </w:r>
    </w:p>
    <w:p>
      <w:pPr>
        <w:pStyle w:val="57"/>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8</w:t>
      </w:r>
      <w:r>
        <w:rPr>
          <w:rFonts w:hint="eastAsia" w:hAnsi="宋体"/>
          <w:color w:val="auto"/>
          <w:szCs w:val="20"/>
          <w:highlight w:val="none"/>
        </w:rPr>
        <w:t>、 技术标中明确或招标文件、设计图纸确定的相应技术规范要求的费用应包括在投标报价中，否则视同投标优惠。</w:t>
      </w:r>
    </w:p>
    <w:p>
      <w:pPr>
        <w:pStyle w:val="57"/>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9</w:t>
      </w:r>
      <w:r>
        <w:rPr>
          <w:rFonts w:hint="eastAsia" w:hAnsi="宋体"/>
          <w:color w:val="auto"/>
          <w:szCs w:val="20"/>
          <w:highlight w:val="none"/>
        </w:rPr>
        <w:t>、 投标人应先到项目现场踏勘以充分了解现场位置、情况、道路、储存空间、装卸限制及任何其它足以影响报价的情况，任何因忽视或误解工地情况而导致的索赔或工期延长申请将不获批准。</w:t>
      </w:r>
    </w:p>
    <w:p>
      <w:pPr>
        <w:pStyle w:val="57"/>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10</w:t>
      </w:r>
      <w:r>
        <w:rPr>
          <w:rFonts w:hint="eastAsia" w:hAnsi="宋体"/>
          <w:color w:val="auto"/>
          <w:szCs w:val="20"/>
          <w:highlight w:val="none"/>
        </w:rPr>
        <w:t>、投标人的投标报价包括并不限于按照本工程招标人提供的图纸、货物清单以及本项目技术要求所进行的进一步深化设计费、设备费、运输保险费、卸货费、</w:t>
      </w:r>
      <w:r>
        <w:rPr>
          <w:rFonts w:hint="eastAsia" w:hAnsi="宋体" w:cs="宋体"/>
          <w:color w:val="auto"/>
          <w:szCs w:val="20"/>
          <w:highlight w:val="none"/>
          <w:lang w:val="en-US" w:eastAsia="zh-CN"/>
        </w:rPr>
        <w:t>仓储费、</w:t>
      </w:r>
      <w:r>
        <w:rPr>
          <w:rFonts w:hint="eastAsia" w:hAnsi="宋体"/>
          <w:color w:val="auto"/>
          <w:szCs w:val="20"/>
          <w:highlight w:val="none"/>
        </w:rPr>
        <w:t>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7"/>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11</w:t>
      </w:r>
      <w:r>
        <w:rPr>
          <w:rFonts w:hint="eastAsia" w:hAnsi="宋体"/>
          <w:color w:val="auto"/>
          <w:szCs w:val="20"/>
          <w:highlight w:val="none"/>
        </w:rPr>
        <w:t>、投标人按照上述要求编制投标报价。一旦确认某一投标人中标，除合同规定的可调整内容外，中标人不得要求追加任何费用。</w:t>
      </w:r>
    </w:p>
    <w:p>
      <w:pPr>
        <w:pStyle w:val="57"/>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12</w:t>
      </w:r>
      <w:r>
        <w:rPr>
          <w:rFonts w:hint="eastAsia" w:hAnsi="宋体"/>
          <w:color w:val="auto"/>
          <w:szCs w:val="20"/>
          <w:highlight w:val="none"/>
        </w:rPr>
        <w:t>、施工水电费（中标价的</w:t>
      </w:r>
      <w:r>
        <w:rPr>
          <w:rFonts w:hAnsi="宋体"/>
          <w:color w:val="auto"/>
          <w:szCs w:val="20"/>
          <w:highlight w:val="none"/>
        </w:rPr>
        <w:t>1</w:t>
      </w:r>
      <w:r>
        <w:rPr>
          <w:rFonts w:hint="eastAsia" w:hAnsi="宋体"/>
          <w:color w:val="auto"/>
          <w:szCs w:val="20"/>
          <w:highlight w:val="none"/>
        </w:rPr>
        <w:t>%）等直接费及总承包服务费（中标价的3%）用由中标人直接向总承包单位支付，投标人在投标报价中明确报价。但该费用不足部分请投标人综合考虑后计入投标总价内，中标后一律不予调整。除总承包人在其施工周期内免费提供工地内已有的并能独立使用的脚手架、机械设备等辅助设施外，投标人报价中还应包含本项目供货及安装时所需的各项措施费，以及施工过程中需总承包人配合的所有费用（如未单独列报的，将视作已包含在投标总价之中），否则视作优惠。同时须满足下列要求：</w:t>
      </w:r>
    </w:p>
    <w:p>
      <w:pPr>
        <w:pStyle w:val="57"/>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①供应商进场后须与总包签订总包管理协议，服从总包管理要求。</w:t>
      </w:r>
    </w:p>
    <w:p>
      <w:pPr>
        <w:pStyle w:val="57"/>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②供应商的安装进场时间不应晚于监理、业主审批的施工总进度计划进场时间。</w:t>
      </w:r>
    </w:p>
    <w:p>
      <w:pPr>
        <w:pStyle w:val="57"/>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③供应商进场前，图纸须齐全，以免影响后续施工进度（供应商须对图纸进行深化设计）。</w:t>
      </w:r>
    </w:p>
    <w:p>
      <w:pPr>
        <w:pStyle w:val="57"/>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④进入施工现场后，设备及材料堆放场地须按照总包要求进行布设，满足标准化工地要求。</w:t>
      </w:r>
    </w:p>
    <w:p>
      <w:pPr>
        <w:pStyle w:val="57"/>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73"/>
        <w:rPr>
          <w:rFonts w:ascii="宋体" w:hAnsi="宋体"/>
          <w:color w:val="auto"/>
          <w:sz w:val="20"/>
          <w:szCs w:val="20"/>
          <w:highlight w:val="none"/>
        </w:rPr>
      </w:pPr>
      <w:r>
        <w:rPr>
          <w:rFonts w:hint="eastAsia" w:ascii="宋体" w:hAnsi="宋体"/>
          <w:color w:val="auto"/>
          <w:sz w:val="20"/>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73"/>
        <w:adjustRightInd w:val="0"/>
        <w:snapToGrid w:val="0"/>
        <w:spacing w:line="312" w:lineRule="auto"/>
        <w:ind w:right="241" w:rightChars="115" w:firstLine="400" w:firstLineChars="200"/>
        <w:rPr>
          <w:rFonts w:ascii="宋体" w:hAnsi="宋体"/>
          <w:color w:val="auto"/>
          <w:highlight w:val="none"/>
        </w:rPr>
      </w:pPr>
      <w:r>
        <w:rPr>
          <w:rFonts w:hint="eastAsia" w:ascii="宋体" w:hAnsi="宋体"/>
          <w:color w:val="auto"/>
          <w:sz w:val="20"/>
          <w:szCs w:val="20"/>
          <w:highlight w:val="none"/>
        </w:rPr>
        <w:t>1</w:t>
      </w:r>
      <w:r>
        <w:rPr>
          <w:rFonts w:ascii="宋体" w:hAnsi="宋体"/>
          <w:color w:val="auto"/>
          <w:sz w:val="20"/>
          <w:szCs w:val="20"/>
          <w:highlight w:val="none"/>
        </w:rPr>
        <w:t>3</w:t>
      </w:r>
      <w:r>
        <w:rPr>
          <w:rFonts w:hint="eastAsia" w:ascii="宋体" w:hAnsi="宋体"/>
          <w:color w:val="auto"/>
          <w:sz w:val="20"/>
          <w:szCs w:val="20"/>
          <w:highlight w:val="none"/>
        </w:rPr>
        <w:t>、本项目釆用固定总价承包，货物清单中的工程量、清单描述若与图纸及答疑不一致时，</w:t>
      </w:r>
      <w:r>
        <w:rPr>
          <w:rFonts w:ascii="宋体" w:hAnsi="宋体"/>
          <w:color w:val="auto"/>
          <w:sz w:val="20"/>
          <w:szCs w:val="20"/>
          <w:highlight w:val="none"/>
        </w:rPr>
        <w:t>以图纸及答疑为准并须满足各专业的功能要求，由投标人自行复核计算，结算时总价不作调整。若图纸需二次深化，则由中标人自行深化完成</w:t>
      </w:r>
      <w:r>
        <w:rPr>
          <w:rFonts w:hint="eastAsia" w:ascii="宋体" w:hAnsi="宋体"/>
          <w:color w:val="auto"/>
          <w:sz w:val="20"/>
          <w:szCs w:val="20"/>
          <w:highlight w:val="none"/>
        </w:rPr>
        <w:t>并经使用人同意，</w:t>
      </w:r>
      <w:r>
        <w:rPr>
          <w:rFonts w:ascii="宋体" w:hAnsi="宋体"/>
          <w:color w:val="auto"/>
          <w:sz w:val="20"/>
          <w:szCs w:val="20"/>
          <w:highlight w:val="none"/>
        </w:rPr>
        <w:t>工程量及</w:t>
      </w:r>
      <w:r>
        <w:rPr>
          <w:rFonts w:hint="eastAsia" w:ascii="宋体" w:hAnsi="宋体"/>
          <w:color w:val="auto"/>
          <w:sz w:val="20"/>
          <w:szCs w:val="20"/>
          <w:highlight w:val="none"/>
        </w:rPr>
        <w:t>各种相关一切</w:t>
      </w:r>
      <w:r>
        <w:rPr>
          <w:rFonts w:ascii="宋体" w:hAnsi="宋体"/>
          <w:color w:val="auto"/>
          <w:sz w:val="20"/>
          <w:szCs w:val="20"/>
          <w:highlight w:val="none"/>
        </w:rPr>
        <w:t>费用不再增加。图纸中设备或材料若已有变更升级的相应设备或材料则需变更为升级后的设备或材料</w:t>
      </w:r>
      <w:r>
        <w:rPr>
          <w:rFonts w:hint="eastAsia" w:ascii="宋体" w:hAnsi="宋体"/>
          <w:color w:val="auto"/>
          <w:sz w:val="20"/>
          <w:szCs w:val="20"/>
          <w:highlight w:val="none"/>
        </w:rPr>
        <w:t>经使用人同意</w:t>
      </w:r>
      <w:r>
        <w:rPr>
          <w:rFonts w:ascii="宋体" w:hAnsi="宋体"/>
          <w:color w:val="auto"/>
          <w:sz w:val="20"/>
          <w:szCs w:val="20"/>
          <w:highlight w:val="none"/>
        </w:rPr>
        <w:t>，费用也不再增加。</w:t>
      </w:r>
      <w:r>
        <w:rPr>
          <w:rFonts w:hint="eastAsia" w:ascii="宋体" w:hAnsi="宋体"/>
          <w:color w:val="auto"/>
          <w:sz w:val="20"/>
          <w:szCs w:val="20"/>
          <w:highlight w:val="none"/>
        </w:rPr>
        <w:t>使用人</w:t>
      </w:r>
      <w:r>
        <w:rPr>
          <w:rFonts w:ascii="宋体" w:hAnsi="宋体"/>
          <w:color w:val="auto"/>
          <w:sz w:val="20"/>
          <w:szCs w:val="20"/>
          <w:highlight w:val="none"/>
        </w:rPr>
        <w:t>有权增减工作范围，该费用应予以增减。</w:t>
      </w:r>
      <w:r>
        <w:rPr>
          <w:rFonts w:hint="eastAsia" w:ascii="宋体" w:hAnsi="宋体"/>
          <w:color w:val="auto"/>
          <w:sz w:val="20"/>
          <w:szCs w:val="20"/>
          <w:highlight w:val="none"/>
        </w:rPr>
        <w:t>招标人所有的变更，必须经过使用人书面同意</w:t>
      </w:r>
      <w:r>
        <w:rPr>
          <w:rFonts w:hint="eastAsia" w:ascii="宋体" w:hAnsi="宋体"/>
          <w:color w:val="auto"/>
          <w:highlight w:val="none"/>
        </w:rPr>
        <w:t>。</w:t>
      </w:r>
    </w:p>
    <w:p>
      <w:pPr>
        <w:pStyle w:val="27"/>
        <w:ind w:firstLine="0" w:firstLineChars="0"/>
        <w:rPr>
          <w:color w:val="auto"/>
          <w:highlight w:val="none"/>
        </w:rPr>
      </w:pPr>
    </w:p>
    <w:p>
      <w:pPr>
        <w:rPr>
          <w:color w:val="auto"/>
          <w:highlight w:val="none"/>
        </w:rPr>
      </w:pPr>
    </w:p>
    <w:p>
      <w:pPr>
        <w:pStyle w:val="27"/>
        <w:ind w:firstLine="0" w:firstLineChars="0"/>
        <w:rPr>
          <w:rFonts w:ascii="宋体" w:hAnsi="宋体"/>
          <w:color w:val="auto"/>
          <w:sz w:val="21"/>
          <w:szCs w:val="21"/>
          <w:highlight w:val="none"/>
        </w:rPr>
      </w:pPr>
      <w:r>
        <w:rPr>
          <w:rFonts w:hint="eastAsia" w:ascii="宋体" w:hAnsi="宋体"/>
          <w:color w:val="auto"/>
          <w:sz w:val="21"/>
          <w:szCs w:val="21"/>
          <w:highlight w:val="none"/>
        </w:rPr>
        <w:t>投标人：</w:t>
      </w:r>
      <w:r>
        <w:rPr>
          <w:rFonts w:hint="eastAsia" w:ascii="宋体" w:hAnsi="宋体"/>
          <w:color w:val="auto"/>
          <w:szCs w:val="21"/>
          <w:highlight w:val="none"/>
        </w:rPr>
        <w:t xml:space="preserve">                </w:t>
      </w:r>
      <w:r>
        <w:rPr>
          <w:rFonts w:hint="eastAsia" w:ascii="宋体" w:hAnsi="宋体"/>
          <w:color w:val="auto"/>
          <w:sz w:val="21"/>
          <w:szCs w:val="21"/>
          <w:highlight w:val="none"/>
        </w:rPr>
        <w:t>（盖章）</w:t>
      </w:r>
    </w:p>
    <w:p>
      <w:pPr>
        <w:rPr>
          <w:rFonts w:ascii="宋体" w:hAnsi="宋体"/>
          <w:color w:val="auto"/>
          <w:szCs w:val="21"/>
          <w:highlight w:val="none"/>
        </w:rPr>
      </w:pPr>
    </w:p>
    <w:p>
      <w:pPr>
        <w:pStyle w:val="27"/>
        <w:ind w:firstLine="340"/>
        <w:rPr>
          <w:rFonts w:ascii="宋体" w:hAnsi="宋体"/>
          <w:color w:val="auto"/>
          <w:szCs w:val="21"/>
          <w:highlight w:val="none"/>
        </w:rPr>
      </w:pPr>
    </w:p>
    <w:p>
      <w:pPr>
        <w:rPr>
          <w:rFonts w:ascii="宋体" w:hAnsi="宋体"/>
          <w:color w:val="auto"/>
          <w:szCs w:val="21"/>
          <w:highlight w:val="none"/>
        </w:rPr>
      </w:pPr>
      <w:r>
        <w:rPr>
          <w:rFonts w:hint="eastAsia" w:ascii="宋体" w:hAnsi="宋体"/>
          <w:color w:val="auto"/>
          <w:szCs w:val="21"/>
          <w:highlight w:val="none"/>
        </w:rPr>
        <w:t xml:space="preserve">法定代表人或其委托代理人：        （签字或盖章 ） </w:t>
      </w:r>
    </w:p>
    <w:p>
      <w:pPr>
        <w:rPr>
          <w:color w:val="auto"/>
          <w:highlight w:val="none"/>
        </w:rPr>
      </w:pPr>
    </w:p>
    <w:p>
      <w:pPr>
        <w:pStyle w:val="27"/>
        <w:ind w:firstLine="340"/>
        <w:rPr>
          <w:color w:val="auto"/>
          <w:highlight w:val="none"/>
        </w:rPr>
      </w:pPr>
    </w:p>
    <w:p>
      <w:pPr>
        <w:rPr>
          <w:color w:val="auto"/>
          <w:highlight w:val="none"/>
        </w:rPr>
      </w:pPr>
      <w:r>
        <w:rPr>
          <w:rFonts w:hint="eastAsia" w:ascii="宋体" w:hAnsi="宋体"/>
          <w:color w:val="auto"/>
          <w:szCs w:val="21"/>
          <w:highlight w:val="none"/>
        </w:rPr>
        <w:t>日期：    年    月    日</w:t>
      </w:r>
    </w:p>
    <w:p>
      <w:pPr>
        <w:rPr>
          <w:rFonts w:asciiTheme="minorEastAsia" w:hAnsiTheme="minorEastAsia" w:eastAsiaTheme="minorEastAsia" w:cstheme="minorEastAsia"/>
          <w:color w:val="auto"/>
          <w:sz w:val="24"/>
          <w:szCs w:val="24"/>
          <w:highlight w:val="none"/>
        </w:rPr>
      </w:pPr>
    </w:p>
    <w:p>
      <w:pPr>
        <w:pStyle w:val="27"/>
        <w:ind w:firstLine="0" w:firstLineChars="0"/>
        <w:rPr>
          <w:color w:val="auto"/>
          <w:highlight w:val="none"/>
        </w:rPr>
      </w:pPr>
    </w:p>
    <w:p>
      <w:pPr>
        <w:rPr>
          <w:rFonts w:asciiTheme="minorEastAsia" w:hAnsiTheme="minorEastAsia" w:eastAsiaTheme="minorEastAsia" w:cstheme="minorEastAsia"/>
          <w:color w:val="auto"/>
          <w:sz w:val="24"/>
          <w:szCs w:val="24"/>
          <w:highlight w:val="none"/>
        </w:rPr>
      </w:pPr>
    </w:p>
    <w:sectPr>
      <w:pgSz w:w="16840" w:h="11907" w:orient="landscape"/>
      <w:pgMar w:top="1134" w:right="1418" w:bottom="1134" w:left="1418" w:header="720" w:footer="72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微软雅黑">
    <w:panose1 w:val="020B0503020204020204"/>
    <w:charset w:val="86"/>
    <w:family w:val="swiss"/>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Arial Narrow">
    <w:panose1 w:val="020B0606020202030204"/>
    <w:charset w:val="00"/>
    <w:family w:val="swiss"/>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pict>
        <v:shape id="_x0000_s3073" o:spid="_x0000_s3073"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17"/>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ind w:firstLine="180"/>
      <w:rPr>
        <w:rStyle w:val="32"/>
      </w:rPr>
    </w:pPr>
    <w:r>
      <w:fldChar w:fldCharType="begin"/>
    </w:r>
    <w:r>
      <w:rPr>
        <w:rStyle w:val="32"/>
      </w:rPr>
      <w:instrText xml:space="preserve">PAGE  </w:instrText>
    </w:r>
    <w:r>
      <w:fldChar w:fldCharType="separate"/>
    </w:r>
    <w:r>
      <w:rPr>
        <w:rStyle w:val="32"/>
      </w:rPr>
      <w:t>28</w:t>
    </w:r>
    <w:r>
      <w:fldChar w:fldCharType="end"/>
    </w:r>
  </w:p>
  <w:p>
    <w:pPr>
      <w:pStyle w:val="17"/>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outside" w:y="1"/>
      <w:rPr>
        <w:rStyle w:val="32"/>
      </w:rPr>
    </w:pPr>
    <w:r>
      <w:fldChar w:fldCharType="begin"/>
    </w:r>
    <w:r>
      <w:rPr>
        <w:rStyle w:val="32"/>
      </w:rPr>
      <w:instrText xml:space="preserve">PAGE  </w:instrText>
    </w:r>
    <w:r>
      <w:fldChar w:fldCharType="separate"/>
    </w:r>
    <w:r>
      <w:rPr>
        <w:rStyle w:val="32"/>
      </w:rPr>
      <w:t>16</w:t>
    </w:r>
    <w:r>
      <w:fldChar w:fldCharType="end"/>
    </w:r>
  </w:p>
  <w:p>
    <w:pPr>
      <w:pStyle w:val="17"/>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ind w:firstLine="180"/>
      <w:rPr>
        <w:rStyle w:val="32"/>
      </w:rPr>
    </w:pPr>
    <w:r>
      <w:fldChar w:fldCharType="begin"/>
    </w:r>
    <w:r>
      <w:rPr>
        <w:rStyle w:val="32"/>
      </w:rPr>
      <w:instrText xml:space="preserve">PAGE  </w:instrText>
    </w:r>
    <w:r>
      <w:fldChar w:fldCharType="separate"/>
    </w:r>
    <w:r>
      <w:rPr>
        <w:rStyle w:val="32"/>
      </w:rPr>
      <w:t>32</w:t>
    </w:r>
    <w:r>
      <w:fldChar w:fldCharType="end"/>
    </w:r>
  </w:p>
  <w:p>
    <w:pPr>
      <w:pStyle w:val="17"/>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framePr w:wrap="around" w:vAnchor="text" w:hAnchor="margin" w:xAlign="center" w:y="1"/>
      <w:ind w:firstLine="180"/>
      <w:rPr>
        <w:rStyle w:val="32"/>
      </w:rPr>
    </w:pPr>
    <w:r>
      <w:fldChar w:fldCharType="begin"/>
    </w:r>
    <w:r>
      <w:rPr>
        <w:rStyle w:val="32"/>
      </w:rPr>
      <w:instrText xml:space="preserve">PAGE  </w:instrText>
    </w:r>
    <w:r>
      <w:fldChar w:fldCharType="separate"/>
    </w:r>
    <w:r>
      <w:rPr>
        <w:rStyle w:val="32"/>
      </w:rPr>
      <w:t>3</w:t>
    </w:r>
    <w:r>
      <w:fldChar w:fldCharType="end"/>
    </w:r>
  </w:p>
  <w:p>
    <w:pPr>
      <w:pStyle w:val="17"/>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03BD20"/>
    <w:multiLevelType w:val="singleLevel"/>
    <w:tmpl w:val="8A03BD20"/>
    <w:lvl w:ilvl="0" w:tentative="0">
      <w:start w:val="2"/>
      <w:numFmt w:val="decimal"/>
      <w:suff w:val="nothing"/>
      <w:lvlText w:val="%1、"/>
      <w:lvlJc w:val="left"/>
    </w:lvl>
  </w:abstractNum>
  <w:abstractNum w:abstractNumId="1">
    <w:nsid w:val="BBCE12DB"/>
    <w:multiLevelType w:val="singleLevel"/>
    <w:tmpl w:val="BBCE12DB"/>
    <w:lvl w:ilvl="0" w:tentative="0">
      <w:start w:val="2"/>
      <w:numFmt w:val="decimal"/>
      <w:suff w:val="nothing"/>
      <w:lvlText w:val="%1、"/>
      <w:lvlJc w:val="left"/>
    </w:lvl>
  </w:abstractNum>
  <w:abstractNum w:abstractNumId="2">
    <w:nsid w:val="CF79A0DF"/>
    <w:multiLevelType w:val="singleLevel"/>
    <w:tmpl w:val="CF79A0DF"/>
    <w:lvl w:ilvl="0" w:tentative="0">
      <w:start w:val="9"/>
      <w:numFmt w:val="decimal"/>
      <w:suff w:val="nothing"/>
      <w:lvlText w:val="%1、"/>
      <w:lvlJc w:val="left"/>
    </w:lvl>
  </w:abstractNum>
  <w:abstractNum w:abstractNumId="3">
    <w:nsid w:val="D7B6F7BD"/>
    <w:multiLevelType w:val="singleLevel"/>
    <w:tmpl w:val="D7B6F7BD"/>
    <w:lvl w:ilvl="0" w:tentative="0">
      <w:start w:val="1"/>
      <w:numFmt w:val="decimal"/>
      <w:lvlText w:val="%1."/>
      <w:lvlJc w:val="left"/>
      <w:pPr>
        <w:tabs>
          <w:tab w:val="left" w:pos="312"/>
        </w:tabs>
      </w:pPr>
    </w:lvl>
  </w:abstractNum>
  <w:abstractNum w:abstractNumId="4">
    <w:nsid w:val="0000001B"/>
    <w:multiLevelType w:val="singleLevel"/>
    <w:tmpl w:val="0000001B"/>
    <w:lvl w:ilvl="0" w:tentative="0">
      <w:start w:val="1"/>
      <w:numFmt w:val="lowerLetter"/>
      <w:lvlText w:val="%1."/>
      <w:lvlJc w:val="left"/>
      <w:pPr>
        <w:ind w:left="425" w:hanging="425"/>
      </w:pPr>
      <w:rPr>
        <w:rFonts w:hint="default"/>
      </w:rPr>
    </w:lvl>
  </w:abstractNum>
  <w:abstractNum w:abstractNumId="5">
    <w:nsid w:val="00000047"/>
    <w:multiLevelType w:val="singleLevel"/>
    <w:tmpl w:val="00000047"/>
    <w:lvl w:ilvl="0" w:tentative="0">
      <w:start w:val="1"/>
      <w:numFmt w:val="decimal"/>
      <w:lvlText w:val="1.%1."/>
      <w:lvlJc w:val="left"/>
      <w:pPr>
        <w:tabs>
          <w:tab w:val="left" w:pos="420"/>
        </w:tabs>
        <w:ind w:left="425" w:hanging="425"/>
      </w:pPr>
      <w:rPr>
        <w:rFonts w:hint="default"/>
      </w:rPr>
    </w:lvl>
  </w:abstractNum>
  <w:abstractNum w:abstractNumId="6">
    <w:nsid w:val="634704D1"/>
    <w:multiLevelType w:val="singleLevel"/>
    <w:tmpl w:val="634704D1"/>
    <w:lvl w:ilvl="0" w:tentative="0">
      <w:start w:val="2"/>
      <w:numFmt w:val="decimal"/>
      <w:suff w:val="nothing"/>
      <w:lvlText w:val="（%1）"/>
      <w:lvlJc w:val="left"/>
    </w:lvl>
  </w:abstractNum>
  <w:num w:numId="1">
    <w:abstractNumId w:val="1"/>
  </w:num>
  <w:num w:numId="2">
    <w:abstractNumId w:val="2"/>
  </w:num>
  <w:num w:numId="3">
    <w:abstractNumId w:val="6"/>
  </w:num>
  <w:num w:numId="4">
    <w:abstractNumId w:val="5"/>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hdrShapeDefaults>
    <o:shapelayout v:ext="edit">
      <o:idmap v:ext="edit" data="3"/>
    </o:shapelayout>
  </w:hdrShapeDefaults>
  <w:compat>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11ECD"/>
    <w:rsid w:val="00076221"/>
    <w:rsid w:val="00092F51"/>
    <w:rsid w:val="000B18F0"/>
    <w:rsid w:val="000F1046"/>
    <w:rsid w:val="000F135C"/>
    <w:rsid w:val="00102ED9"/>
    <w:rsid w:val="001132C6"/>
    <w:rsid w:val="00123F8A"/>
    <w:rsid w:val="00157B73"/>
    <w:rsid w:val="00171641"/>
    <w:rsid w:val="00172A1E"/>
    <w:rsid w:val="001800FD"/>
    <w:rsid w:val="001B1DE3"/>
    <w:rsid w:val="001B3A70"/>
    <w:rsid w:val="001D5398"/>
    <w:rsid w:val="00223CBC"/>
    <w:rsid w:val="00252453"/>
    <w:rsid w:val="0026665C"/>
    <w:rsid w:val="0026717C"/>
    <w:rsid w:val="002926D1"/>
    <w:rsid w:val="002B53DD"/>
    <w:rsid w:val="00322C22"/>
    <w:rsid w:val="00324A78"/>
    <w:rsid w:val="00337C06"/>
    <w:rsid w:val="00347E38"/>
    <w:rsid w:val="0038457F"/>
    <w:rsid w:val="00385320"/>
    <w:rsid w:val="003953E5"/>
    <w:rsid w:val="003B64EA"/>
    <w:rsid w:val="003D2A99"/>
    <w:rsid w:val="003F2ED6"/>
    <w:rsid w:val="00412BA6"/>
    <w:rsid w:val="00437458"/>
    <w:rsid w:val="00453FBC"/>
    <w:rsid w:val="00454987"/>
    <w:rsid w:val="004841B8"/>
    <w:rsid w:val="004A0B8B"/>
    <w:rsid w:val="004A0F00"/>
    <w:rsid w:val="00531609"/>
    <w:rsid w:val="0054531B"/>
    <w:rsid w:val="005867C8"/>
    <w:rsid w:val="00596BB3"/>
    <w:rsid w:val="005A7877"/>
    <w:rsid w:val="005F1887"/>
    <w:rsid w:val="005F194D"/>
    <w:rsid w:val="00600C83"/>
    <w:rsid w:val="0060581D"/>
    <w:rsid w:val="00642511"/>
    <w:rsid w:val="00662032"/>
    <w:rsid w:val="006A5BF3"/>
    <w:rsid w:val="006D5299"/>
    <w:rsid w:val="006F6A77"/>
    <w:rsid w:val="007743CF"/>
    <w:rsid w:val="00796396"/>
    <w:rsid w:val="007D2D2E"/>
    <w:rsid w:val="007F2242"/>
    <w:rsid w:val="007F28BA"/>
    <w:rsid w:val="008021CD"/>
    <w:rsid w:val="00802517"/>
    <w:rsid w:val="00833E0B"/>
    <w:rsid w:val="0084105F"/>
    <w:rsid w:val="00850F37"/>
    <w:rsid w:val="00874A0D"/>
    <w:rsid w:val="00877D83"/>
    <w:rsid w:val="00890384"/>
    <w:rsid w:val="008944CE"/>
    <w:rsid w:val="00941337"/>
    <w:rsid w:val="009475ED"/>
    <w:rsid w:val="009618E5"/>
    <w:rsid w:val="00977D02"/>
    <w:rsid w:val="00984E24"/>
    <w:rsid w:val="00986EA5"/>
    <w:rsid w:val="00997E08"/>
    <w:rsid w:val="009B088D"/>
    <w:rsid w:val="009B1D96"/>
    <w:rsid w:val="009E4E44"/>
    <w:rsid w:val="009F2921"/>
    <w:rsid w:val="00A179E3"/>
    <w:rsid w:val="00A20975"/>
    <w:rsid w:val="00A54D52"/>
    <w:rsid w:val="00A936D3"/>
    <w:rsid w:val="00AC3A5D"/>
    <w:rsid w:val="00AE2AE1"/>
    <w:rsid w:val="00B16145"/>
    <w:rsid w:val="00B16EA5"/>
    <w:rsid w:val="00C3308E"/>
    <w:rsid w:val="00C54E0F"/>
    <w:rsid w:val="00C75D2D"/>
    <w:rsid w:val="00CA2EF8"/>
    <w:rsid w:val="00D04981"/>
    <w:rsid w:val="00D227D6"/>
    <w:rsid w:val="00D2563E"/>
    <w:rsid w:val="00D27D65"/>
    <w:rsid w:val="00D44CB4"/>
    <w:rsid w:val="00D50438"/>
    <w:rsid w:val="00D53EE8"/>
    <w:rsid w:val="00D64325"/>
    <w:rsid w:val="00D774E4"/>
    <w:rsid w:val="00D94D68"/>
    <w:rsid w:val="00DF3E56"/>
    <w:rsid w:val="00DF3E74"/>
    <w:rsid w:val="00E418B9"/>
    <w:rsid w:val="00E65FA8"/>
    <w:rsid w:val="00E70AEE"/>
    <w:rsid w:val="00E70CCA"/>
    <w:rsid w:val="00E77556"/>
    <w:rsid w:val="00E81341"/>
    <w:rsid w:val="00EA7B11"/>
    <w:rsid w:val="00EC4116"/>
    <w:rsid w:val="00F23F82"/>
    <w:rsid w:val="00F33613"/>
    <w:rsid w:val="00F60844"/>
    <w:rsid w:val="00FB197F"/>
    <w:rsid w:val="00FD0792"/>
    <w:rsid w:val="00FE21DA"/>
    <w:rsid w:val="010643D2"/>
    <w:rsid w:val="01252684"/>
    <w:rsid w:val="017B4D40"/>
    <w:rsid w:val="018D2CC5"/>
    <w:rsid w:val="01FE0316"/>
    <w:rsid w:val="02CD0E66"/>
    <w:rsid w:val="033D2B90"/>
    <w:rsid w:val="03401215"/>
    <w:rsid w:val="03A04854"/>
    <w:rsid w:val="03B0513A"/>
    <w:rsid w:val="042F2D99"/>
    <w:rsid w:val="055A6F90"/>
    <w:rsid w:val="057115C5"/>
    <w:rsid w:val="05C22671"/>
    <w:rsid w:val="06722FF9"/>
    <w:rsid w:val="069B1A69"/>
    <w:rsid w:val="06ED611F"/>
    <w:rsid w:val="06F3702C"/>
    <w:rsid w:val="078779E0"/>
    <w:rsid w:val="07E01420"/>
    <w:rsid w:val="07F248CA"/>
    <w:rsid w:val="08295E92"/>
    <w:rsid w:val="09186AA1"/>
    <w:rsid w:val="099361CD"/>
    <w:rsid w:val="0A17516A"/>
    <w:rsid w:val="0A203944"/>
    <w:rsid w:val="0A3648BE"/>
    <w:rsid w:val="0A6F2DDF"/>
    <w:rsid w:val="0A9414BC"/>
    <w:rsid w:val="0AD57493"/>
    <w:rsid w:val="0AD95861"/>
    <w:rsid w:val="0B042481"/>
    <w:rsid w:val="0B205E71"/>
    <w:rsid w:val="0B7011A9"/>
    <w:rsid w:val="0BC20272"/>
    <w:rsid w:val="0C2F0F17"/>
    <w:rsid w:val="0C487E6C"/>
    <w:rsid w:val="0C620A55"/>
    <w:rsid w:val="0CDB78E3"/>
    <w:rsid w:val="0D736379"/>
    <w:rsid w:val="0DA07C55"/>
    <w:rsid w:val="0DBE306D"/>
    <w:rsid w:val="0DFC72C8"/>
    <w:rsid w:val="0E483512"/>
    <w:rsid w:val="0E674362"/>
    <w:rsid w:val="0E6E298A"/>
    <w:rsid w:val="0E6F03C7"/>
    <w:rsid w:val="0E9960EA"/>
    <w:rsid w:val="0EDC350C"/>
    <w:rsid w:val="0F02680A"/>
    <w:rsid w:val="0F352D69"/>
    <w:rsid w:val="0F403CEA"/>
    <w:rsid w:val="0F4A6C14"/>
    <w:rsid w:val="0F9B7D51"/>
    <w:rsid w:val="0FE6581A"/>
    <w:rsid w:val="103129C3"/>
    <w:rsid w:val="105F793C"/>
    <w:rsid w:val="10966690"/>
    <w:rsid w:val="10C1515C"/>
    <w:rsid w:val="10D842E1"/>
    <w:rsid w:val="10F12720"/>
    <w:rsid w:val="11003F91"/>
    <w:rsid w:val="11200E0E"/>
    <w:rsid w:val="115601F1"/>
    <w:rsid w:val="115C0A93"/>
    <w:rsid w:val="1231797F"/>
    <w:rsid w:val="126E08E5"/>
    <w:rsid w:val="12B87C38"/>
    <w:rsid w:val="13171D8C"/>
    <w:rsid w:val="13E024F7"/>
    <w:rsid w:val="142524E7"/>
    <w:rsid w:val="142976E8"/>
    <w:rsid w:val="148F206F"/>
    <w:rsid w:val="14EF6F74"/>
    <w:rsid w:val="1562509C"/>
    <w:rsid w:val="1568477F"/>
    <w:rsid w:val="161A5B51"/>
    <w:rsid w:val="16536C56"/>
    <w:rsid w:val="17743711"/>
    <w:rsid w:val="17AF5BB6"/>
    <w:rsid w:val="17ED2EC7"/>
    <w:rsid w:val="17F860F9"/>
    <w:rsid w:val="18E56FD1"/>
    <w:rsid w:val="191151A5"/>
    <w:rsid w:val="19C370FB"/>
    <w:rsid w:val="19C374C4"/>
    <w:rsid w:val="1A1915F5"/>
    <w:rsid w:val="1B4B2CC6"/>
    <w:rsid w:val="1BA65996"/>
    <w:rsid w:val="1BD0252A"/>
    <w:rsid w:val="1BF7266A"/>
    <w:rsid w:val="1C4C16FD"/>
    <w:rsid w:val="1C5E01AD"/>
    <w:rsid w:val="1C841D03"/>
    <w:rsid w:val="1C9238C5"/>
    <w:rsid w:val="1C9C348F"/>
    <w:rsid w:val="1CD96D90"/>
    <w:rsid w:val="1D246639"/>
    <w:rsid w:val="1ED932F7"/>
    <w:rsid w:val="1F222924"/>
    <w:rsid w:val="1F235A10"/>
    <w:rsid w:val="1F445102"/>
    <w:rsid w:val="1F4544B4"/>
    <w:rsid w:val="1F633FE4"/>
    <w:rsid w:val="1FC83A23"/>
    <w:rsid w:val="1FF71840"/>
    <w:rsid w:val="20243093"/>
    <w:rsid w:val="203562CE"/>
    <w:rsid w:val="20426CFD"/>
    <w:rsid w:val="20D165E0"/>
    <w:rsid w:val="2167475F"/>
    <w:rsid w:val="21C727E1"/>
    <w:rsid w:val="223607E1"/>
    <w:rsid w:val="22A63EC2"/>
    <w:rsid w:val="22EC55E4"/>
    <w:rsid w:val="230B08BF"/>
    <w:rsid w:val="23112007"/>
    <w:rsid w:val="23467533"/>
    <w:rsid w:val="2377599A"/>
    <w:rsid w:val="23FD212F"/>
    <w:rsid w:val="241A4A22"/>
    <w:rsid w:val="24397D4F"/>
    <w:rsid w:val="25111399"/>
    <w:rsid w:val="251D5245"/>
    <w:rsid w:val="25573C52"/>
    <w:rsid w:val="25673626"/>
    <w:rsid w:val="25B850C5"/>
    <w:rsid w:val="265D7677"/>
    <w:rsid w:val="269E7603"/>
    <w:rsid w:val="27950E23"/>
    <w:rsid w:val="27DC55D7"/>
    <w:rsid w:val="27F84584"/>
    <w:rsid w:val="28744A30"/>
    <w:rsid w:val="289135FD"/>
    <w:rsid w:val="297E1B4D"/>
    <w:rsid w:val="2A6C706D"/>
    <w:rsid w:val="2AB204A5"/>
    <w:rsid w:val="2AF160F0"/>
    <w:rsid w:val="2AFE1262"/>
    <w:rsid w:val="2B5D2E86"/>
    <w:rsid w:val="2B6A47FD"/>
    <w:rsid w:val="2B810B41"/>
    <w:rsid w:val="2B97039D"/>
    <w:rsid w:val="2BB3671D"/>
    <w:rsid w:val="2BB957A2"/>
    <w:rsid w:val="2C0A2096"/>
    <w:rsid w:val="2C4F1FE4"/>
    <w:rsid w:val="2C5E53FF"/>
    <w:rsid w:val="2CC55E62"/>
    <w:rsid w:val="2CE034B3"/>
    <w:rsid w:val="2DAE34B9"/>
    <w:rsid w:val="2DCD1BAF"/>
    <w:rsid w:val="2DDA2F46"/>
    <w:rsid w:val="2DDC4CFE"/>
    <w:rsid w:val="2E69320E"/>
    <w:rsid w:val="2E7A6958"/>
    <w:rsid w:val="2EB11D5E"/>
    <w:rsid w:val="2EB23898"/>
    <w:rsid w:val="2EB75EBD"/>
    <w:rsid w:val="2EC35BA6"/>
    <w:rsid w:val="2F4250B0"/>
    <w:rsid w:val="2F4B596B"/>
    <w:rsid w:val="2F6855EB"/>
    <w:rsid w:val="304944DD"/>
    <w:rsid w:val="30C64B11"/>
    <w:rsid w:val="31115D00"/>
    <w:rsid w:val="31723D70"/>
    <w:rsid w:val="318225C0"/>
    <w:rsid w:val="319A66D0"/>
    <w:rsid w:val="31C2796C"/>
    <w:rsid w:val="31C4442B"/>
    <w:rsid w:val="32294E3B"/>
    <w:rsid w:val="32397FF3"/>
    <w:rsid w:val="327E1ACD"/>
    <w:rsid w:val="32936AA7"/>
    <w:rsid w:val="32F612F9"/>
    <w:rsid w:val="337A7E02"/>
    <w:rsid w:val="33B42114"/>
    <w:rsid w:val="344F5AC7"/>
    <w:rsid w:val="345F6F10"/>
    <w:rsid w:val="351505EF"/>
    <w:rsid w:val="358F6DAA"/>
    <w:rsid w:val="35FA50A5"/>
    <w:rsid w:val="363429C0"/>
    <w:rsid w:val="36654023"/>
    <w:rsid w:val="36877AC8"/>
    <w:rsid w:val="37263DC7"/>
    <w:rsid w:val="37C25041"/>
    <w:rsid w:val="38973FE4"/>
    <w:rsid w:val="398052B8"/>
    <w:rsid w:val="39D031FB"/>
    <w:rsid w:val="3A0B2CF9"/>
    <w:rsid w:val="3A27303D"/>
    <w:rsid w:val="3A653B81"/>
    <w:rsid w:val="3A717C9C"/>
    <w:rsid w:val="3A76452D"/>
    <w:rsid w:val="3AC03AEF"/>
    <w:rsid w:val="3AF90CBF"/>
    <w:rsid w:val="3BA777EE"/>
    <w:rsid w:val="3BDD52F7"/>
    <w:rsid w:val="3DA365C7"/>
    <w:rsid w:val="3DC90DC7"/>
    <w:rsid w:val="3E1068C3"/>
    <w:rsid w:val="3E1115B5"/>
    <w:rsid w:val="3E506E48"/>
    <w:rsid w:val="3E522735"/>
    <w:rsid w:val="3E62762F"/>
    <w:rsid w:val="3EC17F95"/>
    <w:rsid w:val="3ED21C37"/>
    <w:rsid w:val="3ED242F2"/>
    <w:rsid w:val="3EE06BC4"/>
    <w:rsid w:val="3FC719B7"/>
    <w:rsid w:val="3FE115FE"/>
    <w:rsid w:val="3FED117E"/>
    <w:rsid w:val="3FFC4B0C"/>
    <w:rsid w:val="40D70CA4"/>
    <w:rsid w:val="41F20501"/>
    <w:rsid w:val="424B5653"/>
    <w:rsid w:val="429C2B53"/>
    <w:rsid w:val="43A766C9"/>
    <w:rsid w:val="43AA4B02"/>
    <w:rsid w:val="43DA2339"/>
    <w:rsid w:val="43EB0E95"/>
    <w:rsid w:val="443365B6"/>
    <w:rsid w:val="44475ABD"/>
    <w:rsid w:val="445619D7"/>
    <w:rsid w:val="44602DE3"/>
    <w:rsid w:val="44EF58FF"/>
    <w:rsid w:val="44F448E3"/>
    <w:rsid w:val="45143874"/>
    <w:rsid w:val="45417326"/>
    <w:rsid w:val="45487E01"/>
    <w:rsid w:val="45970128"/>
    <w:rsid w:val="46017C35"/>
    <w:rsid w:val="463260EC"/>
    <w:rsid w:val="467F0483"/>
    <w:rsid w:val="468E7D0A"/>
    <w:rsid w:val="476A452D"/>
    <w:rsid w:val="47827CE8"/>
    <w:rsid w:val="47A85349"/>
    <w:rsid w:val="47C64AAE"/>
    <w:rsid w:val="48573328"/>
    <w:rsid w:val="4878138E"/>
    <w:rsid w:val="488F1F8D"/>
    <w:rsid w:val="48F36814"/>
    <w:rsid w:val="493836DA"/>
    <w:rsid w:val="494D7B45"/>
    <w:rsid w:val="495945D7"/>
    <w:rsid w:val="49A93515"/>
    <w:rsid w:val="49C60F21"/>
    <w:rsid w:val="4A717966"/>
    <w:rsid w:val="4AEA4F86"/>
    <w:rsid w:val="4B7B063E"/>
    <w:rsid w:val="4BAB2E26"/>
    <w:rsid w:val="4BAC0E65"/>
    <w:rsid w:val="4BEB3137"/>
    <w:rsid w:val="4C173EE4"/>
    <w:rsid w:val="4DBC6C66"/>
    <w:rsid w:val="4DEC5E09"/>
    <w:rsid w:val="4E471B2D"/>
    <w:rsid w:val="4E4C74A7"/>
    <w:rsid w:val="4E5F5679"/>
    <w:rsid w:val="4E9C5BF5"/>
    <w:rsid w:val="4F0B2432"/>
    <w:rsid w:val="4F3B3E0A"/>
    <w:rsid w:val="4F7E3524"/>
    <w:rsid w:val="4FA21F5E"/>
    <w:rsid w:val="4FCD453C"/>
    <w:rsid w:val="507F7EB0"/>
    <w:rsid w:val="50D90E3F"/>
    <w:rsid w:val="51057895"/>
    <w:rsid w:val="513E223D"/>
    <w:rsid w:val="51455C9A"/>
    <w:rsid w:val="51585983"/>
    <w:rsid w:val="51685060"/>
    <w:rsid w:val="52027174"/>
    <w:rsid w:val="521F7347"/>
    <w:rsid w:val="53093EFF"/>
    <w:rsid w:val="53102AB4"/>
    <w:rsid w:val="535C6F6A"/>
    <w:rsid w:val="53722C1B"/>
    <w:rsid w:val="53775E70"/>
    <w:rsid w:val="53E95C2A"/>
    <w:rsid w:val="541E5BB9"/>
    <w:rsid w:val="55C1444A"/>
    <w:rsid w:val="56090A8E"/>
    <w:rsid w:val="566A5479"/>
    <w:rsid w:val="567F1EA1"/>
    <w:rsid w:val="575B5DBF"/>
    <w:rsid w:val="576B2CAE"/>
    <w:rsid w:val="578222C8"/>
    <w:rsid w:val="57D97FF1"/>
    <w:rsid w:val="58027B27"/>
    <w:rsid w:val="585C2844"/>
    <w:rsid w:val="589B4794"/>
    <w:rsid w:val="589E4548"/>
    <w:rsid w:val="58A6629F"/>
    <w:rsid w:val="58C20E22"/>
    <w:rsid w:val="59051B84"/>
    <w:rsid w:val="59264758"/>
    <w:rsid w:val="59640F82"/>
    <w:rsid w:val="59D7322F"/>
    <w:rsid w:val="5A8A4A8E"/>
    <w:rsid w:val="5ABE5EBD"/>
    <w:rsid w:val="5B30418F"/>
    <w:rsid w:val="5B4F5390"/>
    <w:rsid w:val="5B5B39B3"/>
    <w:rsid w:val="5B8D5D01"/>
    <w:rsid w:val="5BA82034"/>
    <w:rsid w:val="5CB42AAC"/>
    <w:rsid w:val="5D37191C"/>
    <w:rsid w:val="5DBD497D"/>
    <w:rsid w:val="5E035243"/>
    <w:rsid w:val="5E120E32"/>
    <w:rsid w:val="5E787944"/>
    <w:rsid w:val="5E8661D8"/>
    <w:rsid w:val="5EA32ABA"/>
    <w:rsid w:val="5ED92F78"/>
    <w:rsid w:val="5F39299A"/>
    <w:rsid w:val="5F734CCA"/>
    <w:rsid w:val="5F9468A8"/>
    <w:rsid w:val="5FEC6A29"/>
    <w:rsid w:val="5FF97043"/>
    <w:rsid w:val="60104A1E"/>
    <w:rsid w:val="60130799"/>
    <w:rsid w:val="60315CB8"/>
    <w:rsid w:val="605E1DEA"/>
    <w:rsid w:val="61697A7D"/>
    <w:rsid w:val="61D42936"/>
    <w:rsid w:val="62450FCC"/>
    <w:rsid w:val="62861EAA"/>
    <w:rsid w:val="629B6173"/>
    <w:rsid w:val="633820A6"/>
    <w:rsid w:val="637162CF"/>
    <w:rsid w:val="638025D5"/>
    <w:rsid w:val="63DB22A1"/>
    <w:rsid w:val="63EE5991"/>
    <w:rsid w:val="656454BD"/>
    <w:rsid w:val="65F11B35"/>
    <w:rsid w:val="66241633"/>
    <w:rsid w:val="669034B3"/>
    <w:rsid w:val="671036AF"/>
    <w:rsid w:val="673B20F9"/>
    <w:rsid w:val="675817D2"/>
    <w:rsid w:val="677F6628"/>
    <w:rsid w:val="67896C54"/>
    <w:rsid w:val="679370FF"/>
    <w:rsid w:val="67BD2AF6"/>
    <w:rsid w:val="67C23CE4"/>
    <w:rsid w:val="67E12090"/>
    <w:rsid w:val="67FC61B8"/>
    <w:rsid w:val="68086D13"/>
    <w:rsid w:val="68A53F7E"/>
    <w:rsid w:val="68DB4AEF"/>
    <w:rsid w:val="69965724"/>
    <w:rsid w:val="6A355461"/>
    <w:rsid w:val="6A4467AA"/>
    <w:rsid w:val="6A6C17DD"/>
    <w:rsid w:val="6ACC3EEB"/>
    <w:rsid w:val="6AF3625C"/>
    <w:rsid w:val="6C42065D"/>
    <w:rsid w:val="6C9F37C3"/>
    <w:rsid w:val="6CEC20DE"/>
    <w:rsid w:val="6D3535AA"/>
    <w:rsid w:val="6D3951DB"/>
    <w:rsid w:val="6DD91636"/>
    <w:rsid w:val="6E042333"/>
    <w:rsid w:val="6E1845CD"/>
    <w:rsid w:val="6ED91546"/>
    <w:rsid w:val="6EEE3ABB"/>
    <w:rsid w:val="6F272654"/>
    <w:rsid w:val="6F393F5A"/>
    <w:rsid w:val="6F6748D6"/>
    <w:rsid w:val="6FE11742"/>
    <w:rsid w:val="704E7517"/>
    <w:rsid w:val="70624CFC"/>
    <w:rsid w:val="707725B8"/>
    <w:rsid w:val="70D253D0"/>
    <w:rsid w:val="70DE50C8"/>
    <w:rsid w:val="7220213F"/>
    <w:rsid w:val="723E546F"/>
    <w:rsid w:val="729D7780"/>
    <w:rsid w:val="72AB48E6"/>
    <w:rsid w:val="72AB775A"/>
    <w:rsid w:val="732B53A6"/>
    <w:rsid w:val="73BA3636"/>
    <w:rsid w:val="73E819B5"/>
    <w:rsid w:val="743F1BD3"/>
    <w:rsid w:val="74480ED8"/>
    <w:rsid w:val="74755C01"/>
    <w:rsid w:val="74A262E2"/>
    <w:rsid w:val="74A905A6"/>
    <w:rsid w:val="74AD5CC5"/>
    <w:rsid w:val="74CE637B"/>
    <w:rsid w:val="74CF48DE"/>
    <w:rsid w:val="75397541"/>
    <w:rsid w:val="760F1667"/>
    <w:rsid w:val="7622537E"/>
    <w:rsid w:val="763E18BE"/>
    <w:rsid w:val="76470CE4"/>
    <w:rsid w:val="76983FFF"/>
    <w:rsid w:val="76F94DB1"/>
    <w:rsid w:val="771303B2"/>
    <w:rsid w:val="7726768C"/>
    <w:rsid w:val="77654CBC"/>
    <w:rsid w:val="7788191F"/>
    <w:rsid w:val="779320AA"/>
    <w:rsid w:val="77B466DA"/>
    <w:rsid w:val="77D90BB8"/>
    <w:rsid w:val="77DF5F42"/>
    <w:rsid w:val="77F9134D"/>
    <w:rsid w:val="784F2733"/>
    <w:rsid w:val="78516088"/>
    <w:rsid w:val="79660903"/>
    <w:rsid w:val="7A345BCB"/>
    <w:rsid w:val="7A71774B"/>
    <w:rsid w:val="7ABB0D0D"/>
    <w:rsid w:val="7B092148"/>
    <w:rsid w:val="7B6B485F"/>
    <w:rsid w:val="7BEF445B"/>
    <w:rsid w:val="7D365589"/>
    <w:rsid w:val="7D9168C7"/>
    <w:rsid w:val="7F326B39"/>
    <w:rsid w:val="7F372864"/>
    <w:rsid w:val="7F496B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3">
    <w:name w:val="heading 2"/>
    <w:basedOn w:val="1"/>
    <w:next w:val="1"/>
    <w:qFormat/>
    <w:uiPriority w:val="0"/>
    <w:pPr>
      <w:keepNext/>
      <w:keepLines/>
      <w:spacing w:line="360" w:lineRule="auto"/>
      <w:outlineLvl w:val="1"/>
    </w:pPr>
    <w:rPr>
      <w:rFonts w:ascii="Arial" w:hAnsi="Arial"/>
      <w:b/>
      <w:bCs/>
      <w:sz w:val="24"/>
      <w:szCs w:val="32"/>
    </w:rPr>
  </w:style>
  <w:style w:type="paragraph" w:styleId="4">
    <w:name w:val="heading 3"/>
    <w:basedOn w:val="1"/>
    <w:next w:val="1"/>
    <w:qFormat/>
    <w:uiPriority w:val="0"/>
    <w:pPr>
      <w:keepNext/>
      <w:keepLines/>
      <w:spacing w:line="360" w:lineRule="auto"/>
      <w:ind w:firstLine="200" w:firstLineChars="200"/>
      <w:outlineLvl w:val="2"/>
    </w:pPr>
    <w:rPr>
      <w:b/>
      <w:bCs/>
      <w:szCs w:val="32"/>
    </w:rPr>
  </w:style>
  <w:style w:type="paragraph" w:styleId="5">
    <w:name w:val="heading 4"/>
    <w:basedOn w:val="1"/>
    <w:next w:val="1"/>
    <w:link w:val="58"/>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6">
    <w:name w:val="toc 7"/>
    <w:next w:val="1"/>
    <w:qFormat/>
    <w:uiPriority w:val="0"/>
    <w:pPr>
      <w:ind w:left="1260"/>
    </w:pPr>
    <w:rPr>
      <w:rFonts w:ascii="Calibri" w:hAnsi="Calibri" w:eastAsia="宋体" w:cs="Times New Roman"/>
      <w:sz w:val="18"/>
      <w:szCs w:val="18"/>
      <w:lang w:val="en-US" w:eastAsia="zh-CN" w:bidi="ar-SA"/>
    </w:rPr>
  </w:style>
  <w:style w:type="paragraph" w:styleId="7">
    <w:name w:val="Normal Indent"/>
    <w:basedOn w:val="1"/>
    <w:qFormat/>
    <w:uiPriority w:val="99"/>
    <w:pPr>
      <w:ind w:firstLine="420" w:firstLineChars="200"/>
    </w:pPr>
  </w:style>
  <w:style w:type="paragraph" w:styleId="8">
    <w:name w:val="annotation text"/>
    <w:basedOn w:val="1"/>
    <w:qFormat/>
    <w:uiPriority w:val="0"/>
    <w:pPr>
      <w:jc w:val="left"/>
    </w:pPr>
  </w:style>
  <w:style w:type="paragraph" w:styleId="9">
    <w:name w:val="Body Text"/>
    <w:basedOn w:val="1"/>
    <w:next w:val="10"/>
    <w:qFormat/>
    <w:uiPriority w:val="1"/>
    <w:rPr>
      <w:sz w:val="24"/>
      <w:szCs w:val="24"/>
    </w:rPr>
  </w:style>
  <w:style w:type="paragraph" w:styleId="10">
    <w:name w:val="toc 2"/>
    <w:basedOn w:val="1"/>
    <w:next w:val="1"/>
    <w:qFormat/>
    <w:uiPriority w:val="0"/>
    <w:pPr>
      <w:ind w:left="210"/>
    </w:pPr>
    <w:rPr>
      <w:rFonts w:ascii="Calibri" w:hAnsi="Calibri"/>
      <w:smallCaps/>
    </w:rPr>
  </w:style>
  <w:style w:type="paragraph" w:styleId="11">
    <w:name w:val="toc 5"/>
    <w:next w:val="1"/>
    <w:qFormat/>
    <w:uiPriority w:val="0"/>
    <w:pPr>
      <w:ind w:left="840"/>
    </w:pPr>
    <w:rPr>
      <w:rFonts w:ascii="Calibri" w:hAnsi="Calibri" w:eastAsia="宋体" w:cs="Times New Roman"/>
      <w:sz w:val="18"/>
      <w:szCs w:val="18"/>
      <w:lang w:val="en-US" w:eastAsia="zh-CN" w:bidi="ar-SA"/>
    </w:rPr>
  </w:style>
  <w:style w:type="paragraph" w:styleId="12">
    <w:name w:val="toc 3"/>
    <w:next w:val="1"/>
    <w:qFormat/>
    <w:uiPriority w:val="0"/>
    <w:pPr>
      <w:ind w:left="420"/>
    </w:pPr>
    <w:rPr>
      <w:rFonts w:ascii="Calibri" w:hAnsi="Calibri" w:eastAsia="宋体" w:cs="Times New Roman"/>
      <w:i/>
      <w:iCs/>
      <w:lang w:val="en-US" w:eastAsia="zh-CN" w:bidi="ar-SA"/>
    </w:rPr>
  </w:style>
  <w:style w:type="paragraph" w:styleId="13">
    <w:name w:val="Plain Text"/>
    <w:basedOn w:val="1"/>
    <w:qFormat/>
    <w:uiPriority w:val="0"/>
    <w:rPr>
      <w:rFonts w:ascii="宋体" w:hAnsi="Courier New" w:cs="Courier New"/>
      <w:szCs w:val="21"/>
    </w:rPr>
  </w:style>
  <w:style w:type="paragraph" w:styleId="14">
    <w:name w:val="toc 8"/>
    <w:next w:val="1"/>
    <w:qFormat/>
    <w:uiPriority w:val="0"/>
    <w:pPr>
      <w:ind w:left="1470"/>
    </w:pPr>
    <w:rPr>
      <w:rFonts w:ascii="Calibri" w:hAnsi="Calibri" w:eastAsia="宋体" w:cs="Times New Roman"/>
      <w:sz w:val="18"/>
      <w:szCs w:val="18"/>
      <w:lang w:val="en-US" w:eastAsia="zh-CN" w:bidi="ar-SA"/>
    </w:rPr>
  </w:style>
  <w:style w:type="paragraph" w:styleId="15">
    <w:name w:val="Date"/>
    <w:basedOn w:val="1"/>
    <w:next w:val="1"/>
    <w:qFormat/>
    <w:uiPriority w:val="0"/>
    <w:rPr>
      <w:rFonts w:eastAsia="仿宋_GB2312"/>
      <w:sz w:val="28"/>
      <w:szCs w:val="20"/>
    </w:rPr>
  </w:style>
  <w:style w:type="paragraph" w:styleId="16">
    <w:name w:val="Body Text Indent 2"/>
    <w:basedOn w:val="1"/>
    <w:qFormat/>
    <w:uiPriority w:val="0"/>
    <w:pPr>
      <w:spacing w:after="120" w:line="480" w:lineRule="auto"/>
      <w:ind w:left="420" w:leftChars="200"/>
    </w:p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header"/>
    <w:basedOn w:val="1"/>
    <w:link w:val="56"/>
    <w:qFormat/>
    <w:uiPriority w:val="0"/>
    <w:pPr>
      <w:pBdr>
        <w:bottom w:val="single" w:color="auto" w:sz="6" w:space="1"/>
      </w:pBdr>
      <w:tabs>
        <w:tab w:val="center" w:pos="4153"/>
        <w:tab w:val="right" w:pos="8306"/>
      </w:tabs>
      <w:snapToGrid w:val="0"/>
      <w:jc w:val="center"/>
    </w:pPr>
    <w:rPr>
      <w:sz w:val="18"/>
      <w:szCs w:val="18"/>
    </w:rPr>
  </w:style>
  <w:style w:type="paragraph" w:styleId="19">
    <w:name w:val="toc 1"/>
    <w:next w:val="1"/>
    <w:qFormat/>
    <w:uiPriority w:val="0"/>
    <w:pPr>
      <w:spacing w:beforeLines="38" w:afterLines="38"/>
    </w:pPr>
    <w:rPr>
      <w:rFonts w:ascii="Calibri" w:hAnsi="Calibri" w:eastAsia="宋体" w:cs="Times New Roman"/>
      <w:b/>
      <w:bCs/>
      <w:lang w:val="en-US" w:eastAsia="zh-CN" w:bidi="ar-SA"/>
    </w:rPr>
  </w:style>
  <w:style w:type="paragraph" w:styleId="20">
    <w:name w:val="toc 4"/>
    <w:next w:val="1"/>
    <w:qFormat/>
    <w:uiPriority w:val="0"/>
    <w:pPr>
      <w:ind w:left="630"/>
    </w:pPr>
    <w:rPr>
      <w:rFonts w:ascii="Calibri" w:hAnsi="Calibri" w:eastAsia="宋体" w:cs="Times New Roman"/>
      <w:sz w:val="18"/>
      <w:szCs w:val="18"/>
      <w:lang w:val="en-US" w:eastAsia="zh-CN" w:bidi="ar-SA"/>
    </w:rPr>
  </w:style>
  <w:style w:type="paragraph" w:styleId="21">
    <w:name w:val="List"/>
    <w:basedOn w:val="1"/>
    <w:qFormat/>
    <w:uiPriority w:val="0"/>
    <w:pPr>
      <w:ind w:left="200" w:hanging="200" w:hangingChars="200"/>
    </w:pPr>
  </w:style>
  <w:style w:type="paragraph" w:styleId="22">
    <w:name w:val="toc 6"/>
    <w:next w:val="1"/>
    <w:qFormat/>
    <w:uiPriority w:val="0"/>
    <w:pPr>
      <w:ind w:left="1050"/>
    </w:pPr>
    <w:rPr>
      <w:rFonts w:ascii="Calibri" w:hAnsi="Calibri" w:eastAsia="宋体" w:cs="Times New Roman"/>
      <w:sz w:val="18"/>
      <w:szCs w:val="18"/>
      <w:lang w:val="en-US" w:eastAsia="zh-CN" w:bidi="ar-SA"/>
    </w:rPr>
  </w:style>
  <w:style w:type="paragraph" w:styleId="23">
    <w:name w:val="Body Text Indent 3"/>
    <w:basedOn w:val="1"/>
    <w:qFormat/>
    <w:uiPriority w:val="0"/>
    <w:pPr>
      <w:spacing w:line="540" w:lineRule="atLeast"/>
      <w:ind w:firstLine="480" w:firstLineChars="200"/>
    </w:pPr>
    <w:rPr>
      <w:sz w:val="24"/>
    </w:rPr>
  </w:style>
  <w:style w:type="paragraph" w:styleId="24">
    <w:name w:val="toc 9"/>
    <w:next w:val="1"/>
    <w:qFormat/>
    <w:uiPriority w:val="0"/>
    <w:pPr>
      <w:ind w:left="1680"/>
    </w:pPr>
    <w:rPr>
      <w:rFonts w:ascii="Calibri" w:hAnsi="Calibri" w:eastAsia="宋体" w:cs="Times New Roman"/>
      <w:sz w:val="18"/>
      <w:szCs w:val="18"/>
      <w:lang w:val="en-US" w:eastAsia="zh-CN" w:bidi="ar-SA"/>
    </w:rPr>
  </w:style>
  <w:style w:type="paragraph" w:styleId="25">
    <w:name w:val="Normal (Web)"/>
    <w:basedOn w:val="1"/>
    <w:qFormat/>
    <w:uiPriority w:val="0"/>
    <w:pPr>
      <w:widowControl/>
      <w:spacing w:before="100" w:beforeAutospacing="1" w:after="100" w:afterAutospacing="1"/>
      <w:jc w:val="left"/>
    </w:pPr>
    <w:rPr>
      <w:sz w:val="24"/>
    </w:rPr>
  </w:style>
  <w:style w:type="paragraph" w:styleId="26">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paragraph" w:styleId="27">
    <w:name w:val="Body Text First Indent"/>
    <w:basedOn w:val="9"/>
    <w:next w:val="1"/>
    <w:qFormat/>
    <w:uiPriority w:val="0"/>
    <w:pPr>
      <w:ind w:firstLine="420" w:firstLineChars="100"/>
    </w:pPr>
    <w:rPr>
      <w:sz w:val="34"/>
      <w:szCs w:val="20"/>
    </w:rPr>
  </w:style>
  <w:style w:type="table" w:styleId="29">
    <w:name w:val="Table Grid"/>
    <w:basedOn w:val="28"/>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b/>
      <w:bCs/>
    </w:rPr>
  </w:style>
  <w:style w:type="character" w:styleId="32">
    <w:name w:val="page number"/>
    <w:basedOn w:val="30"/>
    <w:qFormat/>
    <w:uiPriority w:val="0"/>
  </w:style>
  <w:style w:type="character" w:styleId="33">
    <w:name w:val="FollowedHyperlink"/>
    <w:basedOn w:val="30"/>
    <w:qFormat/>
    <w:uiPriority w:val="0"/>
    <w:rPr>
      <w:color w:val="3F88BF"/>
      <w:u w:val="none"/>
    </w:rPr>
  </w:style>
  <w:style w:type="character" w:styleId="34">
    <w:name w:val="Emphasis"/>
    <w:basedOn w:val="30"/>
    <w:qFormat/>
    <w:uiPriority w:val="0"/>
  </w:style>
  <w:style w:type="character" w:styleId="35">
    <w:name w:val="HTML Definition"/>
    <w:basedOn w:val="30"/>
    <w:qFormat/>
    <w:uiPriority w:val="0"/>
  </w:style>
  <w:style w:type="character" w:styleId="36">
    <w:name w:val="HTML Typewriter"/>
    <w:basedOn w:val="30"/>
    <w:qFormat/>
    <w:uiPriority w:val="0"/>
    <w:rPr>
      <w:rFonts w:hint="default" w:ascii="monospace" w:hAnsi="monospace" w:eastAsia="monospace" w:cs="monospace"/>
      <w:sz w:val="20"/>
    </w:rPr>
  </w:style>
  <w:style w:type="character" w:styleId="37">
    <w:name w:val="HTML Acronym"/>
    <w:basedOn w:val="30"/>
    <w:qFormat/>
    <w:uiPriority w:val="0"/>
  </w:style>
  <w:style w:type="character" w:styleId="38">
    <w:name w:val="HTML Variable"/>
    <w:basedOn w:val="30"/>
    <w:qFormat/>
    <w:uiPriority w:val="0"/>
  </w:style>
  <w:style w:type="character" w:styleId="39">
    <w:name w:val="Hyperlink"/>
    <w:basedOn w:val="30"/>
    <w:qFormat/>
    <w:uiPriority w:val="0"/>
    <w:rPr>
      <w:color w:val="0000FF" w:themeColor="hyperlink"/>
      <w:u w:val="single"/>
    </w:rPr>
  </w:style>
  <w:style w:type="character" w:styleId="40">
    <w:name w:val="HTML Code"/>
    <w:basedOn w:val="30"/>
    <w:qFormat/>
    <w:uiPriority w:val="0"/>
    <w:rPr>
      <w:rFonts w:hint="eastAsia" w:ascii="微软雅黑" w:hAnsi="微软雅黑" w:eastAsia="微软雅黑" w:cs="微软雅黑"/>
      <w:sz w:val="20"/>
    </w:rPr>
  </w:style>
  <w:style w:type="character" w:styleId="41">
    <w:name w:val="annotation reference"/>
    <w:basedOn w:val="30"/>
    <w:qFormat/>
    <w:uiPriority w:val="0"/>
    <w:rPr>
      <w:sz w:val="21"/>
      <w:szCs w:val="21"/>
    </w:rPr>
  </w:style>
  <w:style w:type="character" w:styleId="42">
    <w:name w:val="HTML Cite"/>
    <w:basedOn w:val="30"/>
    <w:qFormat/>
    <w:uiPriority w:val="0"/>
  </w:style>
  <w:style w:type="character" w:styleId="43">
    <w:name w:val="HTML Keyboard"/>
    <w:basedOn w:val="30"/>
    <w:qFormat/>
    <w:uiPriority w:val="0"/>
    <w:rPr>
      <w:rFonts w:hint="eastAsia" w:ascii="微软雅黑" w:hAnsi="微软雅黑" w:eastAsia="微软雅黑" w:cs="微软雅黑"/>
      <w:color w:val="3F88BF"/>
      <w:sz w:val="20"/>
      <w:u w:val="none"/>
    </w:rPr>
  </w:style>
  <w:style w:type="character" w:styleId="44">
    <w:name w:val="HTML Sample"/>
    <w:basedOn w:val="30"/>
    <w:qFormat/>
    <w:uiPriority w:val="0"/>
    <w:rPr>
      <w:rFonts w:hint="eastAsia" w:ascii="微软雅黑" w:hAnsi="微软雅黑" w:eastAsia="微软雅黑" w:cs="微软雅黑"/>
    </w:rPr>
  </w:style>
  <w:style w:type="paragraph" w:customStyle="1" w:styleId="45">
    <w:name w:val="样式 标题 2 + Times New Roman 四号 非加粗 段前: 5 磅 段后: 0 磅 行距: 固定值 20..."/>
    <w:basedOn w:val="3"/>
    <w:qFormat/>
    <w:uiPriority w:val="0"/>
    <w:pPr>
      <w:spacing w:before="100" w:line="400" w:lineRule="exact"/>
    </w:pPr>
    <w:rPr>
      <w:rFonts w:ascii="Times New Roman" w:hAnsi="Times New Roman" w:eastAsia="黑体" w:cs="宋体"/>
      <w:b w:val="0"/>
      <w:bCs w:val="0"/>
      <w:sz w:val="28"/>
      <w:szCs w:val="20"/>
    </w:rPr>
  </w:style>
  <w:style w:type="paragraph" w:customStyle="1" w:styleId="46">
    <w:name w:val="样式 标题 3 + (中文) 黑体 小四 非加粗 段前: 7.8 磅 段后: 0 磅 行距: 固定值 20 磅"/>
    <w:basedOn w:val="4"/>
    <w:qFormat/>
    <w:uiPriority w:val="0"/>
    <w:pPr>
      <w:spacing w:line="400" w:lineRule="exact"/>
      <w:ind w:firstLine="0" w:firstLineChars="0"/>
    </w:pPr>
    <w:rPr>
      <w:rFonts w:eastAsia="黑体" w:cs="宋体"/>
      <w:b w:val="0"/>
      <w:bCs w:val="0"/>
      <w:sz w:val="24"/>
      <w:szCs w:val="20"/>
    </w:rPr>
  </w:style>
  <w:style w:type="character" w:customStyle="1" w:styleId="47">
    <w:name w:val="zbggmain style9"/>
    <w:basedOn w:val="30"/>
    <w:qFormat/>
    <w:uiPriority w:val="0"/>
  </w:style>
  <w:style w:type="paragraph" w:customStyle="1" w:styleId="48">
    <w:name w:val="p0"/>
    <w:basedOn w:val="1"/>
    <w:qFormat/>
    <w:uiPriority w:val="0"/>
    <w:pPr>
      <w:widowControl/>
      <w:spacing w:before="100" w:beforeAutospacing="1" w:after="100" w:afterAutospacing="1"/>
      <w:jc w:val="left"/>
    </w:pPr>
    <w:rPr>
      <w:rFonts w:ascii="宋体" w:hAnsi="宋体" w:cs="宋体"/>
      <w:sz w:val="24"/>
    </w:rPr>
  </w:style>
  <w:style w:type="paragraph" w:styleId="49">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50">
    <w:name w:val="List Paragraph"/>
    <w:basedOn w:val="1"/>
    <w:qFormat/>
    <w:uiPriority w:val="99"/>
    <w:pPr>
      <w:ind w:firstLine="420" w:firstLineChars="200"/>
    </w:pPr>
  </w:style>
  <w:style w:type="character" w:customStyle="1" w:styleId="51">
    <w:name w:val="answer-title"/>
    <w:basedOn w:val="30"/>
    <w:qFormat/>
    <w:uiPriority w:val="0"/>
  </w:style>
  <w:style w:type="character" w:customStyle="1" w:styleId="52">
    <w:name w:val="num"/>
    <w:basedOn w:val="30"/>
    <w:qFormat/>
    <w:uiPriority w:val="0"/>
    <w:rPr>
      <w:b/>
      <w:color w:val="FF7800"/>
    </w:rPr>
  </w:style>
  <w:style w:type="character" w:customStyle="1" w:styleId="53">
    <w:name w:val="release-day"/>
    <w:basedOn w:val="30"/>
    <w:qFormat/>
    <w:uiPriority w:val="0"/>
    <w:rPr>
      <w:bdr w:val="single" w:color="BDEBB0" w:sz="6" w:space="0"/>
      <w:shd w:val="clear" w:color="auto" w:fill="F5FFF1"/>
    </w:rPr>
  </w:style>
  <w:style w:type="character" w:customStyle="1" w:styleId="54">
    <w:name w:val="num4"/>
    <w:basedOn w:val="30"/>
    <w:qFormat/>
    <w:uiPriority w:val="0"/>
    <w:rPr>
      <w:b/>
      <w:color w:val="FF7800"/>
    </w:rPr>
  </w:style>
  <w:style w:type="character" w:customStyle="1" w:styleId="55">
    <w:name w:val="answer-title8"/>
    <w:basedOn w:val="30"/>
    <w:qFormat/>
    <w:uiPriority w:val="0"/>
  </w:style>
  <w:style w:type="character" w:customStyle="1" w:styleId="56">
    <w:name w:val="页眉 字符"/>
    <w:basedOn w:val="30"/>
    <w:link w:val="18"/>
    <w:qFormat/>
    <w:uiPriority w:val="0"/>
    <w:rPr>
      <w:sz w:val="18"/>
      <w:szCs w:val="18"/>
    </w:rPr>
  </w:style>
  <w:style w:type="paragraph" w:customStyle="1" w:styleId="57">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58">
    <w:name w:val="标题 4 字符"/>
    <w:basedOn w:val="30"/>
    <w:link w:val="5"/>
    <w:semiHidden/>
    <w:qFormat/>
    <w:uiPriority w:val="0"/>
    <w:rPr>
      <w:rFonts w:asciiTheme="majorHAnsi" w:hAnsiTheme="majorHAnsi" w:eastAsiaTheme="majorEastAsia" w:cstheme="majorBidi"/>
      <w:b/>
      <w:bCs/>
      <w:sz w:val="28"/>
      <w:szCs w:val="28"/>
    </w:rPr>
  </w:style>
  <w:style w:type="paragraph" w:customStyle="1" w:styleId="59">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0">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61">
    <w:name w:val="Table Paragraph"/>
    <w:basedOn w:val="1"/>
    <w:qFormat/>
    <w:uiPriority w:val="1"/>
  </w:style>
  <w:style w:type="paragraph" w:customStyle="1" w:styleId="62">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63">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4">
    <w:name w:val="正文2"/>
    <w:basedOn w:val="1"/>
    <w:qFormat/>
    <w:uiPriority w:val="0"/>
    <w:pPr>
      <w:spacing w:before="156" w:line="360" w:lineRule="auto"/>
      <w:ind w:firstLine="510" w:firstLineChars="200"/>
    </w:pPr>
    <w:rPr>
      <w:sz w:val="24"/>
      <w:szCs w:val="20"/>
    </w:rPr>
  </w:style>
  <w:style w:type="paragraph" w:customStyle="1" w:styleId="65">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6">
    <w:name w:val="font41"/>
    <w:qFormat/>
    <w:uiPriority w:val="0"/>
    <w:rPr>
      <w:rFonts w:hint="eastAsia" w:ascii="等线" w:hAnsi="等线" w:eastAsia="等线" w:cs="等线"/>
      <w:b/>
      <w:color w:val="000000"/>
      <w:sz w:val="22"/>
      <w:szCs w:val="22"/>
      <w:u w:val="none"/>
    </w:rPr>
  </w:style>
  <w:style w:type="character" w:customStyle="1" w:styleId="67">
    <w:name w:val="font61"/>
    <w:qFormat/>
    <w:uiPriority w:val="0"/>
    <w:rPr>
      <w:rFonts w:hint="default" w:ascii="Times New Roman" w:hAnsi="Times New Roman" w:cs="Times New Roman"/>
      <w:b/>
      <w:color w:val="000000"/>
      <w:sz w:val="22"/>
      <w:szCs w:val="22"/>
      <w:u w:val="none"/>
    </w:rPr>
  </w:style>
  <w:style w:type="character" w:customStyle="1" w:styleId="68">
    <w:name w:val="font31"/>
    <w:qFormat/>
    <w:uiPriority w:val="0"/>
    <w:rPr>
      <w:rFonts w:hint="eastAsia" w:ascii="宋体" w:hAnsi="宋体" w:eastAsia="宋体" w:cs="宋体"/>
      <w:color w:val="FF0000"/>
      <w:sz w:val="22"/>
      <w:szCs w:val="22"/>
      <w:u w:val="none"/>
    </w:rPr>
  </w:style>
  <w:style w:type="character" w:customStyle="1" w:styleId="69">
    <w:name w:val="font01"/>
    <w:qFormat/>
    <w:uiPriority w:val="0"/>
    <w:rPr>
      <w:rFonts w:hint="eastAsia" w:ascii="宋体" w:hAnsi="宋体" w:eastAsia="宋体" w:cs="宋体"/>
      <w:color w:val="000000"/>
      <w:sz w:val="18"/>
      <w:szCs w:val="18"/>
      <w:u w:val="none"/>
    </w:rPr>
  </w:style>
  <w:style w:type="character" w:customStyle="1" w:styleId="70">
    <w:name w:val="font11"/>
    <w:qFormat/>
    <w:uiPriority w:val="0"/>
    <w:rPr>
      <w:rFonts w:hint="eastAsia" w:ascii="宋体" w:hAnsi="宋体" w:eastAsia="宋体" w:cs="宋体"/>
      <w:color w:val="000000"/>
      <w:sz w:val="18"/>
      <w:szCs w:val="18"/>
      <w:u w:val="none"/>
    </w:rPr>
  </w:style>
  <w:style w:type="character" w:customStyle="1" w:styleId="71">
    <w:name w:val="font51"/>
    <w:qFormat/>
    <w:uiPriority w:val="0"/>
    <w:rPr>
      <w:rFonts w:hint="default" w:ascii="Times New Roman" w:hAnsi="Times New Roman" w:cs="Times New Roman"/>
      <w:b/>
      <w:color w:val="000000"/>
      <w:sz w:val="21"/>
      <w:szCs w:val="21"/>
      <w:u w:val="none"/>
    </w:rPr>
  </w:style>
  <w:style w:type="character" w:customStyle="1" w:styleId="72">
    <w:name w:val="font21"/>
    <w:qFormat/>
    <w:uiPriority w:val="0"/>
    <w:rPr>
      <w:rFonts w:hint="eastAsia" w:ascii="宋体" w:hAnsi="宋体" w:eastAsia="宋体" w:cs="宋体"/>
      <w:b/>
      <w:color w:val="000000"/>
      <w:sz w:val="21"/>
      <w:szCs w:val="21"/>
      <w:u w:val="none"/>
    </w:rPr>
  </w:style>
  <w:style w:type="paragraph" w:customStyle="1" w:styleId="73">
    <w:name w:val="正文3"/>
    <w:qFormat/>
    <w:uiPriority w:val="0"/>
    <w:pPr>
      <w:jc w:val="both"/>
    </w:pPr>
    <w:rPr>
      <w:rFonts w:ascii="Times New Roman" w:hAnsi="Times New Roman" w:eastAsia="宋体" w:cs="Times New Roman"/>
      <w:kern w:val="2"/>
      <w:sz w:val="21"/>
      <w:szCs w:val="21"/>
      <w:lang w:val="en-US" w:eastAsia="zh-CN" w:bidi="ar-SA"/>
    </w:rPr>
  </w:style>
  <w:style w:type="character" w:customStyle="1" w:styleId="74">
    <w:name w:val="p12"/>
    <w:qFormat/>
    <w:uiPriority w:val="0"/>
  </w:style>
  <w:style w:type="paragraph" w:customStyle="1" w:styleId="75">
    <w:name w:val="_Style 2"/>
    <w:basedOn w:val="1"/>
    <w:qFormat/>
    <w:uiPriority w:val="0"/>
    <w:pPr>
      <w:ind w:firstLine="420" w:firstLineChars="200"/>
    </w:pPr>
  </w:style>
  <w:style w:type="paragraph" w:customStyle="1" w:styleId="76">
    <w:name w:val="首行缩进"/>
    <w:basedOn w:val="1"/>
    <w:qFormat/>
    <w:uiPriority w:val="99"/>
    <w:pPr>
      <w:spacing w:line="360" w:lineRule="auto"/>
      <w:ind w:firstLine="480" w:firstLineChars="200"/>
    </w:pPr>
    <w:rPr>
      <w:sz w:val="24"/>
      <w:lang w:val="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82</Pages>
  <Words>8739</Words>
  <Characters>49814</Characters>
  <Lines>415</Lines>
  <Paragraphs>116</Paragraphs>
  <TotalTime>3</TotalTime>
  <ScaleCrop>false</ScaleCrop>
  <LinksUpToDate>false</LinksUpToDate>
  <CharactersWithSpaces>58437</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丫、美子</cp:lastModifiedBy>
  <cp:lastPrinted>2021-11-11T07:28:00Z</cp:lastPrinted>
  <dcterms:modified xsi:type="dcterms:W3CDTF">2021-11-12T03:28:37Z</dcterms:modified>
  <cp:revision>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C2F4C3C1BB6C49EE83389110CD3C5F02</vt:lpwstr>
  </property>
</Properties>
</file>