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绍兴市妇幼保健院（绍兴市儿童医院）建设项目净化项目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2022年</w:t>
      </w:r>
      <w:r>
        <w:rPr>
          <w:rFonts w:hint="eastAsia" w:asciiTheme="minorEastAsia" w:hAnsiTheme="minorEastAsia" w:eastAsiaTheme="minorEastAsia" w:cstheme="minorEastAsia"/>
          <w:b/>
          <w:bCs/>
          <w:color w:val="auto"/>
          <w:sz w:val="28"/>
          <w:szCs w:val="28"/>
          <w:highlight w:val="none"/>
          <w:lang w:val="en-US" w:eastAsia="zh-CN"/>
        </w:rPr>
        <w:t>8</w:t>
      </w:r>
      <w:r>
        <w:rPr>
          <w:rFonts w:hint="eastAsia" w:asciiTheme="minorEastAsia" w:hAnsiTheme="minorEastAsia" w:eastAsiaTheme="minorEastAsia" w:cstheme="minorEastAsia"/>
          <w:b/>
          <w:bCs/>
          <w:color w:val="auto"/>
          <w:sz w:val="28"/>
          <w:szCs w:val="28"/>
          <w:highlight w:val="none"/>
        </w:rPr>
        <w:t>月</w:t>
      </w:r>
    </w:p>
    <w:p>
      <w:pPr>
        <w:ind w:left="2243" w:right="2279"/>
        <w:jc w:val="center"/>
        <w:rPr>
          <w:b/>
          <w:color w:val="auto"/>
          <w:sz w:val="44"/>
          <w:highlight w:val="none"/>
        </w:rPr>
      </w:pPr>
    </w:p>
    <w:p>
      <w:pPr>
        <w:pStyle w:val="26"/>
        <w:rPr>
          <w:color w:val="auto"/>
          <w:highlight w:val="none"/>
        </w:rPr>
      </w:pPr>
    </w:p>
    <w:p>
      <w:pPr>
        <w:ind w:right="2279"/>
        <w:rPr>
          <w:b/>
          <w:color w:val="auto"/>
          <w:sz w:val="44"/>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绍兴市妇幼保健院（绍兴市儿童医院）建设项目净化项目（重新招标</w:t>
      </w:r>
      <w:r>
        <w:rPr>
          <w:rFonts w:hint="eastAsia"/>
          <w:b/>
          <w:color w:val="auto"/>
          <w:sz w:val="32"/>
          <w:szCs w:val="32"/>
          <w:highlight w:val="none"/>
          <w:lang w:val="en-US" w:eastAsia="zh-CN"/>
        </w:rPr>
        <w:t>第三次</w:t>
      </w:r>
      <w:r>
        <w:rPr>
          <w:rFonts w:hint="eastAsia"/>
          <w:b/>
          <w:color w:val="auto"/>
          <w:sz w:val="32"/>
          <w:szCs w:val="32"/>
          <w:highlight w:val="none"/>
        </w:rPr>
        <w:t>）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rFonts w:hint="eastAsia"/>
          <w:i w:val="0"/>
          <w:iCs/>
          <w:color w:val="auto"/>
          <w:sz w:val="28"/>
          <w:highlight w:val="none"/>
          <w:u w:val="single"/>
          <w:lang w:val="en-US" w:eastAsia="zh-CN"/>
        </w:rPr>
        <w:t>2022</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05" w:h="16838"/>
          <w:pgMar w:top="1417" w:right="1134" w:bottom="1417" w:left="1134" w:header="680" w:footer="680" w:gutter="0"/>
          <w:cols w:space="0" w:num="1"/>
        </w:sectPr>
      </w:pPr>
      <w:r>
        <w:rPr>
          <w:rFonts w:hint="eastAsia"/>
          <w:color w:val="auto"/>
          <w:sz w:val="28"/>
          <w:highlight w:val="none"/>
        </w:rPr>
        <w:t>备案日期：</w:t>
      </w:r>
      <w:r>
        <w:rPr>
          <w:rFonts w:hint="eastAsia"/>
          <w:i w:val="0"/>
          <w:iCs/>
          <w:color w:val="auto"/>
          <w:sz w:val="28"/>
          <w:highlight w:val="none"/>
          <w:u w:val="single"/>
          <w:lang w:val="en-US" w:eastAsia="zh-CN"/>
        </w:rPr>
        <w:t>2022</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2"/>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b/>
          <w:color w:val="auto"/>
          <w:sz w:val="32"/>
          <w:szCs w:val="32"/>
          <w:highlight w:val="none"/>
        </w:rPr>
      </w:pPr>
      <w:r>
        <w:rPr>
          <w:rFonts w:hint="eastAsia" w:ascii="宋体" w:hAnsi="宋体"/>
          <w:color w:val="auto"/>
          <w:sz w:val="30"/>
          <w:szCs w:val="30"/>
          <w:highlight w:val="none"/>
          <w:u w:val="single"/>
        </w:rPr>
        <w:t>绍兴市妇幼保健院（绍兴市儿童医院）建设项目净化项目（重新招标</w:t>
      </w:r>
      <w:r>
        <w:rPr>
          <w:rFonts w:hint="eastAsia" w:ascii="宋体" w:hAnsi="宋体"/>
          <w:color w:val="auto"/>
          <w:sz w:val="30"/>
          <w:szCs w:val="30"/>
          <w:highlight w:val="none"/>
          <w:u w:val="single"/>
          <w:lang w:val="en-US" w:eastAsia="zh-CN"/>
        </w:rPr>
        <w:t>第三次</w:t>
      </w:r>
      <w:r>
        <w:rPr>
          <w:rFonts w:hint="eastAsia" w:ascii="宋体" w:hAnsi="宋体"/>
          <w:color w:val="auto"/>
          <w:sz w:val="30"/>
          <w:szCs w:val="30"/>
          <w:highlight w:val="none"/>
          <w:u w:val="single"/>
        </w:rPr>
        <w:t xml:space="preserve">） </w:t>
      </w:r>
      <w:r>
        <w:rPr>
          <w:rFonts w:hint="eastAsia" w:ascii="宋体" w:hAnsi="宋体"/>
          <w:b/>
          <w:color w:val="auto"/>
          <w:sz w:val="32"/>
          <w:szCs w:val="32"/>
          <w:highlight w:val="none"/>
        </w:rPr>
        <w:t>招标公告</w:t>
      </w:r>
    </w:p>
    <w:p>
      <w:pPr>
        <w:spacing w:before="0" w:beforeLines="-2147483648" w:line="340" w:lineRule="exact"/>
        <w:ind w:firstLine="420" w:firstLineChars="200"/>
        <w:jc w:val="left"/>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eastAsia="zh-CN"/>
        </w:rPr>
        <w:t>绍兴市妇幼保健院（绍兴市儿童医院）建设项目净化项目</w:t>
      </w:r>
      <w:r>
        <w:rPr>
          <w:rFonts w:hint="eastAsia" w:ascii="宋体" w:hAnsi="宋体" w:eastAsia="宋体" w:cs="宋体"/>
          <w:color w:val="auto"/>
          <w:sz w:val="21"/>
          <w:szCs w:val="21"/>
          <w:highlight w:val="none"/>
        </w:rPr>
        <w:t>已于202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24</w:t>
      </w:r>
      <w:r>
        <w:rPr>
          <w:rFonts w:hint="eastAsia" w:ascii="宋体" w:hAnsi="宋体" w:eastAsia="宋体" w:cs="宋体"/>
          <w:color w:val="auto"/>
          <w:sz w:val="21"/>
          <w:szCs w:val="21"/>
          <w:highlight w:val="none"/>
        </w:rPr>
        <w:t>日在绍兴市公共资源交易中心网上发布招标信息，</w:t>
      </w:r>
      <w:r>
        <w:rPr>
          <w:rFonts w:hint="eastAsia" w:ascii="宋体" w:hAnsi="宋体" w:eastAsia="宋体" w:cs="宋体"/>
          <w:color w:val="auto"/>
          <w:sz w:val="21"/>
          <w:szCs w:val="21"/>
          <w:highlight w:val="none"/>
          <w:lang w:val="en-US" w:eastAsia="zh-CN"/>
        </w:rPr>
        <w:t>至投标保证金缴纳截止时间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缴纳投标保证金的单位</w:t>
      </w:r>
      <w:r>
        <w:rPr>
          <w:rFonts w:hint="eastAsia" w:ascii="宋体" w:hAnsi="宋体" w:eastAsia="宋体" w:cs="宋体"/>
          <w:color w:val="auto"/>
          <w:sz w:val="21"/>
          <w:szCs w:val="21"/>
          <w:highlight w:val="none"/>
        </w:rPr>
        <w:t>不足3家。</w:t>
      </w:r>
      <w:r>
        <w:rPr>
          <w:rFonts w:hint="eastAsia" w:ascii="宋体" w:hAnsi="宋体" w:eastAsia="宋体" w:cs="宋体"/>
          <w:color w:val="auto"/>
          <w:sz w:val="21"/>
          <w:szCs w:val="21"/>
          <w:highlight w:val="none"/>
          <w:lang w:val="en-US" w:eastAsia="zh-CN"/>
        </w:rPr>
        <w:t>又于</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6日</w:t>
      </w:r>
      <w:r>
        <w:rPr>
          <w:rFonts w:hint="eastAsia" w:ascii="宋体" w:hAnsi="宋体" w:eastAsia="宋体" w:cs="宋体"/>
          <w:color w:val="auto"/>
          <w:sz w:val="21"/>
          <w:szCs w:val="21"/>
          <w:highlight w:val="none"/>
        </w:rPr>
        <w:t>在绍兴市公共资源交易中心网上</w:t>
      </w:r>
      <w:r>
        <w:rPr>
          <w:rFonts w:hint="eastAsia" w:ascii="宋体" w:hAnsi="宋体" w:eastAsia="宋体" w:cs="宋体"/>
          <w:color w:val="auto"/>
          <w:sz w:val="21"/>
          <w:szCs w:val="21"/>
          <w:highlight w:val="none"/>
          <w:lang w:val="en-US" w:eastAsia="zh-CN"/>
        </w:rPr>
        <w:t>重新</w:t>
      </w:r>
      <w:r>
        <w:rPr>
          <w:rFonts w:hint="eastAsia" w:ascii="宋体" w:hAnsi="宋体" w:eastAsia="宋体" w:cs="宋体"/>
          <w:color w:val="auto"/>
          <w:sz w:val="21"/>
          <w:szCs w:val="21"/>
          <w:highlight w:val="none"/>
        </w:rPr>
        <w:t>发布招标信息，</w:t>
      </w:r>
      <w:r>
        <w:rPr>
          <w:rFonts w:hint="eastAsia" w:ascii="宋体" w:hAnsi="宋体" w:cs="宋体"/>
          <w:color w:val="auto"/>
          <w:sz w:val="21"/>
          <w:szCs w:val="21"/>
          <w:highlight w:val="none"/>
        </w:rPr>
        <w:t>202</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28</w:t>
      </w:r>
      <w:r>
        <w:rPr>
          <w:rFonts w:hint="eastAsia" w:ascii="宋体" w:hAnsi="宋体" w:cs="宋体"/>
          <w:color w:val="auto"/>
          <w:sz w:val="21"/>
          <w:szCs w:val="21"/>
          <w:highlight w:val="none"/>
        </w:rPr>
        <w:t>日09:30时在绍兴市公共资源交易中心开标，</w:t>
      </w:r>
      <w:r>
        <w:rPr>
          <w:rFonts w:hint="eastAsia" w:ascii="宋体" w:hAnsi="宋体" w:cs="宋体"/>
          <w:color w:val="auto"/>
          <w:sz w:val="21"/>
          <w:szCs w:val="21"/>
          <w:highlight w:val="none"/>
          <w:lang w:val="en-US" w:eastAsia="zh-CN"/>
        </w:rPr>
        <w:t>因</w:t>
      </w:r>
      <w:r>
        <w:rPr>
          <w:rFonts w:hint="eastAsia" w:ascii="宋体" w:hAnsi="宋体" w:cs="宋体"/>
          <w:color w:val="auto"/>
          <w:sz w:val="21"/>
          <w:szCs w:val="21"/>
          <w:highlight w:val="none"/>
        </w:rPr>
        <w:t>有效投标单位不足3家流标</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后又于2022年7月7日</w:t>
      </w:r>
      <w:r>
        <w:rPr>
          <w:rFonts w:hint="eastAsia" w:ascii="宋体" w:hAnsi="宋体" w:eastAsia="宋体" w:cs="宋体"/>
          <w:color w:val="auto"/>
          <w:sz w:val="21"/>
          <w:szCs w:val="21"/>
          <w:highlight w:val="none"/>
        </w:rPr>
        <w:t>在绍兴市公共资源交易中心网上</w:t>
      </w:r>
      <w:r>
        <w:rPr>
          <w:rFonts w:hint="eastAsia" w:ascii="宋体" w:hAnsi="宋体" w:eastAsia="宋体" w:cs="宋体"/>
          <w:color w:val="auto"/>
          <w:sz w:val="21"/>
          <w:szCs w:val="21"/>
          <w:highlight w:val="none"/>
          <w:lang w:val="en-US" w:eastAsia="zh-CN"/>
        </w:rPr>
        <w:t>重新</w:t>
      </w:r>
      <w:r>
        <w:rPr>
          <w:rFonts w:hint="eastAsia" w:ascii="宋体" w:hAnsi="宋体" w:eastAsia="宋体" w:cs="宋体"/>
          <w:color w:val="auto"/>
          <w:sz w:val="21"/>
          <w:szCs w:val="21"/>
          <w:highlight w:val="none"/>
        </w:rPr>
        <w:t>发布</w:t>
      </w:r>
      <w:r>
        <w:rPr>
          <w:rFonts w:hint="eastAsia" w:ascii="宋体" w:hAnsi="宋体" w:eastAsia="宋体" w:cs="宋体"/>
          <w:color w:val="auto"/>
          <w:sz w:val="21"/>
          <w:szCs w:val="21"/>
          <w:highlight w:val="none"/>
          <w:lang w:val="en-US" w:eastAsia="zh-CN"/>
        </w:rPr>
        <w:t>第三次</w:t>
      </w:r>
      <w:r>
        <w:rPr>
          <w:rFonts w:hint="eastAsia" w:ascii="宋体" w:hAnsi="宋体" w:eastAsia="宋体" w:cs="宋体"/>
          <w:color w:val="auto"/>
          <w:sz w:val="21"/>
          <w:szCs w:val="21"/>
          <w:highlight w:val="none"/>
        </w:rPr>
        <w:t>招标信息，</w:t>
      </w:r>
      <w:r>
        <w:rPr>
          <w:rFonts w:hint="eastAsia" w:ascii="宋体" w:hAnsi="宋体" w:cs="宋体"/>
          <w:color w:val="auto"/>
          <w:sz w:val="21"/>
          <w:szCs w:val="21"/>
          <w:highlight w:val="none"/>
        </w:rPr>
        <w:t>202</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年</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月</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日09:30时在绍兴市公共资源交易中心开标，</w:t>
      </w:r>
      <w:r>
        <w:rPr>
          <w:rFonts w:hint="eastAsia" w:ascii="宋体" w:hAnsi="宋体" w:cs="宋体"/>
          <w:color w:val="auto"/>
          <w:sz w:val="21"/>
          <w:szCs w:val="21"/>
          <w:highlight w:val="none"/>
          <w:lang w:val="en-US" w:eastAsia="zh-CN"/>
        </w:rPr>
        <w:t>因</w:t>
      </w:r>
      <w:r>
        <w:rPr>
          <w:rFonts w:hint="eastAsia" w:ascii="宋体" w:hAnsi="宋体" w:cs="宋体"/>
          <w:color w:val="auto"/>
          <w:sz w:val="21"/>
          <w:szCs w:val="21"/>
          <w:highlight w:val="none"/>
        </w:rPr>
        <w:t>有效投标单位不足3家流标</w:t>
      </w:r>
      <w:r>
        <w:rPr>
          <w:rFonts w:hint="eastAsia" w:ascii="宋体" w:hAnsi="宋体" w:eastAsia="宋体" w:cs="宋体"/>
          <w:color w:val="auto"/>
          <w:sz w:val="21"/>
          <w:szCs w:val="21"/>
          <w:highlight w:val="none"/>
        </w:rPr>
        <w:t>。根据《中华人民共和国招标投标法实施条例》第四十四条及招标文件的规定，现申请重</w:t>
      </w:r>
      <w:r>
        <w:rPr>
          <w:rFonts w:hint="eastAsia" w:ascii="宋体" w:hAnsi="宋体" w:cs="宋体"/>
          <w:color w:val="auto"/>
          <w:sz w:val="21"/>
          <w:szCs w:val="21"/>
          <w:highlight w:val="none"/>
        </w:rPr>
        <w:t>新招标。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ascii="宋体" w:hAnsi="宋体"/>
          <w:b/>
          <w:color w:val="auto"/>
          <w:kern w:val="58"/>
          <w:szCs w:val="21"/>
          <w:highlight w:val="none"/>
          <w:u w:val="single"/>
        </w:rPr>
        <w:t>净化项目</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6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b/>
          <w:color w:val="auto"/>
          <w:szCs w:val="21"/>
          <w:highlight w:val="none"/>
          <w:u w:val="single"/>
        </w:rPr>
        <w:t>3500</w:t>
      </w:r>
      <w:r>
        <w:rPr>
          <w:rFonts w:ascii="宋体" w:hAnsi="宋体" w:cs="Arial"/>
          <w:color w:val="auto"/>
          <w:szCs w:val="21"/>
          <w:highlight w:val="none"/>
        </w:rPr>
        <w:t>万元。</w:t>
      </w:r>
    </w:p>
    <w:p>
      <w:pPr>
        <w:widowControl/>
        <w:spacing w:line="340" w:lineRule="exact"/>
        <w:rPr>
          <w:rFonts w:ascii="宋体" w:hAnsi="宋体" w:cs="宋体"/>
          <w:b/>
          <w:bCs/>
          <w:color w:val="auto"/>
          <w:szCs w:val="21"/>
          <w:highlight w:val="none"/>
          <w:u w:val="single"/>
        </w:rPr>
      </w:pPr>
      <w:r>
        <w:rPr>
          <w:rFonts w:ascii="宋体" w:hAnsi="宋体" w:cs="Arial"/>
          <w:color w:val="auto"/>
          <w:szCs w:val="21"/>
          <w:highlight w:val="none"/>
        </w:rPr>
        <w:t>2.3 招标范围：</w:t>
      </w:r>
      <w:r>
        <w:rPr>
          <w:rFonts w:hint="eastAsia" w:ascii="宋体" w:hAnsi="宋体" w:cs="宋体"/>
          <w:b/>
          <w:bCs/>
          <w:color w:val="auto"/>
          <w:szCs w:val="21"/>
          <w:highlight w:val="none"/>
          <w:u w:val="single"/>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p>
    <w:p>
      <w:pPr>
        <w:widowControl/>
        <w:spacing w:line="340" w:lineRule="exact"/>
        <w:ind w:firstLine="422" w:firstLineChars="200"/>
        <w:jc w:val="left"/>
        <w:rPr>
          <w:rFonts w:ascii="宋体" w:hAnsi="宋体" w:cs="宋体"/>
          <w:b/>
          <w:bCs/>
          <w:color w:val="auto"/>
          <w:szCs w:val="21"/>
          <w:highlight w:val="none"/>
          <w:u w:val="single"/>
        </w:rPr>
      </w:pPr>
      <w:r>
        <w:rPr>
          <w:rFonts w:hint="eastAsia" w:ascii="宋体" w:hAnsi="宋体" w:cs="宋体"/>
          <w:b/>
          <w:bCs/>
          <w:color w:val="auto"/>
          <w:szCs w:val="21"/>
          <w:highlight w:val="none"/>
          <w:u w:val="single"/>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p>
    <w:p>
      <w:pPr>
        <w:spacing w:line="360" w:lineRule="exact"/>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本项目釆用总价承包，工程量清单中的工程量、清单描述若与图纸及答疑不一致时，以图纸及答疑为准并须满足各专业的功能要求，由投标人自行复核计算。图纸需二次深化，中标人需自行或委托有设计资质的单位对图纸进行二次深化（中标之前设计院未修改到位的，需由中标人负责深化），要求二次深化图加盖相应资质的章，经深圳市建筑设计研究总院（及其医疗专项分包单位）审核认可并盖章，且优化方案必须经过业主认可方能最终实施（如有图纸、清单不明确或缺项的内容须无条件按业主要求进行设计和施工，并最终通过验收）。图纸中设备或材料若已有变更升级的相应设备或材料则需变更为升级后的设备或材料经使用人同意，费用也不再增加。使用人有权增减工作范围，该费用应予以增减。招标人所有的变更，必须经过使用人书面同意。</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hAnsi="宋体"/>
          <w:b/>
          <w:bCs/>
          <w:color w:val="auto"/>
          <w:highlight w:val="none"/>
          <w:u w:val="single"/>
        </w:rPr>
        <w:t>以招标人发出的开工指令后1</w:t>
      </w:r>
      <w:r>
        <w:rPr>
          <w:rFonts w:hint="eastAsia" w:hAnsi="宋体"/>
          <w:b/>
          <w:bCs/>
          <w:color w:val="auto"/>
          <w:highlight w:val="none"/>
          <w:u w:val="single"/>
          <w:lang w:val="en-US" w:eastAsia="zh-CN"/>
        </w:rPr>
        <w:t>3</w:t>
      </w:r>
      <w:r>
        <w:rPr>
          <w:rFonts w:hint="eastAsia" w:hAnsi="宋体"/>
          <w:b/>
          <w:bCs/>
          <w:color w:val="auto"/>
          <w:highlight w:val="none"/>
          <w:u w:val="single"/>
        </w:rPr>
        <w:t>0天内，完成设备及材料供货、安装、调试、试运行、独立第三方100%检测、验收及交付使用，具体应与工程施工总进度计划同步</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合格。配合总承包单位争创钱江杯、鲁班奖。</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60" w:lineRule="exact"/>
        <w:rPr>
          <w:rFonts w:ascii="宋体" w:hAnsi="宋体"/>
          <w:color w:val="auto"/>
          <w:szCs w:val="21"/>
          <w:highlight w:val="none"/>
        </w:rPr>
      </w:pPr>
      <w:r>
        <w:rPr>
          <w:rFonts w:ascii="宋体" w:hAnsi="宋体" w:cs="Arial"/>
          <w:color w:val="auto"/>
          <w:szCs w:val="21"/>
          <w:highlight w:val="none"/>
        </w:rPr>
        <w:t>3.1 本次招标要求投标人具</w:t>
      </w:r>
      <w:r>
        <w:rPr>
          <w:rFonts w:hint="eastAsia" w:ascii="宋体" w:hAnsi="宋体" w:cs="Arial"/>
          <w:color w:val="auto"/>
          <w:szCs w:val="21"/>
          <w:highlight w:val="none"/>
        </w:rPr>
        <w:t>有①</w:t>
      </w:r>
      <w:r>
        <w:rPr>
          <w:rFonts w:hint="eastAsia" w:ascii="宋体" w:hAnsi="宋体"/>
          <w:color w:val="auto"/>
          <w:szCs w:val="21"/>
          <w:highlight w:val="none"/>
          <w:u w:val="single"/>
        </w:rPr>
        <w:t>建筑机电安装工程专业承包一级资质</w:t>
      </w:r>
      <w:r>
        <w:rPr>
          <w:rFonts w:hint="eastAsia" w:ascii="宋体" w:hAnsi="宋体"/>
          <w:color w:val="auto"/>
          <w:szCs w:val="21"/>
          <w:highlight w:val="none"/>
        </w:rPr>
        <w:t>、</w:t>
      </w:r>
      <w:r>
        <w:rPr>
          <w:rFonts w:hint="eastAsia" w:ascii="宋体" w:hAnsi="宋体"/>
          <w:color w:val="auto"/>
          <w:szCs w:val="21"/>
          <w:highlight w:val="none"/>
          <w:u w:val="single"/>
        </w:rPr>
        <w:t>建筑装修装饰工程专业承包二级及以上资质、</w:t>
      </w:r>
      <w:r>
        <w:rPr>
          <w:rFonts w:hint="eastAsia" w:ascii="宋体" w:hAnsi="宋体"/>
          <w:color w:val="auto"/>
          <w:szCs w:val="21"/>
          <w:highlight w:val="none"/>
        </w:rPr>
        <w:t>安全生产许可证；</w:t>
      </w: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 2 \* GB3</w:instrText>
      </w:r>
      <w:r>
        <w:rPr>
          <w:rFonts w:ascii="宋体" w:hAnsi="宋体"/>
          <w:color w:val="auto"/>
          <w:szCs w:val="21"/>
          <w:highlight w:val="none"/>
        </w:rPr>
        <w:instrText xml:space="preserve"> </w:instrText>
      </w:r>
      <w:r>
        <w:rPr>
          <w:rFonts w:ascii="宋体" w:hAnsi="宋体"/>
          <w:color w:val="auto"/>
          <w:szCs w:val="21"/>
          <w:highlight w:val="none"/>
        </w:rPr>
        <w:fldChar w:fldCharType="separate"/>
      </w:r>
      <w:r>
        <w:rPr>
          <w:rFonts w:hint="eastAsia" w:ascii="宋体" w:hAnsi="宋体"/>
          <w:color w:val="auto"/>
          <w:szCs w:val="21"/>
          <w:highlight w:val="none"/>
        </w:rPr>
        <w:t>②</w:t>
      </w:r>
      <w:r>
        <w:rPr>
          <w:rFonts w:ascii="宋体" w:hAnsi="宋体"/>
          <w:color w:val="auto"/>
          <w:szCs w:val="21"/>
          <w:highlight w:val="none"/>
        </w:rPr>
        <w:fldChar w:fldCharType="end"/>
      </w:r>
      <w:r>
        <w:rPr>
          <w:rFonts w:hint="eastAsia" w:ascii="宋体" w:hAnsi="宋体"/>
          <w:color w:val="auto"/>
          <w:szCs w:val="21"/>
          <w:highlight w:val="none"/>
        </w:rPr>
        <w:t>医疗器械经营许可证或医疗器械生产许可证</w:t>
      </w:r>
      <w:r>
        <w:rPr>
          <w:rFonts w:hint="eastAsia" w:ascii="宋体" w:hAnsi="宋体" w:cs="宋体"/>
          <w:color w:val="auto"/>
          <w:szCs w:val="21"/>
          <w:highlight w:val="none"/>
        </w:rPr>
        <w:t>。③（若联合体投标的，联合体牵头人）具有自201</w:t>
      </w:r>
      <w:r>
        <w:rPr>
          <w:rFonts w:hint="eastAsia" w:ascii="宋体" w:hAnsi="宋体"/>
          <w:color w:val="auto"/>
          <w:szCs w:val="21"/>
          <w:highlight w:val="none"/>
        </w:rPr>
        <w:t>7</w:t>
      </w:r>
      <w:r>
        <w:rPr>
          <w:rFonts w:ascii="宋体" w:hAnsi="宋体"/>
          <w:color w:val="auto"/>
          <w:szCs w:val="21"/>
          <w:highlight w:val="none"/>
        </w:rPr>
        <w:t>年1月1日起至投标截止日</w:t>
      </w:r>
      <w:r>
        <w:rPr>
          <w:rFonts w:hint="eastAsia" w:ascii="宋体" w:hAnsi="宋体" w:cs="宋体"/>
          <w:color w:val="auto"/>
          <w:szCs w:val="21"/>
          <w:highlight w:val="none"/>
        </w:rPr>
        <w:t>（以验收证明时间为准）</w:t>
      </w:r>
      <w:r>
        <w:rPr>
          <w:rFonts w:hint="eastAsia" w:ascii="宋体" w:hAnsi="宋体"/>
          <w:color w:val="auto"/>
          <w:szCs w:val="21"/>
          <w:highlight w:val="none"/>
        </w:rPr>
        <w:t>完成过类似净化项目单项合同金额</w:t>
      </w:r>
      <w:r>
        <w:rPr>
          <w:rFonts w:hint="default" w:ascii="宋体" w:hAnsi="宋体"/>
          <w:color w:val="auto"/>
          <w:szCs w:val="21"/>
          <w:highlight w:val="none"/>
          <w:lang w:val="en-US"/>
        </w:rPr>
        <w:t>15</w:t>
      </w:r>
      <w:r>
        <w:rPr>
          <w:rFonts w:ascii="宋体" w:hAnsi="宋体"/>
          <w:color w:val="auto"/>
          <w:szCs w:val="21"/>
          <w:highlight w:val="none"/>
        </w:rPr>
        <w:t>00</w:t>
      </w:r>
      <w:r>
        <w:rPr>
          <w:rFonts w:hint="eastAsia" w:ascii="宋体" w:hAnsi="宋体"/>
          <w:color w:val="auto"/>
          <w:szCs w:val="21"/>
          <w:highlight w:val="none"/>
        </w:rPr>
        <w:t>万元及以上的业绩。业绩证明材料包括中标通知书（或合同）、验收证明的复印件。</w:t>
      </w:r>
    </w:p>
    <w:p>
      <w:pPr>
        <w:widowControl/>
        <w:spacing w:line="360" w:lineRule="exact"/>
        <w:ind w:firstLine="422" w:firstLineChars="200"/>
        <w:rPr>
          <w:rFonts w:ascii="宋体" w:hAnsi="宋体" w:cs="Arial"/>
          <w:color w:val="auto"/>
          <w:szCs w:val="21"/>
          <w:highlight w:val="none"/>
        </w:rPr>
      </w:pPr>
      <w:r>
        <w:rPr>
          <w:rFonts w:hint="eastAsia" w:ascii="宋体" w:hAnsi="宋体"/>
          <w:b/>
          <w:bCs/>
          <w:color w:val="auto"/>
          <w:szCs w:val="21"/>
          <w:highlight w:val="none"/>
          <w:u w:val="single"/>
        </w:rPr>
        <w:t>项目负责人具有</w:t>
      </w:r>
      <w:r>
        <w:rPr>
          <w:rFonts w:hint="eastAsia" w:ascii="宋体" w:hAnsi="宋体" w:cs="宋体"/>
          <w:b/>
          <w:bCs/>
          <w:color w:val="auto"/>
          <w:szCs w:val="21"/>
          <w:highlight w:val="none"/>
          <w:u w:val="single"/>
        </w:rPr>
        <w:t>机电工程专业注册建造师一级注册证书</w:t>
      </w:r>
      <w:r>
        <w:rPr>
          <w:rFonts w:hint="eastAsia" w:ascii="宋体" w:hAnsi="宋体"/>
          <w:b/>
          <w:bCs/>
          <w:color w:val="auto"/>
          <w:szCs w:val="21"/>
          <w:highlight w:val="none"/>
          <w:u w:val="single"/>
        </w:rPr>
        <w:t>，具有安全生产考核合格证(B证)，且无在建工程，拟派项目负责人须为投标人在职职工（在职职工不包括离、退休返聘人员），以提供缴费期限包含202</w:t>
      </w:r>
      <w:r>
        <w:rPr>
          <w:rFonts w:hint="eastAsia" w:ascii="宋体" w:hAnsi="宋体"/>
          <w:b/>
          <w:bCs/>
          <w:color w:val="auto"/>
          <w:szCs w:val="21"/>
          <w:highlight w:val="none"/>
          <w:u w:val="single"/>
          <w:lang w:val="en-US" w:eastAsia="zh-CN"/>
        </w:rPr>
        <w:t>2</w:t>
      </w:r>
      <w:r>
        <w:rPr>
          <w:rFonts w:hint="eastAsia" w:ascii="宋体" w:hAnsi="宋体"/>
          <w:b/>
          <w:bCs/>
          <w:color w:val="auto"/>
          <w:szCs w:val="21"/>
          <w:highlight w:val="none"/>
          <w:u w:val="single"/>
        </w:rPr>
        <w:t>年</w:t>
      </w:r>
      <w:r>
        <w:rPr>
          <w:rFonts w:hint="eastAsia" w:ascii="宋体" w:hAnsi="宋体"/>
          <w:b/>
          <w:bCs/>
          <w:color w:val="auto"/>
          <w:szCs w:val="21"/>
          <w:highlight w:val="none"/>
          <w:u w:val="single"/>
          <w:lang w:val="en-US" w:eastAsia="zh-CN"/>
        </w:rPr>
        <w:t>5</w:t>
      </w:r>
      <w:r>
        <w:rPr>
          <w:rFonts w:hint="eastAsia" w:ascii="宋体" w:hAnsi="宋体"/>
          <w:b/>
          <w:bCs/>
          <w:color w:val="auto"/>
          <w:szCs w:val="21"/>
          <w:highlight w:val="none"/>
          <w:u w:val="single"/>
        </w:rPr>
        <w:t>月至2022年</w:t>
      </w:r>
      <w:r>
        <w:rPr>
          <w:rFonts w:hint="eastAsia" w:ascii="宋体" w:hAnsi="宋体"/>
          <w:b/>
          <w:bCs/>
          <w:color w:val="auto"/>
          <w:szCs w:val="21"/>
          <w:highlight w:val="none"/>
          <w:u w:val="single"/>
          <w:lang w:val="en-US" w:eastAsia="zh-CN"/>
        </w:rPr>
        <w:t>7</w:t>
      </w:r>
      <w:r>
        <w:rPr>
          <w:rFonts w:hint="eastAsia" w:ascii="宋体" w:hAnsi="宋体"/>
          <w:b/>
          <w:bCs/>
          <w:color w:val="auto"/>
          <w:szCs w:val="21"/>
          <w:highlight w:val="none"/>
          <w:u w:val="single"/>
        </w:rPr>
        <w:t>月的投标人所属社保机构养老保险交纳清单或证明为准【缴费单位和投标单位名称必须一致，并加盖社保缴费证明专用章（或电子专用章），非独立法人的分公司社保证明有效】。</w:t>
      </w:r>
    </w:p>
    <w:p>
      <w:pPr>
        <w:widowControl/>
        <w:spacing w:line="36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hint="eastAsia" w:cs="Arial"/>
          <w:color w:val="auto"/>
          <w:highlight w:val="none"/>
        </w:rPr>
        <w:t>（联合体投标的，则指联合体各方</w:t>
      </w:r>
      <w:r>
        <w:rPr>
          <w:rFonts w:hint="eastAsia" w:ascii="宋体" w:hAnsi="宋体" w:cs="宋体"/>
          <w:color w:val="auto"/>
          <w:szCs w:val="21"/>
          <w:highlight w:val="none"/>
        </w:rPr>
        <w:t>）</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3.3.2</w:t>
      </w:r>
      <w:r>
        <w:rPr>
          <w:rFonts w:hint="eastAsia" w:ascii="宋体" w:hAnsi="宋体" w:cs="宋体"/>
          <w:color w:val="auto"/>
          <w:szCs w:val="21"/>
          <w:highlight w:val="none"/>
        </w:rPr>
        <w:t>企业</w:t>
      </w:r>
      <w:r>
        <w:rPr>
          <w:rFonts w:hint="eastAsia" w:cs="Arial"/>
          <w:color w:val="auto"/>
          <w:highlight w:val="none"/>
        </w:rPr>
        <w:t>（联合体投标的，则指联合体各方）</w:t>
      </w:r>
      <w:r>
        <w:rPr>
          <w:rFonts w:hint="eastAsia" w:ascii="宋体" w:hAnsi="宋体" w:cs="宋体"/>
          <w:color w:val="auto"/>
          <w:szCs w:val="21"/>
          <w:highlight w:val="none"/>
        </w:rPr>
        <w:t>需要</w:t>
      </w:r>
      <w:r>
        <w:rPr>
          <w:rFonts w:hint="eastAsia" w:ascii="宋体" w:hAnsi="宋体" w:cs="宋体"/>
          <w:color w:val="auto"/>
          <w:szCs w:val="21"/>
          <w:highlight w:val="none"/>
          <w:u w:val="single"/>
        </w:rPr>
        <w:t xml:space="preserve"> 经浙江省住建厅备案（有效期</w:t>
      </w:r>
      <w:bookmarkStart w:id="449" w:name="_GoBack"/>
      <w:bookmarkEnd w:id="449"/>
      <w:r>
        <w:rPr>
          <w:rFonts w:hint="eastAsia" w:ascii="宋体" w:hAnsi="宋体" w:cs="宋体"/>
          <w:color w:val="auto"/>
          <w:szCs w:val="21"/>
          <w:highlight w:val="none"/>
          <w:u w:val="single"/>
        </w:rPr>
        <w:t>内）或提供“浙江省建筑市场监管公共服务系统”上审核通过的备案信息网页截图（浙江省内企业不作要求）</w:t>
      </w:r>
      <w:r>
        <w:rPr>
          <w:rFonts w:hint="eastAsia" w:ascii="宋体" w:hAnsi="宋体" w:cs="Arial"/>
          <w:color w:val="auto"/>
          <w:szCs w:val="21"/>
          <w:highlight w:val="none"/>
        </w:rPr>
        <w:t>。</w:t>
      </w:r>
    </w:p>
    <w:p>
      <w:pPr>
        <w:widowControl/>
        <w:spacing w:line="360" w:lineRule="exact"/>
        <w:rPr>
          <w:rFonts w:ascii="宋体" w:hAnsi="宋体" w:cs="Arial"/>
          <w:strike/>
          <w:color w:val="auto"/>
          <w:szCs w:val="21"/>
          <w:highlight w:val="none"/>
        </w:rPr>
      </w:pPr>
      <w:r>
        <w:rPr>
          <w:rFonts w:ascii="宋体" w:hAnsi="宋体" w:cs="Arial"/>
          <w:strike/>
          <w:color w:val="auto"/>
          <w:szCs w:val="21"/>
          <w:highlight w:val="none"/>
        </w:rPr>
        <w:t>3.3.</w:t>
      </w:r>
      <w:r>
        <w:rPr>
          <w:rFonts w:hint="eastAsia" w:ascii="宋体" w:hAnsi="宋体" w:cs="Arial"/>
          <w:strike/>
          <w:color w:val="auto"/>
          <w:szCs w:val="21"/>
          <w:highlight w:val="none"/>
        </w:rPr>
        <w:t>3</w:t>
      </w:r>
      <w:r>
        <w:rPr>
          <w:rFonts w:ascii="宋体" w:hAnsi="宋体" w:cs="Arial"/>
          <w:strike/>
          <w:color w:val="auto"/>
          <w:szCs w:val="21"/>
          <w:highlight w:val="none"/>
        </w:rPr>
        <w:t>企业在</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ascii="宋体" w:hAnsi="宋体" w:cs="Arial"/>
          <w:strike/>
          <w:color w:val="auto"/>
          <w:szCs w:val="21"/>
          <w:highlight w:val="none"/>
        </w:rPr>
        <w:t>年</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hint="eastAsia" w:ascii="宋体" w:hAnsi="宋体" w:cs="Arial"/>
          <w:strike/>
          <w:color w:val="auto"/>
          <w:szCs w:val="21"/>
          <w:highlight w:val="none"/>
          <w:u w:val="single"/>
        </w:rPr>
        <w:t xml:space="preserve"> </w:t>
      </w:r>
      <w:r>
        <w:rPr>
          <w:rFonts w:ascii="宋体" w:hAnsi="宋体" w:cs="Arial"/>
          <w:strike/>
          <w:color w:val="auto"/>
          <w:szCs w:val="21"/>
          <w:highlight w:val="none"/>
        </w:rPr>
        <w:t>月</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ascii="宋体" w:hAnsi="宋体" w:cs="Arial"/>
          <w:strike/>
          <w:color w:val="auto"/>
          <w:szCs w:val="21"/>
          <w:highlight w:val="none"/>
        </w:rPr>
        <w:t>日前与</w:t>
      </w:r>
      <w:r>
        <w:rPr>
          <w:rFonts w:ascii="宋体" w:hAnsi="宋体" w:cs="Arial"/>
          <w:strike/>
          <w:color w:val="auto"/>
          <w:szCs w:val="21"/>
          <w:highlight w:val="none"/>
          <w:u w:val="single"/>
        </w:rPr>
        <w:t xml:space="preserve">  </w:t>
      </w:r>
      <w:r>
        <w:rPr>
          <w:rFonts w:hint="eastAsia" w:ascii="宋体" w:hAnsi="宋体" w:cs="宋体"/>
          <w:b/>
          <w:strike/>
          <w:color w:val="auto"/>
          <w:szCs w:val="21"/>
          <w:highlight w:val="none"/>
          <w:u w:val="single"/>
        </w:rPr>
        <w:t>/</w:t>
      </w:r>
      <w:r>
        <w:rPr>
          <w:rFonts w:ascii="宋体" w:hAnsi="宋体" w:cs="Arial"/>
          <w:strike/>
          <w:color w:val="auto"/>
          <w:szCs w:val="21"/>
          <w:highlight w:val="none"/>
          <w:u w:val="single"/>
        </w:rPr>
        <w:t xml:space="preserve"> </w:t>
      </w:r>
      <w:r>
        <w:rPr>
          <w:rFonts w:hint="eastAsia" w:ascii="宋体" w:hAnsi="宋体" w:cs="Arial"/>
          <w:strike/>
          <w:color w:val="auto"/>
          <w:szCs w:val="21"/>
          <w:highlight w:val="none"/>
          <w:u w:val="single"/>
        </w:rPr>
        <w:t xml:space="preserve"> </w:t>
      </w:r>
      <w:r>
        <w:rPr>
          <w:rFonts w:ascii="宋体" w:hAnsi="宋体" w:cs="Arial"/>
          <w:strike/>
          <w:color w:val="auto"/>
          <w:szCs w:val="21"/>
          <w:highlight w:val="none"/>
        </w:rPr>
        <w:t>签订劳动者工资保障金管理协议。</w:t>
      </w:r>
    </w:p>
    <w:p>
      <w:pPr>
        <w:widowControl/>
        <w:spacing w:line="36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w:t>
      </w:r>
      <w:r>
        <w:rPr>
          <w:rFonts w:hint="eastAsia" w:cs="Arial"/>
          <w:color w:val="auto"/>
          <w:highlight w:val="none"/>
        </w:rPr>
        <w:t>（联合体投标的，则指联合体各方</w:t>
      </w:r>
      <w:r>
        <w:rPr>
          <w:rFonts w:hint="eastAsia" w:ascii="宋体" w:hAnsi="宋体" w:cs="宋体"/>
          <w:color w:val="auto"/>
          <w:szCs w:val="21"/>
          <w:highlight w:val="none"/>
        </w:rPr>
        <w:t>）</w:t>
      </w:r>
      <w:r>
        <w:rPr>
          <w:rFonts w:ascii="宋体" w:hAnsi="宋体" w:cs="Arial"/>
          <w:color w:val="auto"/>
          <w:szCs w:val="21"/>
          <w:highlight w:val="none"/>
        </w:rPr>
        <w:t>和项目负责人</w:t>
      </w:r>
      <w:r>
        <w:rPr>
          <w:rFonts w:hint="eastAsia" w:ascii="宋体" w:hAnsi="宋体" w:cs="Arial"/>
          <w:color w:val="auto"/>
          <w:szCs w:val="21"/>
          <w:highlight w:val="none"/>
        </w:rPr>
        <w:t>近</w:t>
      </w:r>
      <w:r>
        <w:rPr>
          <w:rFonts w:hint="eastAsia" w:ascii="宋体" w:hAnsi="宋体" w:cs="Arial"/>
          <w:b/>
          <w:bCs/>
          <w:color w:val="auto"/>
          <w:szCs w:val="21"/>
          <w:highlight w:val="none"/>
          <w:u w:val="single"/>
        </w:rPr>
        <w:t>五</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60" w:lineRule="exact"/>
        <w:rPr>
          <w:rFonts w:ascii="宋体" w:hAnsi="宋体" w:cs="Arial"/>
          <w:color w:val="auto"/>
          <w:szCs w:val="21"/>
          <w:highlight w:val="none"/>
        </w:rPr>
      </w:pPr>
      <w:r>
        <w:rPr>
          <w:rFonts w:ascii="宋体" w:hAnsi="宋体" w:cs="Arial"/>
          <w:color w:val="auto"/>
          <w:szCs w:val="21"/>
          <w:highlight w:val="none"/>
        </w:rPr>
        <w:t>3.4本次招标</w:t>
      </w:r>
      <w:r>
        <w:rPr>
          <w:rFonts w:hint="eastAsia" w:ascii="宋体" w:hAnsi="宋体" w:cs="Arial"/>
          <w:b/>
          <w:color w:val="auto"/>
          <w:szCs w:val="21"/>
          <w:highlight w:val="none"/>
          <w:u w:val="single"/>
        </w:rPr>
        <w:t>接受</w:t>
      </w:r>
      <w:r>
        <w:rPr>
          <w:rFonts w:ascii="宋体" w:hAnsi="宋体" w:cs="Arial"/>
          <w:color w:val="auto"/>
          <w:szCs w:val="21"/>
          <w:highlight w:val="none"/>
        </w:rPr>
        <w:t>联合体投标。联合体投标的，应满足下列要求：</w:t>
      </w:r>
      <w:r>
        <w:rPr>
          <w:rFonts w:hint="eastAsia" w:ascii="宋体" w:hAnsi="宋体"/>
          <w:color w:val="auto"/>
          <w:szCs w:val="21"/>
          <w:highlight w:val="none"/>
          <w:u w:val="single"/>
          <w:shd w:val="clear" w:color="auto" w:fill="FFFFFF"/>
        </w:rPr>
        <w:t>①联合体投标的，联合体各方应签订联合体协议书，明确联合体牵头人、以牵头人的名义递交投标保证金；各成员单位的权利义务等事项；项目负责人由联合体牵头人拟派；②联合体成员总数（含牵头人）不得超过2家，</w:t>
      </w:r>
      <w:r>
        <w:rPr>
          <w:rFonts w:hint="eastAsia" w:ascii="宋体" w:hAnsi="宋体" w:cs="宋体"/>
          <w:color w:val="auto"/>
          <w:szCs w:val="21"/>
          <w:highlight w:val="none"/>
          <w:u w:val="single"/>
          <w:shd w:val="clear" w:color="auto" w:fill="FFFFFF"/>
        </w:rPr>
        <w:t>且牵头人须具有</w:t>
      </w:r>
      <w:r>
        <w:rPr>
          <w:rFonts w:hint="eastAsia" w:ascii="宋体" w:hAnsi="宋体" w:cs="宋体"/>
          <w:color w:val="auto"/>
          <w:szCs w:val="21"/>
          <w:highlight w:val="none"/>
          <w:u w:val="single"/>
        </w:rPr>
        <w:t>建筑机电安装工程专业承包一级资质</w:t>
      </w:r>
      <w:r>
        <w:rPr>
          <w:rFonts w:hint="eastAsia" w:ascii="宋体" w:hAnsi="宋体"/>
          <w:color w:val="auto"/>
          <w:szCs w:val="21"/>
          <w:highlight w:val="none"/>
          <w:u w:val="single"/>
          <w:shd w:val="clear" w:color="auto" w:fill="FFFFFF"/>
        </w:rPr>
        <w:t>；③联合体各方需具备与所承担工作内容相适应的资质；④联合体各方不得再以自己的名义单独或组建新的联合体参与本合同段投标</w:t>
      </w:r>
      <w:r>
        <w:rPr>
          <w:rFonts w:hint="eastAsia" w:ascii="宋体" w:hAnsi="宋体" w:cs="宋体"/>
          <w:i/>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6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2022</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2022</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17:00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伍拾</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2022</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17:00</w:t>
      </w:r>
      <w:r>
        <w:rPr>
          <w:rFonts w:hint="eastAsia" w:ascii="宋体" w:hAnsi="宋体" w:cs="仿宋"/>
          <w:color w:val="auto"/>
          <w:szCs w:val="21"/>
          <w:highlight w:val="none"/>
        </w:rPr>
        <w:t>时前缴纳。缴纳方式为：</w:t>
      </w:r>
    </w:p>
    <w:p>
      <w:pPr>
        <w:widowControl/>
        <w:spacing w:line="360" w:lineRule="exact"/>
        <w:ind w:firstLine="0" w:firstLineChars="0"/>
        <w:rPr>
          <w:rFonts w:ascii="宋体" w:hAnsi="宋体" w:cs="仿宋"/>
          <w:color w:val="auto"/>
          <w:szCs w:val="21"/>
          <w:highlight w:val="none"/>
        </w:rPr>
      </w:pPr>
      <w:r>
        <w:rPr>
          <w:rFonts w:hint="eastAsia" w:ascii="宋体" w:hAnsi="宋体" w:cs="仿宋"/>
          <w:color w:val="auto"/>
          <w:szCs w:val="21"/>
          <w:highlight w:val="none"/>
          <w:lang w:val="en-US" w:eastAsia="zh-CN"/>
        </w:rPr>
        <w:t>5.1</w:t>
      </w:r>
      <w:r>
        <w:rPr>
          <w:rFonts w:hint="eastAsia" w:ascii="宋体" w:hAnsi="宋体" w:cs="仿宋"/>
          <w:color w:val="auto"/>
          <w:szCs w:val="21"/>
          <w:highlight w:val="none"/>
        </w:rPr>
        <w:t>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color w:val="auto"/>
          <w:szCs w:val="21"/>
          <w:highlight w:val="none"/>
          <w:u w:val="single"/>
          <w:lang w:val="en-US" w:eastAsia="zh-CN"/>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b/>
          <w:color w:val="auto"/>
          <w:szCs w:val="21"/>
          <w:highlight w:val="none"/>
          <w:u w:val="single"/>
          <w:lang w:val="en-US" w:eastAsia="zh-CN"/>
        </w:rPr>
        <w:t xml:space="preserve">                   </w:t>
      </w:r>
      <w:r>
        <w:rPr>
          <w:rFonts w:hint="eastAsia" w:ascii="宋体" w:hAnsi="宋体" w:cs="仿宋"/>
          <w:color w:val="auto"/>
          <w:szCs w:val="21"/>
          <w:highlight w:val="none"/>
        </w:rPr>
        <w:t>；投标人可自主选择以上账户之一缴纳投标保证金。</w:t>
      </w:r>
    </w:p>
    <w:p>
      <w:pPr>
        <w:widowControl/>
        <w:spacing w:line="360" w:lineRule="exact"/>
        <w:ind w:firstLine="0" w:firstLineChars="0"/>
        <w:rPr>
          <w:rFonts w:ascii="宋体" w:hAnsi="宋体" w:cs="仿宋"/>
          <w:color w:val="auto"/>
          <w:szCs w:val="21"/>
          <w:highlight w:val="none"/>
        </w:rPr>
      </w:pPr>
      <w:r>
        <w:rPr>
          <w:rFonts w:hint="eastAsia" w:ascii="宋体" w:hAnsi="宋体" w:cs="仿宋"/>
          <w:color w:val="auto"/>
          <w:szCs w:val="21"/>
          <w:highlight w:val="none"/>
          <w:lang w:val="en-US" w:eastAsia="zh-CN"/>
        </w:rPr>
        <w:t>5.2</w:t>
      </w:r>
      <w:r>
        <w:rPr>
          <w:rFonts w:hint="eastAsia" w:ascii="宋体" w:hAnsi="宋体" w:eastAsia="宋体" w:cs="仿宋"/>
          <w:color w:val="auto"/>
          <w:sz w:val="21"/>
          <w:szCs w:val="21"/>
          <w:highlight w:val="none"/>
          <w:lang w:val="en-US" w:eastAsia="zh-CN"/>
        </w:rPr>
        <w:t>招标人接受绍兴市公共资源交易中心出具的“年度投标保证金证明”作为投标保证金缴纳凭证，投标人不用另行提供其他证明材料</w:t>
      </w:r>
      <w:r>
        <w:rPr>
          <w:rFonts w:hint="eastAsia" w:ascii="宋体" w:hAnsi="宋体" w:eastAsia="宋体" w:cs="仿宋"/>
          <w:color w:val="auto"/>
          <w:szCs w:val="21"/>
          <w:highlight w:val="none"/>
        </w:rPr>
        <w:t>。</w:t>
      </w:r>
    </w:p>
    <w:p>
      <w:pPr>
        <w:widowControl/>
        <w:spacing w:line="360" w:lineRule="exact"/>
        <w:ind w:firstLine="0" w:firstLineChars="0"/>
        <w:rPr>
          <w:rFonts w:ascii="宋体" w:hAnsi="宋体"/>
          <w:bCs/>
          <w:color w:val="auto"/>
          <w:spacing w:val="-2"/>
          <w:szCs w:val="21"/>
          <w:highlight w:val="none"/>
        </w:rPr>
      </w:pPr>
      <w:r>
        <w:rPr>
          <w:rFonts w:hint="eastAsia" w:ascii="宋体" w:hAnsi="宋体" w:cs="仿宋"/>
          <w:color w:val="auto"/>
          <w:szCs w:val="21"/>
          <w:highlight w:val="none"/>
          <w:lang w:val="en-US" w:eastAsia="zh-CN"/>
        </w:rPr>
        <w:t>5.3</w:t>
      </w:r>
      <w:r>
        <w:rPr>
          <w:rFonts w:hint="eastAsia" w:ascii="宋体" w:hAnsi="宋体" w:cs="仿宋"/>
          <w:color w:val="auto"/>
          <w:szCs w:val="21"/>
          <w:highlight w:val="none"/>
        </w:rPr>
        <w:t>招标人接受投标保证金电子保险保函。投标人自行在电子招投标交易平台（</w:t>
      </w:r>
      <w:r>
        <w:rPr>
          <w:rFonts w:hint="eastAsia"/>
          <w:color w:val="auto"/>
          <w:highlight w:val="none"/>
        </w:rPr>
        <w:fldChar w:fldCharType="begin"/>
      </w:r>
      <w:r>
        <w:rPr>
          <w:color w:val="auto"/>
          <w:highlight w:val="none"/>
        </w:rPr>
        <w:instrText xml:space="preserve"> HYPERLINK "http://p.ggb.sx.gov.cn:6081/TPBidder/" </w:instrText>
      </w:r>
      <w:r>
        <w:rPr>
          <w:rFonts w:hint="eastAsia"/>
          <w:color w:val="auto"/>
          <w:highlight w:val="none"/>
        </w:rPr>
        <w:fldChar w:fldCharType="separate"/>
      </w:r>
      <w:r>
        <w:rPr>
          <w:rStyle w:val="38"/>
          <w:rFonts w:hint="eastAsia" w:ascii="宋体" w:hAnsi="宋体"/>
          <w:color w:val="auto"/>
          <w:szCs w:val="21"/>
          <w:highlight w:val="none"/>
        </w:rPr>
        <w:t>http://p.ggb.sx.gov.cn:6081/TPBidder/</w:t>
      </w:r>
      <w:r>
        <w:rPr>
          <w:rStyle w:val="38"/>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6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6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6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6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2022</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color w:val="auto"/>
          <w:spacing w:val="-12"/>
          <w:szCs w:val="21"/>
          <w:highlight w:val="none"/>
          <w:u w:val="single"/>
        </w:rPr>
        <w:t>绍兴市公共资源交</w:t>
      </w:r>
      <w:r>
        <w:rPr>
          <w:rFonts w:hint="eastAsia" w:ascii="宋体" w:hAnsi="宋体" w:cs="Arial"/>
          <w:color w:val="auto"/>
          <w:szCs w:val="21"/>
          <w:highlight w:val="none"/>
          <w:u w:val="single"/>
        </w:rPr>
        <w:t>易中心四楼指定的开标室。</w:t>
      </w:r>
    </w:p>
    <w:p>
      <w:pPr>
        <w:pStyle w:val="24"/>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4"/>
        <w:shd w:val="clear" w:color="auto" w:fill="FFFFFF"/>
        <w:spacing w:before="0" w:beforeAutospacing="0" w:after="0" w:afterAutospacing="0" w:line="36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 xml:space="preserve">7.发布公告的媒介    </w:t>
      </w:r>
    </w:p>
    <w:p>
      <w:pPr>
        <w:widowControl/>
        <w:spacing w:line="36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6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6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36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36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2022</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2"/>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8"/>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w:t>
            </w:r>
            <w:r>
              <w:rPr>
                <w:rFonts w:hint="eastAsia" w:hAnsi="宋体" w:cs="宋体"/>
                <w:color w:val="auto"/>
                <w:szCs w:val="20"/>
                <w:highlight w:val="none"/>
                <w:u w:val="single"/>
              </w:rPr>
              <w:t>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绍兴市妇幼保健院（绍兴市儿童医院）建设项目净化项目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numPr>
                <w:ilvl w:val="0"/>
                <w:numId w:val="1"/>
              </w:numPr>
              <w:adjustRightInd w:val="0"/>
              <w:snapToGrid w:val="0"/>
              <w:spacing w:line="280" w:lineRule="exact"/>
              <w:rPr>
                <w:rFonts w:ascii="宋体" w:hAnsi="宋体" w:cs="宋体"/>
                <w:color w:val="auto"/>
                <w:kern w:val="58"/>
                <w:sz w:val="20"/>
                <w:szCs w:val="20"/>
                <w:highlight w:val="none"/>
              </w:rPr>
            </w:pPr>
            <w:r>
              <w:rPr>
                <w:rFonts w:hint="eastAsia" w:ascii="宋体" w:hAnsi="宋体" w:cs="宋体"/>
                <w:color w:val="auto"/>
                <w:sz w:val="20"/>
                <w:szCs w:val="20"/>
                <w:highlight w:val="none"/>
              </w:rPr>
              <w:t xml:space="preserve">本次招标项目的招标范围: </w:t>
            </w:r>
            <w:r>
              <w:rPr>
                <w:rFonts w:hint="eastAsia" w:ascii="宋体" w:hAnsi="宋体" w:cs="宋体"/>
                <w:color w:val="auto"/>
                <w:szCs w:val="21"/>
                <w:highlight w:val="none"/>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r>
              <w:rPr>
                <w:rFonts w:hint="eastAsia" w:ascii="宋体" w:hAnsi="宋体" w:cs="宋体"/>
                <w:color w:val="auto"/>
                <w:kern w:val="58"/>
                <w:sz w:val="20"/>
                <w:szCs w:val="20"/>
                <w:highlight w:val="none"/>
              </w:rPr>
              <w:t>。</w:t>
            </w:r>
          </w:p>
          <w:p>
            <w:pPr>
              <w:adjustRightInd w:val="0"/>
              <w:snapToGrid w:val="0"/>
              <w:spacing w:line="280" w:lineRule="exact"/>
              <w:rPr>
                <w:rFonts w:ascii="宋体" w:hAnsi="宋体" w:cs="宋体"/>
                <w:color w:val="auto"/>
                <w:sz w:val="20"/>
                <w:szCs w:val="20"/>
                <w:highlight w:val="none"/>
              </w:rPr>
            </w:pPr>
            <w:r>
              <w:rPr>
                <w:rFonts w:hint="eastAsia" w:ascii="宋体" w:hAnsi="宋体" w:cs="宋体"/>
                <w:color w:val="auto"/>
                <w:kern w:val="58"/>
                <w:sz w:val="20"/>
                <w:szCs w:val="20"/>
                <w:highlight w:val="none"/>
              </w:rPr>
              <w:t>2、</w:t>
            </w:r>
            <w:r>
              <w:rPr>
                <w:rFonts w:hint="eastAsia" w:ascii="宋体" w:hAnsi="宋体" w:cs="宋体"/>
                <w:color w:val="auto"/>
                <w:sz w:val="20"/>
                <w:szCs w:val="20"/>
                <w:highlight w:val="none"/>
              </w:rPr>
              <w:t>本次招标内容:</w:t>
            </w:r>
            <w:r>
              <w:rPr>
                <w:rFonts w:hint="eastAsia" w:ascii="宋体" w:hAnsi="宋体" w:cs="宋体"/>
                <w:color w:val="auto"/>
                <w:szCs w:val="21"/>
                <w:highlight w:val="none"/>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ascii="宋体" w:hAnsi="宋体" w:cs="宋体"/>
                <w:color w:val="auto"/>
                <w:sz w:val="20"/>
                <w:szCs w:val="20"/>
                <w:highlight w:val="none"/>
              </w:rPr>
            </w:pPr>
            <w:r>
              <w:rPr>
                <w:rFonts w:hint="eastAsia" w:ascii="宋体" w:hAnsi="宋体" w:cs="宋体"/>
                <w:color w:val="auto"/>
                <w:szCs w:val="21"/>
                <w:highlight w:val="none"/>
              </w:rPr>
              <w:t>以招标人发出的开工指令后1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0天内，完成设备及材料供货、安装、调试、试运行、独立第三方100%检测、验收及交付使用，具体应与工程施工总进度计划同步。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2022年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rFonts w:hint="eastAsia"/>
                <w:color w:val="auto"/>
                <w:highlight w:val="none"/>
              </w:rPr>
              <w:fldChar w:fldCharType="begin"/>
            </w:r>
            <w:r>
              <w:rPr>
                <w:color w:val="auto"/>
                <w:highlight w:val="none"/>
              </w:rPr>
              <w:instrText xml:space="preserve"> HYPERLINK "http://www.zmctc.com/" \h </w:instrText>
            </w:r>
            <w:r>
              <w:rPr>
                <w:rFonts w:hint="eastAsia"/>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Cs w:val="21"/>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w:t>
            </w:r>
            <w:r>
              <w:rPr>
                <w:rFonts w:hint="eastAsia" w:ascii="宋体" w:hAnsi="宋体" w:cs="宋体"/>
                <w:color w:val="auto"/>
                <w:szCs w:val="21"/>
                <w:highlight w:val="none"/>
              </w:rPr>
              <w:t>3500</w:t>
            </w:r>
            <w:r>
              <w:rPr>
                <w:rFonts w:hint="eastAsia" w:ascii="宋体" w:hAnsi="宋体" w:cs="宋体"/>
                <w:color w:val="auto"/>
                <w:sz w:val="20"/>
                <w:szCs w:val="2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6"/>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6"/>
              <w:numPr>
                <w:ilvl w:val="0"/>
                <w:numId w:val="2"/>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6"/>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3．经查实，投标人在投标过程中串通投标或弄虚作假的。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w:t>
            </w:r>
            <w:bookmarkStart w:id="2" w:name="_Hlk82006863"/>
            <w:r>
              <w:rPr>
                <w:rFonts w:hint="eastAsia" w:hAnsi="宋体" w:cs="宋体"/>
                <w:color w:val="auto"/>
                <w:szCs w:val="20"/>
                <w:highlight w:val="none"/>
              </w:rPr>
              <w:t>．存在违反《招标投标法》第三十二条、第三十三条规定的违法情形的。</w:t>
            </w:r>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5．招标文件等材料约定的不予退还的其他情形。</w:t>
            </w:r>
            <w:bookmarkEnd w:id="2"/>
          </w:p>
          <w:p>
            <w:pPr>
              <w:pStyle w:val="56"/>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6．拟派项目负责人在投标截止日有在其他在建合同工程上担任项目负责人的情形。</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出现上述不予退还情形的，招标人告知交易中心登记后，平台将自动划转其投标保证金</w:t>
            </w:r>
            <w:r>
              <w:rPr>
                <w:rFonts w:hint="eastAsia" w:ascii="宋体" w:hAnsi="宋体" w:cs="宋体"/>
                <w:strike/>
                <w:color w:val="auto"/>
                <w:sz w:val="20"/>
                <w:szCs w:val="20"/>
                <w:highlight w:val="none"/>
              </w:rPr>
              <w:t>及银行同期存款利息至</w:t>
            </w:r>
            <w:r>
              <w:rPr>
                <w:rFonts w:hint="eastAsia" w:ascii="宋体" w:hAnsi="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3" w:hRule="atLeast"/>
        </w:trPr>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pStyle w:val="56"/>
              <w:adjustRightInd w:val="0"/>
              <w:snapToGrid w:val="0"/>
              <w:spacing w:line="0" w:lineRule="atLeast"/>
              <w:ind w:firstLine="0" w:firstLineChars="0"/>
              <w:rPr>
                <w:color w:val="auto"/>
                <w:highlight w:val="none"/>
              </w:rPr>
            </w:pPr>
            <w:r>
              <w:rPr>
                <w:rFonts w:hint="eastAsia"/>
                <w:color w:val="auto"/>
                <w:highlight w:val="none"/>
              </w:rPr>
              <w:t>1、企业法人营业执照复印件。</w:t>
            </w:r>
          </w:p>
          <w:p>
            <w:pPr>
              <w:pStyle w:val="56"/>
              <w:adjustRightInd w:val="0"/>
              <w:snapToGrid w:val="0"/>
              <w:spacing w:line="0" w:lineRule="atLeast"/>
              <w:ind w:firstLine="0" w:firstLineChars="0"/>
              <w:rPr>
                <w:color w:val="auto"/>
                <w:highlight w:val="none"/>
              </w:rPr>
            </w:pPr>
            <w:r>
              <w:rPr>
                <w:rFonts w:hint="eastAsia"/>
                <w:color w:val="auto"/>
                <w:highlight w:val="none"/>
              </w:rPr>
              <w:t>2、资质证书、安全生产许可证复印件。</w:t>
            </w:r>
          </w:p>
          <w:p>
            <w:pPr>
              <w:pStyle w:val="56"/>
              <w:adjustRightInd w:val="0"/>
              <w:snapToGrid w:val="0"/>
              <w:spacing w:line="0" w:lineRule="atLeast"/>
              <w:ind w:firstLine="0" w:firstLineChars="0"/>
              <w:rPr>
                <w:color w:val="auto"/>
                <w:highlight w:val="none"/>
              </w:rPr>
            </w:pPr>
            <w:r>
              <w:rPr>
                <w:rFonts w:hint="eastAsia"/>
                <w:color w:val="auto"/>
                <w:highlight w:val="none"/>
              </w:rPr>
              <w:t>3、医疗器械经营许可证或医疗器械生产许可证复印件。</w:t>
            </w:r>
          </w:p>
          <w:p>
            <w:pPr>
              <w:pStyle w:val="56"/>
              <w:adjustRightInd w:val="0"/>
              <w:snapToGrid w:val="0"/>
              <w:spacing w:line="0" w:lineRule="atLeast"/>
              <w:ind w:firstLine="0" w:firstLineChars="0"/>
              <w:rPr>
                <w:color w:val="auto"/>
                <w:highlight w:val="none"/>
              </w:rPr>
            </w:pPr>
            <w:r>
              <w:rPr>
                <w:rFonts w:hint="eastAsia"/>
                <w:color w:val="auto"/>
                <w:highlight w:val="none"/>
              </w:rPr>
              <w:t>4、业绩证明材料的中标通知书（或合同）及验收证明的复印件。</w:t>
            </w:r>
          </w:p>
          <w:p>
            <w:pPr>
              <w:pStyle w:val="56"/>
              <w:adjustRightInd w:val="0"/>
              <w:snapToGrid w:val="0"/>
              <w:spacing w:line="0" w:lineRule="atLeast"/>
              <w:ind w:firstLine="0" w:firstLineChars="0"/>
              <w:rPr>
                <w:color w:val="auto"/>
                <w:highlight w:val="none"/>
              </w:rPr>
            </w:pPr>
            <w:r>
              <w:rPr>
                <w:rFonts w:hint="eastAsia"/>
                <w:color w:val="auto"/>
                <w:highlight w:val="none"/>
              </w:rPr>
              <w:t>5、浙江省外企业须提供浙江省住建厅备案证明或提供在“浙江省建筑市场监管公共服务系统”企业信息备案通过的网页截图（浙江省内企业不作要求）。</w:t>
            </w:r>
          </w:p>
          <w:p>
            <w:pPr>
              <w:pStyle w:val="56"/>
              <w:adjustRightInd w:val="0"/>
              <w:snapToGrid w:val="0"/>
              <w:spacing w:line="0" w:lineRule="atLeast"/>
              <w:ind w:firstLine="0" w:firstLineChars="0"/>
              <w:rPr>
                <w:color w:val="auto"/>
                <w:highlight w:val="none"/>
              </w:rPr>
            </w:pPr>
            <w:r>
              <w:rPr>
                <w:rFonts w:hint="eastAsia"/>
                <w:color w:val="auto"/>
                <w:highlight w:val="none"/>
              </w:rPr>
              <w:t>6、项目负责人注册证书、安全生产考核合格证、社保证明复印件。</w:t>
            </w:r>
          </w:p>
          <w:p>
            <w:pPr>
              <w:pStyle w:val="56"/>
              <w:adjustRightInd w:val="0"/>
              <w:snapToGrid w:val="0"/>
              <w:spacing w:line="0" w:lineRule="atLeast"/>
              <w:ind w:firstLine="0" w:firstLineChars="0"/>
              <w:rPr>
                <w:color w:val="auto"/>
                <w:highlight w:val="none"/>
              </w:rPr>
            </w:pPr>
            <w:r>
              <w:rPr>
                <w:rFonts w:hint="eastAsia"/>
                <w:color w:val="auto"/>
                <w:highlight w:val="none"/>
              </w:rPr>
              <w:t>7、联合体协议书（如有）。</w:t>
            </w:r>
          </w:p>
          <w:p>
            <w:pPr>
              <w:pStyle w:val="56"/>
              <w:adjustRightInd w:val="0"/>
              <w:snapToGrid w:val="0"/>
              <w:spacing w:line="0" w:lineRule="atLeast"/>
              <w:ind w:firstLine="0" w:firstLineChars="0"/>
              <w:rPr>
                <w:color w:val="auto"/>
                <w:highlight w:val="none"/>
              </w:rPr>
            </w:pPr>
            <w:r>
              <w:rPr>
                <w:rFonts w:hint="eastAsia"/>
                <w:color w:val="auto"/>
                <w:highlight w:val="none"/>
              </w:rPr>
              <w:t>8、承诺书（①承诺对资格审查资料所有提交的证明材料真实有效性负责，若发现其有伪造证书、业绩等行为的，同意招标人不接受其投标，其缴纳的投标保证金不予退还；②承诺企业和项目负责人近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56"/>
              <w:adjustRightInd w:val="0"/>
              <w:snapToGrid w:val="0"/>
              <w:spacing w:line="0" w:lineRule="atLeast"/>
              <w:ind w:firstLine="0" w:firstLineChars="0"/>
              <w:rPr>
                <w:color w:val="auto"/>
                <w:highlight w:val="none"/>
              </w:rPr>
            </w:pPr>
            <w:r>
              <w:rPr>
                <w:rFonts w:hint="eastAsia"/>
                <w:b/>
                <w:bCs/>
                <w:color w:val="auto"/>
                <w:highlight w:val="none"/>
              </w:rPr>
              <w:t>注：</w:t>
            </w:r>
            <w:r>
              <w:rPr>
                <w:rFonts w:hint="eastAsia"/>
                <w:color w:val="auto"/>
                <w:highlight w:val="none"/>
              </w:rPr>
              <w:t>不能提供上述材料任何一项或不符合审查要求的投标人为资格审查不合格。</w:t>
            </w:r>
          </w:p>
          <w:p>
            <w:pPr>
              <w:pStyle w:val="56"/>
              <w:adjustRightInd w:val="0"/>
              <w:snapToGrid w:val="0"/>
              <w:spacing w:line="0" w:lineRule="atLeast"/>
              <w:ind w:firstLine="0" w:firstLineChars="0"/>
              <w:rPr>
                <w:color w:val="auto"/>
                <w:highlight w:val="none"/>
              </w:rPr>
            </w:pPr>
            <w:r>
              <w:rPr>
                <w:rFonts w:hint="eastAsia"/>
                <w:color w:val="auto"/>
                <w:highlight w:val="none"/>
              </w:rPr>
              <w:t>若是联合体投标的，联合体牵头人须提供上述第1-8点内容；联合体其他成员单位提供上述第1、2、5点内容；第7点内容由牵头人提供，但必须由联合体各方盖章。</w:t>
            </w:r>
          </w:p>
          <w:p>
            <w:pPr>
              <w:pStyle w:val="56"/>
              <w:adjustRightInd w:val="0"/>
              <w:snapToGrid w:val="0"/>
              <w:spacing w:line="0" w:lineRule="atLeast"/>
              <w:ind w:firstLine="0" w:firstLineChars="0"/>
              <w:rPr>
                <w:color w:val="auto"/>
                <w:highlight w:val="none"/>
              </w:rPr>
            </w:pPr>
            <w:r>
              <w:rPr>
                <w:rFonts w:hint="eastAsia"/>
                <w:b/>
                <w:bCs/>
                <w:color w:val="auto"/>
                <w:highlight w:val="none"/>
              </w:rPr>
              <w:t>※备注：</w:t>
            </w:r>
            <w:r>
              <w:rPr>
                <w:rFonts w:hint="eastAsia" w:ascii="宋体" w:hAnsi="???|CS?o｡ﾀ?" w:eastAsia="宋体" w:cs="Times New Roman"/>
                <w:b w:val="0"/>
                <w:bCs w:val="0"/>
                <w:color w:val="auto"/>
                <w:sz w:val="20"/>
                <w:szCs w:val="28"/>
                <w:highlight w:val="none"/>
                <w:u w:val="none"/>
              </w:rPr>
              <w:t>项目负责人为一级注册建造师的，则需提供电子注册证书，并在个人签名处手写本人签名，未手写签名或与签名图像笔迹不一致的，该电子证书无效</w:t>
            </w:r>
            <w:r>
              <w:rPr>
                <w:rFonts w:hint="eastAsia" w:ascii="宋体" w:eastAsia="宋体" w:cs="Times New Roman"/>
                <w:b w:val="0"/>
                <w:bCs w:val="0"/>
                <w:color w:val="auto"/>
                <w:highlight w:val="none"/>
                <w:u w:val="none"/>
              </w:rPr>
              <w:t>，资格审查不予通过</w:t>
            </w:r>
            <w:r>
              <w:rPr>
                <w:rFonts w:hint="eastAsia"/>
                <w:b/>
                <w:bCs/>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6"/>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hint="eastAsia" w:ascii="宋体" w:hAnsi="宋体" w:cs="宋体"/>
                <w:color w:val="auto"/>
                <w:sz w:val="20"/>
                <w:szCs w:val="20"/>
                <w:highlight w:val="none"/>
              </w:rPr>
            </w:pPr>
            <w:r>
              <w:rPr>
                <w:rFonts w:hint="eastAsia" w:ascii="宋体" w:hAnsi="宋体" w:cs="宋体"/>
                <w:b/>
                <w:bCs/>
                <w:color w:val="auto"/>
                <w:sz w:val="20"/>
                <w:szCs w:val="20"/>
                <w:highlight w:val="none"/>
                <w:u w:val="single"/>
              </w:rPr>
              <w:t>绍兴市妇幼保健院（绍兴市儿童医院）建设项目净化项目</w:t>
            </w:r>
            <w:r>
              <w:rPr>
                <w:rFonts w:hint="eastAsia" w:ascii="宋体" w:hAnsi="宋体" w:cs="宋体"/>
                <w:color w:val="auto"/>
                <w:sz w:val="20"/>
                <w:szCs w:val="20"/>
                <w:highlight w:val="none"/>
              </w:rPr>
              <w:t>投标文件，</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在2022年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本项目采用投标人现场递交或邮寄投标文件递交。采用现场递交的，将密封的投标文件在开标当日09:00时至09:30时递交至绍兴市公共资源交易中心四楼指定开标室，投标文件递交后即交即走。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投标人的法定代表人或授权委托人、项目总监等均可不参加开标会议。若投标人法定代表人或授权委托人不在现场参加开标会议的，投标人需向招标代理机构人员告知联系方式，以备询标等事宜。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6"/>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三、投标保证金未缴纳的。</w:t>
            </w:r>
          </w:p>
          <w:p>
            <w:pPr>
              <w:pStyle w:val="56"/>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adjustRightInd w:val="0"/>
              <w:snapToGrid w:val="0"/>
              <w:spacing w:line="360" w:lineRule="exact"/>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ascii="宋体" w:hAnsi="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6"/>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3</w:t>
            </w:r>
            <w:r>
              <w:rPr>
                <w:rFonts w:hint="eastAsia" w:ascii="宋体" w:hAnsi="宋体" w:cs="宋体"/>
                <w:color w:val="auto"/>
                <w:sz w:val="20"/>
                <w:szCs w:val="20"/>
                <w:highlight w:val="none"/>
              </w:rPr>
              <w:t>.投标人不以自己的名义或未按招标文件要求提供投标保证金，或提供的投标保证金有缺陷而不能接受的；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4</w:t>
            </w:r>
            <w:r>
              <w:rPr>
                <w:rFonts w:hint="eastAsia" w:ascii="宋体" w:hAnsi="宋体" w:cs="宋体"/>
                <w:color w:val="auto"/>
                <w:sz w:val="20"/>
                <w:szCs w:val="20"/>
                <w:highlight w:val="none"/>
              </w:rPr>
              <w:t>. 投标人及其法定代表人控股的其他公司，不得同时参加同一标段投标。否则，均按否决投标处理；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.投标人在开标会议前系统中确定的项目负责人与投标文件中项目负责人不一致的；</w:t>
            </w:r>
          </w:p>
          <w:p>
            <w:pPr>
              <w:spacing w:line="280" w:lineRule="exact"/>
              <w:jc w:val="left"/>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6</w:t>
            </w:r>
            <w:r>
              <w:rPr>
                <w:rFonts w:hint="eastAsia" w:ascii="宋体" w:hAnsi="宋体" w:cs="宋体"/>
                <w:color w:val="auto"/>
                <w:sz w:val="20"/>
                <w:szCs w:val="20"/>
                <w:highlight w:val="none"/>
              </w:rPr>
              <w:t>.存在法律、法规、规章规定的其它无效投标情况的。</w:t>
            </w:r>
          </w:p>
          <w:p>
            <w:pPr>
              <w:spacing w:line="280" w:lineRule="exact"/>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2.报价评审时，投标人拒绝按以下条款修正的：（1）投标文件中的大写金额与小写金额不一致的，以大写金额为准；</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（2）总价金额与依据单价计算出的结果不一致的，以单价金额为准修正总价，但单价金额小数点有明显错误的除外。</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rPr>
                <w:rFonts w:hint="eastAsia"/>
              </w:rPr>
            </w:pPr>
            <w:r>
              <w:rPr>
                <w:rFonts w:hint="eastAsia" w:ascii="宋体" w:hAnsi="宋体" w:cs="宋体"/>
                <w:color w:val="auto"/>
                <w:sz w:val="20"/>
                <w:szCs w:val="20"/>
                <w:highlight w:val="none"/>
                <w:lang w:val="en-US" w:eastAsia="zh-CN"/>
              </w:rPr>
              <w:t>5</w:t>
            </w:r>
            <w:r>
              <w:rPr>
                <w:rFonts w:hint="eastAsia" w:ascii="宋体" w:hAnsi="宋体" w:cs="宋体"/>
                <w:color w:val="auto"/>
                <w:sz w:val="20"/>
                <w:szCs w:val="20"/>
                <w:highlight w:val="none"/>
              </w:rPr>
              <w:t>.投标函</w:t>
            </w:r>
            <w:r>
              <w:rPr>
                <w:rFonts w:hint="eastAsia" w:ascii="宋体" w:hAnsi="宋体" w:cs="宋体"/>
                <w:strike w:val="0"/>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6</w:t>
            </w:r>
            <w:r>
              <w:rPr>
                <w:rFonts w:hint="eastAsia" w:ascii="宋体" w:hAnsi="宋体" w:cs="宋体"/>
                <w:color w:val="auto"/>
                <w:sz w:val="20"/>
                <w:szCs w:val="20"/>
                <w:highlight w:val="none"/>
              </w:rPr>
              <w:t>.投标报价高于招标文件设定的最高投标限价的；</w:t>
            </w:r>
          </w:p>
          <w:p>
            <w:pPr>
              <w:spacing w:line="280" w:lineRule="exact"/>
            </w:pPr>
            <w:r>
              <w:rPr>
                <w:rFonts w:hint="eastAsia" w:ascii="宋体" w:hAnsi="宋体" w:cs="宋体"/>
                <w:color w:val="auto"/>
                <w:sz w:val="20"/>
                <w:szCs w:val="20"/>
                <w:highlight w:val="none"/>
                <w:lang w:val="en-US" w:eastAsia="zh-CN"/>
              </w:rPr>
              <w:t>7</w:t>
            </w:r>
            <w:r>
              <w:rPr>
                <w:rFonts w:hint="eastAsia" w:ascii="宋体" w:hAnsi="宋体" w:cs="宋体"/>
                <w:color w:val="auto"/>
                <w:sz w:val="20"/>
                <w:szCs w:val="20"/>
                <w:highlight w:val="none"/>
              </w:rPr>
              <w:t>.改变招标人提供的货物清单内容的（货物名称、单位、数量）；</w:t>
            </w:r>
          </w:p>
          <w:p>
            <w:pPr>
              <w:spacing w:line="280" w:lineRule="exact"/>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2"/>
        <w:rPr>
          <w:color w:val="auto"/>
          <w:highlight w:val="none"/>
        </w:rPr>
      </w:pPr>
      <w:bookmarkStart w:id="3"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3"/>
    </w:p>
    <w:p>
      <w:pPr>
        <w:pStyle w:val="44"/>
        <w:spacing w:line="440" w:lineRule="exact"/>
        <w:rPr>
          <w:rFonts w:asciiTheme="minorEastAsia" w:hAnsiTheme="minorEastAsia" w:eastAsiaTheme="minorEastAsia" w:cstheme="minorEastAsia"/>
          <w:color w:val="auto"/>
          <w:sz w:val="24"/>
          <w:szCs w:val="24"/>
          <w:highlight w:val="none"/>
        </w:rPr>
      </w:pPr>
      <w:bookmarkStart w:id="4" w:name="_Toc11269"/>
      <w:bookmarkStart w:id="5" w:name="_Toc392345909"/>
      <w:r>
        <w:rPr>
          <w:rFonts w:hint="eastAsia" w:asciiTheme="minorEastAsia" w:hAnsiTheme="minorEastAsia" w:eastAsiaTheme="minorEastAsia" w:cstheme="minorEastAsia"/>
          <w:color w:val="auto"/>
          <w:sz w:val="24"/>
          <w:szCs w:val="24"/>
          <w:highlight w:val="none"/>
        </w:rPr>
        <w:t>1. 总则</w:t>
      </w:r>
      <w:bookmarkEnd w:id="4"/>
      <w:bookmarkEnd w:id="5"/>
    </w:p>
    <w:p>
      <w:pPr>
        <w:pStyle w:val="45"/>
        <w:spacing w:line="440" w:lineRule="exact"/>
        <w:rPr>
          <w:rFonts w:asciiTheme="minorEastAsia" w:hAnsiTheme="minorEastAsia" w:eastAsiaTheme="minorEastAsia" w:cstheme="minorEastAsia"/>
          <w:b/>
          <w:color w:val="auto"/>
          <w:szCs w:val="24"/>
          <w:highlight w:val="none"/>
        </w:rPr>
      </w:pPr>
      <w:bookmarkStart w:id="6" w:name="_Toc152045530"/>
      <w:bookmarkStart w:id="7" w:name="_Toc144974498"/>
      <w:bookmarkStart w:id="8" w:name="_Toc152042306"/>
      <w:bookmarkStart w:id="9" w:name="_Toc392345910"/>
      <w:bookmarkStart w:id="10" w:name="_Toc9106"/>
      <w:bookmarkStart w:id="11" w:name="_Toc229646712"/>
      <w:r>
        <w:rPr>
          <w:rFonts w:hint="eastAsia" w:asciiTheme="minorEastAsia" w:hAnsiTheme="minorEastAsia" w:eastAsiaTheme="minorEastAsia" w:cstheme="minorEastAsia"/>
          <w:b/>
          <w:color w:val="auto"/>
          <w:szCs w:val="24"/>
          <w:highlight w:val="none"/>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2" w:name="_Toc229646713"/>
      <w:bookmarkStart w:id="13" w:name="_Toc144974499"/>
      <w:bookmarkStart w:id="14" w:name="_Toc152045531"/>
      <w:bookmarkStart w:id="15" w:name="_Toc392345911"/>
      <w:bookmarkStart w:id="16" w:name="_Toc152042307"/>
      <w:bookmarkStart w:id="17" w:name="_Toc3629"/>
      <w:r>
        <w:rPr>
          <w:rFonts w:hint="eastAsia" w:asciiTheme="minorEastAsia" w:hAnsiTheme="minorEastAsia" w:eastAsiaTheme="minorEastAsia" w:cstheme="minorEastAsia"/>
          <w:b/>
          <w:color w:val="auto"/>
          <w:szCs w:val="24"/>
          <w:highlight w:val="none"/>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8" w:name="_Toc152045532"/>
      <w:bookmarkStart w:id="19" w:name="_Toc460"/>
      <w:bookmarkStart w:id="20" w:name="_Toc144974500"/>
      <w:bookmarkStart w:id="21" w:name="_Toc229646714"/>
      <w:bookmarkStart w:id="22" w:name="_Toc392345912"/>
      <w:bookmarkStart w:id="23" w:name="_Toc152042308"/>
      <w:r>
        <w:rPr>
          <w:rFonts w:hint="eastAsia" w:asciiTheme="minorEastAsia" w:hAnsiTheme="minorEastAsia" w:eastAsiaTheme="minorEastAsia" w:cstheme="minorEastAsia"/>
          <w:b/>
          <w:color w:val="auto"/>
          <w:szCs w:val="24"/>
          <w:highlight w:val="none"/>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4" w:name="_Toc22287"/>
      <w:bookmarkStart w:id="25" w:name="_Toc229646715"/>
      <w:bookmarkStart w:id="26" w:name="_Toc152042310"/>
      <w:bookmarkStart w:id="27" w:name="_Toc152045534"/>
      <w:bookmarkStart w:id="28" w:name="_Toc392345913"/>
      <w:bookmarkStart w:id="29" w:name="_Toc144974502"/>
      <w:r>
        <w:rPr>
          <w:rFonts w:hint="eastAsia" w:asciiTheme="minorEastAsia" w:hAnsiTheme="minorEastAsia" w:eastAsiaTheme="minorEastAsia" w:cstheme="minorEastAsia"/>
          <w:b/>
          <w:color w:val="auto"/>
          <w:szCs w:val="24"/>
          <w:highlight w:val="none"/>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0" w:name="_Toc229646716"/>
      <w:bookmarkStart w:id="31" w:name="_Toc152042311"/>
      <w:bookmarkStart w:id="32" w:name="_Toc152045535"/>
      <w:bookmarkStart w:id="33" w:name="_Toc144974503"/>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5"/>
        <w:spacing w:line="440" w:lineRule="exact"/>
        <w:rPr>
          <w:rFonts w:asciiTheme="minorEastAsia" w:hAnsiTheme="minorEastAsia" w:eastAsiaTheme="minorEastAsia" w:cstheme="minorEastAsia"/>
          <w:b/>
          <w:color w:val="auto"/>
          <w:szCs w:val="24"/>
          <w:highlight w:val="none"/>
        </w:rPr>
      </w:pPr>
      <w:bookmarkStart w:id="34" w:name="_Toc392345914"/>
      <w:bookmarkStart w:id="35" w:name="_Toc10130"/>
      <w:r>
        <w:rPr>
          <w:rFonts w:hint="eastAsia" w:asciiTheme="minorEastAsia" w:hAnsiTheme="minorEastAsia" w:eastAsiaTheme="minorEastAsia" w:cstheme="minorEastAsia"/>
          <w:b/>
          <w:color w:val="auto"/>
          <w:szCs w:val="24"/>
          <w:highlight w:val="none"/>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5"/>
        <w:spacing w:line="440" w:lineRule="exact"/>
        <w:rPr>
          <w:rFonts w:asciiTheme="minorEastAsia" w:hAnsiTheme="minorEastAsia" w:eastAsiaTheme="minorEastAsia" w:cstheme="minorEastAsia"/>
          <w:b/>
          <w:color w:val="auto"/>
          <w:szCs w:val="24"/>
          <w:highlight w:val="none"/>
        </w:rPr>
      </w:pPr>
      <w:bookmarkStart w:id="36" w:name="_Toc319408072"/>
      <w:bookmarkStart w:id="37" w:name="_Toc323711750"/>
      <w:bookmarkStart w:id="38" w:name="_Toc25357"/>
      <w:bookmarkStart w:id="39" w:name="_Toc152045536"/>
      <w:bookmarkStart w:id="40" w:name="_Toc392345915"/>
      <w:bookmarkStart w:id="41" w:name="_Toc319407837"/>
      <w:bookmarkStart w:id="42" w:name="_Toc144974504"/>
      <w:bookmarkStart w:id="43" w:name="_Toc322615398"/>
      <w:bookmarkStart w:id="44" w:name="_Toc152042312"/>
      <w:bookmarkStart w:id="45" w:name="_Toc245036603"/>
      <w:bookmarkStart w:id="46" w:name="_Toc152042318"/>
      <w:bookmarkStart w:id="47" w:name="_Toc144974510"/>
      <w:bookmarkStart w:id="48" w:name="_Toc229646724"/>
      <w:bookmarkStart w:id="49" w:name="_Toc152045542"/>
      <w:r>
        <w:rPr>
          <w:rFonts w:hint="eastAsia" w:asciiTheme="minorEastAsia" w:hAnsiTheme="minorEastAsia" w:eastAsiaTheme="minorEastAsia" w:cstheme="minorEastAsia"/>
          <w:b/>
          <w:color w:val="auto"/>
          <w:szCs w:val="24"/>
          <w:highlight w:val="none"/>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5"/>
        <w:spacing w:line="440" w:lineRule="exact"/>
        <w:rPr>
          <w:rFonts w:asciiTheme="minorEastAsia" w:hAnsiTheme="minorEastAsia" w:eastAsiaTheme="minorEastAsia" w:cstheme="minorEastAsia"/>
          <w:b/>
          <w:color w:val="auto"/>
          <w:szCs w:val="24"/>
          <w:highlight w:val="none"/>
        </w:rPr>
      </w:pPr>
      <w:bookmarkStart w:id="50" w:name="_Toc144974505"/>
      <w:bookmarkStart w:id="51" w:name="_Toc319407838"/>
      <w:bookmarkStart w:id="52" w:name="_Toc152042313"/>
      <w:bookmarkStart w:id="53" w:name="_Toc319408073"/>
      <w:bookmarkStart w:id="54" w:name="_Toc245036604"/>
      <w:bookmarkStart w:id="55" w:name="_Toc323711751"/>
      <w:bookmarkStart w:id="56" w:name="_Toc392345916"/>
      <w:bookmarkStart w:id="57" w:name="_Toc4033"/>
      <w:bookmarkStart w:id="58" w:name="_Toc152045537"/>
      <w:bookmarkStart w:id="59" w:name="_Toc322615399"/>
      <w:r>
        <w:rPr>
          <w:rFonts w:hint="eastAsia" w:asciiTheme="minorEastAsia" w:hAnsiTheme="minorEastAsia" w:eastAsiaTheme="minorEastAsia" w:cstheme="minorEastAsia"/>
          <w:b/>
          <w:color w:val="auto"/>
          <w:szCs w:val="24"/>
          <w:highlight w:val="none"/>
        </w:rPr>
        <w:t>1.7 语言</w:t>
      </w:r>
      <w:bookmarkEnd w:id="50"/>
      <w:r>
        <w:rPr>
          <w:rFonts w:hint="eastAsia" w:asciiTheme="minorEastAsia" w:hAnsiTheme="minorEastAsia" w:eastAsiaTheme="minorEastAsia" w:cstheme="minorEastAsia"/>
          <w:b/>
          <w:color w:val="auto"/>
          <w:szCs w:val="24"/>
          <w:highlight w:val="none"/>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5"/>
        <w:spacing w:line="440" w:lineRule="exact"/>
        <w:rPr>
          <w:rFonts w:asciiTheme="minorEastAsia" w:hAnsiTheme="minorEastAsia" w:eastAsiaTheme="minorEastAsia" w:cstheme="minorEastAsia"/>
          <w:b/>
          <w:color w:val="auto"/>
          <w:szCs w:val="24"/>
          <w:highlight w:val="none"/>
        </w:rPr>
      </w:pPr>
      <w:bookmarkStart w:id="60" w:name="_Toc152045538"/>
      <w:bookmarkStart w:id="61" w:name="_Toc323711752"/>
      <w:bookmarkStart w:id="62" w:name="_Toc319408074"/>
      <w:bookmarkStart w:id="63" w:name="_Toc319407839"/>
      <w:bookmarkStart w:id="64" w:name="_Toc392345917"/>
      <w:bookmarkStart w:id="65" w:name="_Toc144974506"/>
      <w:bookmarkStart w:id="66" w:name="_Toc152042314"/>
      <w:bookmarkStart w:id="67" w:name="_Toc31144"/>
      <w:bookmarkStart w:id="68" w:name="_Toc322615400"/>
      <w:bookmarkStart w:id="69" w:name="_Toc245036605"/>
      <w:r>
        <w:rPr>
          <w:rFonts w:hint="eastAsia" w:asciiTheme="minorEastAsia" w:hAnsiTheme="minorEastAsia" w:eastAsiaTheme="minorEastAsia" w:cstheme="minorEastAsia"/>
          <w:b/>
          <w:color w:val="auto"/>
          <w:szCs w:val="24"/>
          <w:highlight w:val="none"/>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5"/>
        <w:spacing w:line="440" w:lineRule="exact"/>
        <w:rPr>
          <w:rFonts w:asciiTheme="minorEastAsia" w:hAnsiTheme="minorEastAsia" w:eastAsiaTheme="minorEastAsia" w:cstheme="minorEastAsia"/>
          <w:b/>
          <w:color w:val="auto"/>
          <w:szCs w:val="24"/>
          <w:highlight w:val="none"/>
        </w:rPr>
      </w:pPr>
      <w:bookmarkStart w:id="70" w:name="_Toc319407840"/>
      <w:bookmarkStart w:id="71" w:name="_Toc152042315"/>
      <w:bookmarkStart w:id="72" w:name="_Toc144974507"/>
      <w:bookmarkStart w:id="73" w:name="_Toc319408075"/>
      <w:bookmarkStart w:id="74" w:name="_Toc322615401"/>
      <w:bookmarkStart w:id="75" w:name="_Toc926"/>
      <w:bookmarkStart w:id="76" w:name="_Toc152045539"/>
      <w:bookmarkStart w:id="77" w:name="_Toc245036606"/>
      <w:bookmarkStart w:id="78" w:name="_Toc392345918"/>
      <w:bookmarkStart w:id="79" w:name="_Toc323711753"/>
      <w:r>
        <w:rPr>
          <w:rFonts w:hint="eastAsia" w:asciiTheme="minorEastAsia" w:hAnsiTheme="minorEastAsia" w:eastAsiaTheme="minorEastAsia" w:cstheme="minorEastAsia"/>
          <w:b/>
          <w:color w:val="auto"/>
          <w:szCs w:val="24"/>
          <w:highlight w:val="none"/>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5"/>
        <w:spacing w:line="440" w:lineRule="exact"/>
        <w:rPr>
          <w:rFonts w:asciiTheme="minorEastAsia" w:hAnsiTheme="minorEastAsia" w:eastAsiaTheme="minorEastAsia" w:cstheme="minorEastAsia"/>
          <w:b/>
          <w:color w:val="auto"/>
          <w:szCs w:val="24"/>
          <w:highlight w:val="none"/>
        </w:rPr>
      </w:pPr>
      <w:bookmarkStart w:id="80" w:name="_Toc392345919"/>
      <w:bookmarkStart w:id="81" w:name="_Toc322615402"/>
      <w:bookmarkStart w:id="82" w:name="_Toc152045540"/>
      <w:bookmarkStart w:id="83" w:name="_Toc319408076"/>
      <w:bookmarkStart w:id="84" w:name="_Toc152042316"/>
      <w:bookmarkStart w:id="85" w:name="_Toc245036607"/>
      <w:bookmarkStart w:id="86" w:name="_Toc319407841"/>
      <w:bookmarkStart w:id="87" w:name="_Toc323711754"/>
      <w:bookmarkStart w:id="88" w:name="_Toc144974508"/>
      <w:bookmarkStart w:id="89" w:name="_Toc1967"/>
      <w:r>
        <w:rPr>
          <w:rFonts w:hint="eastAsia" w:asciiTheme="minorEastAsia" w:hAnsiTheme="minorEastAsia" w:eastAsiaTheme="minorEastAsia" w:cstheme="minorEastAsia"/>
          <w:b/>
          <w:color w:val="auto"/>
          <w:szCs w:val="24"/>
          <w:highlight w:val="none"/>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color w:val="auto"/>
          <w:szCs w:val="24"/>
          <w:highlight w:val="none"/>
        </w:rPr>
        <w:t>投标预备会</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90" w:name="_Toc27344"/>
      <w:r>
        <w:rPr>
          <w:rFonts w:hint="eastAsia" w:asciiTheme="minorEastAsia" w:hAnsiTheme="minorEastAsia" w:eastAsiaTheme="minorEastAsia" w:cstheme="minorEastAsia"/>
          <w:b/>
          <w:color w:val="auto"/>
          <w:szCs w:val="24"/>
          <w:highlight w:val="none"/>
        </w:rPr>
        <w:t>1.11分包</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5"/>
        <w:spacing w:line="440" w:lineRule="exact"/>
        <w:rPr>
          <w:rFonts w:asciiTheme="minorEastAsia" w:hAnsiTheme="minorEastAsia" w:eastAsiaTheme="minorEastAsia" w:cstheme="minorEastAsia"/>
          <w:b/>
          <w:color w:val="auto"/>
          <w:szCs w:val="24"/>
          <w:highlight w:val="none"/>
        </w:rPr>
      </w:pPr>
      <w:bookmarkStart w:id="91" w:name="_Toc13279"/>
      <w:r>
        <w:rPr>
          <w:rFonts w:hint="eastAsia" w:asciiTheme="minorEastAsia" w:hAnsiTheme="minorEastAsia" w:eastAsiaTheme="minorEastAsia" w:cstheme="minorEastAsia"/>
          <w:b/>
          <w:color w:val="auto"/>
          <w:szCs w:val="24"/>
          <w:highlight w:val="none"/>
        </w:rPr>
        <w:t>1.12偏离</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投标人须知前附表允许投标文件偏离招标文件某些要求的，偏离应当符合招标文件的规定。</w:t>
      </w:r>
    </w:p>
    <w:bookmarkEnd w:id="46"/>
    <w:bookmarkEnd w:id="47"/>
    <w:bookmarkEnd w:id="48"/>
    <w:bookmarkEnd w:id="49"/>
    <w:p>
      <w:pPr>
        <w:pStyle w:val="44"/>
        <w:spacing w:line="440" w:lineRule="exact"/>
        <w:rPr>
          <w:rFonts w:asciiTheme="minorEastAsia" w:hAnsiTheme="minorEastAsia" w:eastAsiaTheme="minorEastAsia" w:cstheme="minorEastAsia"/>
          <w:color w:val="auto"/>
          <w:sz w:val="24"/>
          <w:szCs w:val="24"/>
          <w:highlight w:val="none"/>
        </w:rPr>
      </w:pPr>
      <w:bookmarkStart w:id="92" w:name="_Toc17"/>
      <w:bookmarkStart w:id="93" w:name="_Toc323711757"/>
      <w:bookmarkStart w:id="94" w:name="_Toc245036610"/>
      <w:bookmarkStart w:id="95" w:name="_Toc392345920"/>
      <w:bookmarkStart w:id="96" w:name="_Toc229646728"/>
      <w:bookmarkStart w:id="97" w:name="_Toc152045546"/>
      <w:bookmarkStart w:id="98" w:name="_Toc152042322"/>
      <w:bookmarkStart w:id="99" w:name="_Toc144974514"/>
      <w:bookmarkStart w:id="100" w:name="_Toc152042324"/>
      <w:bookmarkStart w:id="101" w:name="_Toc229646730"/>
      <w:bookmarkStart w:id="102" w:name="_Toc152045548"/>
      <w:bookmarkStart w:id="103" w:name="_Toc144974516"/>
      <w:r>
        <w:rPr>
          <w:rFonts w:hint="eastAsia" w:asciiTheme="minorEastAsia" w:hAnsiTheme="minorEastAsia" w:eastAsiaTheme="minorEastAsia" w:cstheme="minorEastAsia"/>
          <w:color w:val="auto"/>
          <w:sz w:val="24"/>
          <w:szCs w:val="24"/>
          <w:highlight w:val="none"/>
        </w:rPr>
        <w:t>2. 招标文件</w:t>
      </w:r>
      <w:bookmarkEnd w:id="92"/>
      <w:bookmarkEnd w:id="93"/>
      <w:bookmarkEnd w:id="94"/>
      <w:bookmarkEnd w:id="95"/>
    </w:p>
    <w:p>
      <w:pPr>
        <w:pStyle w:val="45"/>
        <w:spacing w:line="440" w:lineRule="exact"/>
        <w:rPr>
          <w:rFonts w:asciiTheme="minorEastAsia" w:hAnsiTheme="minorEastAsia" w:eastAsiaTheme="minorEastAsia" w:cstheme="minorEastAsia"/>
          <w:b/>
          <w:color w:val="auto"/>
          <w:szCs w:val="24"/>
          <w:highlight w:val="none"/>
        </w:rPr>
      </w:pPr>
      <w:bookmarkStart w:id="104" w:name="_Toc152042319"/>
      <w:bookmarkStart w:id="105" w:name="_Toc319407845"/>
      <w:bookmarkStart w:id="106" w:name="_Toc323711758"/>
      <w:bookmarkStart w:id="107" w:name="_Toc152045543"/>
      <w:bookmarkStart w:id="108" w:name="_Toc392345921"/>
      <w:bookmarkStart w:id="109" w:name="_Toc322615406"/>
      <w:bookmarkStart w:id="110" w:name="_Toc245036611"/>
      <w:bookmarkStart w:id="111" w:name="_Toc319408080"/>
      <w:bookmarkStart w:id="112" w:name="_Toc144974511"/>
      <w:bookmarkStart w:id="113" w:name="_Toc26955"/>
      <w:r>
        <w:rPr>
          <w:rFonts w:hint="eastAsia" w:asciiTheme="minorEastAsia" w:hAnsiTheme="minorEastAsia" w:eastAsiaTheme="minorEastAsia" w:cstheme="minorEastAsia"/>
          <w:b/>
          <w:color w:val="auto"/>
          <w:szCs w:val="24"/>
          <w:highlight w:val="none"/>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5"/>
        <w:spacing w:line="440" w:lineRule="exact"/>
        <w:rPr>
          <w:rFonts w:asciiTheme="minorEastAsia" w:hAnsiTheme="minorEastAsia" w:eastAsiaTheme="minorEastAsia" w:cstheme="minorEastAsia"/>
          <w:b/>
          <w:color w:val="auto"/>
          <w:szCs w:val="24"/>
          <w:highlight w:val="none"/>
        </w:rPr>
      </w:pPr>
      <w:bookmarkStart w:id="114" w:name="_Toc322615407"/>
      <w:bookmarkStart w:id="115" w:name="_Toc319407846"/>
      <w:bookmarkStart w:id="116" w:name="_Toc14430"/>
      <w:bookmarkStart w:id="117" w:name="_Toc144974512"/>
      <w:bookmarkStart w:id="118" w:name="_Toc152045544"/>
      <w:bookmarkStart w:id="119" w:name="_Toc245036612"/>
      <w:bookmarkStart w:id="120" w:name="_Toc392345922"/>
      <w:bookmarkStart w:id="121" w:name="_Toc323711759"/>
      <w:bookmarkStart w:id="122" w:name="_Toc152042320"/>
      <w:bookmarkStart w:id="123" w:name="_Toc319408081"/>
      <w:r>
        <w:rPr>
          <w:rFonts w:hint="eastAsia" w:asciiTheme="minorEastAsia" w:hAnsiTheme="minorEastAsia" w:eastAsiaTheme="minorEastAsia" w:cstheme="minorEastAsia"/>
          <w:b/>
          <w:color w:val="auto"/>
          <w:szCs w:val="24"/>
          <w:highlight w:val="none"/>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color w:val="auto"/>
          <w:szCs w:val="24"/>
          <w:highlight w:val="none"/>
        </w:rPr>
        <w:t>和修改</w:t>
      </w:r>
    </w:p>
    <w:p>
      <w:pPr>
        <w:spacing w:line="360" w:lineRule="exact"/>
        <w:ind w:firstLine="480" w:firstLineChars="200"/>
        <w:rPr>
          <w:rFonts w:ascii="宋体" w:hAnsi="宋体"/>
          <w:color w:val="auto"/>
          <w:sz w:val="24"/>
          <w:szCs w:val="24"/>
          <w:highlight w:val="none"/>
        </w:rPr>
      </w:pPr>
      <w:bookmarkStart w:id="124" w:name="_Toc3662"/>
      <w:bookmarkStart w:id="125" w:name="_Toc392345924"/>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投标人确认收到招标文件澄清和修改内容的时间：见投标人须知前附表。</w:t>
      </w:r>
    </w:p>
    <w:p>
      <w:pPr>
        <w:pStyle w:val="44"/>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6"/>
      <w:bookmarkEnd w:id="97"/>
      <w:bookmarkEnd w:id="98"/>
      <w:bookmarkEnd w:id="99"/>
      <w:bookmarkEnd w:id="124"/>
      <w:bookmarkEnd w:id="125"/>
    </w:p>
    <w:p>
      <w:pPr>
        <w:pStyle w:val="45"/>
        <w:spacing w:line="440" w:lineRule="exact"/>
        <w:rPr>
          <w:rFonts w:asciiTheme="minorEastAsia" w:hAnsiTheme="minorEastAsia" w:eastAsiaTheme="minorEastAsia" w:cstheme="minorEastAsia"/>
          <w:b/>
          <w:color w:val="auto"/>
          <w:szCs w:val="24"/>
          <w:highlight w:val="none"/>
        </w:rPr>
      </w:pPr>
      <w:bookmarkStart w:id="126" w:name="_Toc144974515"/>
      <w:bookmarkStart w:id="127" w:name="_Toc229646729"/>
      <w:bookmarkStart w:id="128" w:name="_Toc392345925"/>
      <w:bookmarkStart w:id="129" w:name="_Toc152045547"/>
      <w:bookmarkStart w:id="130" w:name="_Toc152042323"/>
      <w:bookmarkStart w:id="131" w:name="_Toc22707"/>
      <w:r>
        <w:rPr>
          <w:rFonts w:hint="eastAsia" w:asciiTheme="minorEastAsia" w:hAnsiTheme="minorEastAsia" w:eastAsiaTheme="minorEastAsia" w:cstheme="minorEastAsia"/>
          <w:b/>
          <w:color w:val="auto"/>
          <w:szCs w:val="24"/>
          <w:highlight w:val="none"/>
        </w:rPr>
        <w:t>3.1 投标文件的组成</w:t>
      </w:r>
      <w:bookmarkEnd w:id="126"/>
      <w:bookmarkEnd w:id="127"/>
      <w:bookmarkEnd w:id="128"/>
      <w:bookmarkEnd w:id="129"/>
      <w:bookmarkEnd w:id="130"/>
      <w:bookmarkEnd w:id="131"/>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（3）投标报价表（格式四）</w:t>
      </w:r>
    </w:p>
    <w:p>
      <w:pPr>
        <w:pStyle w:val="8"/>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8"/>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☑（1）货物说明一览表（格式自拟）</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☑（2）技术响应表（格式自拟）</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☑（3）主要配置说明一览表（格式自拟）</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☑（4）技术规格偏离表（格式自拟）</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8"/>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8"/>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8"/>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5"/>
        <w:spacing w:line="440" w:lineRule="exact"/>
        <w:rPr>
          <w:rFonts w:asciiTheme="minorEastAsia" w:hAnsiTheme="minorEastAsia" w:eastAsiaTheme="minorEastAsia" w:cstheme="minorEastAsia"/>
          <w:b/>
          <w:color w:val="auto"/>
          <w:szCs w:val="24"/>
          <w:highlight w:val="none"/>
        </w:rPr>
      </w:pPr>
      <w:bookmarkStart w:id="132" w:name="_Toc5081"/>
      <w:bookmarkStart w:id="133" w:name="_Toc392345926"/>
      <w:r>
        <w:rPr>
          <w:rFonts w:hint="eastAsia" w:asciiTheme="minorEastAsia" w:hAnsiTheme="minorEastAsia" w:eastAsiaTheme="minorEastAsia" w:cstheme="minorEastAsia"/>
          <w:b/>
          <w:color w:val="auto"/>
          <w:szCs w:val="24"/>
          <w:highlight w:val="none"/>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color w:val="auto"/>
          <w:sz w:val="24"/>
          <w:szCs w:val="24"/>
          <w:highlight w:val="none"/>
        </w:rPr>
      </w:pPr>
      <w:bookmarkStart w:id="134" w:name="_Toc144974517"/>
      <w:bookmarkStart w:id="135" w:name="_Toc152045549"/>
      <w:bookmarkStart w:id="136" w:name="_Toc229646731"/>
      <w:bookmarkStart w:id="137" w:name="_Toc152042325"/>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38" w:name="_Toc392345927"/>
      <w:bookmarkStart w:id="139" w:name="_Toc22162"/>
      <w:r>
        <w:rPr>
          <w:rFonts w:hint="eastAsia" w:asciiTheme="minorEastAsia" w:hAnsiTheme="minorEastAsia" w:eastAsiaTheme="minorEastAsia" w:cstheme="minorEastAsia"/>
          <w:b/>
          <w:color w:val="auto"/>
          <w:szCs w:val="24"/>
          <w:highlight w:val="none"/>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color w:val="auto"/>
          <w:sz w:val="24"/>
          <w:szCs w:val="24"/>
          <w:highlight w:val="none"/>
        </w:rPr>
      </w:pPr>
      <w:bookmarkStart w:id="140" w:name="_Toc152045550"/>
      <w:bookmarkStart w:id="141" w:name="_Toc144974518"/>
      <w:bookmarkStart w:id="142" w:name="_Toc152042326"/>
      <w:bookmarkStart w:id="143" w:name="_Toc229646732"/>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5"/>
        <w:spacing w:line="440" w:lineRule="exact"/>
        <w:rPr>
          <w:rFonts w:asciiTheme="minorEastAsia" w:hAnsiTheme="minorEastAsia" w:eastAsiaTheme="minorEastAsia" w:cstheme="minorEastAsia"/>
          <w:b/>
          <w:color w:val="auto"/>
          <w:szCs w:val="24"/>
          <w:highlight w:val="none"/>
        </w:rPr>
      </w:pPr>
      <w:bookmarkStart w:id="144" w:name="_Toc10327"/>
      <w:bookmarkStart w:id="145" w:name="_Toc392345928"/>
      <w:r>
        <w:rPr>
          <w:rFonts w:hint="eastAsia" w:asciiTheme="minorEastAsia" w:hAnsiTheme="minorEastAsia" w:eastAsiaTheme="minorEastAsia" w:cstheme="minorEastAsia"/>
          <w:b/>
          <w:color w:val="auto"/>
          <w:szCs w:val="24"/>
          <w:highlight w:val="none"/>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color w:val="auto"/>
          <w:sz w:val="24"/>
          <w:szCs w:val="24"/>
          <w:highlight w:val="none"/>
        </w:rPr>
      </w:pPr>
      <w:bookmarkStart w:id="146" w:name="_Toc152042328"/>
      <w:bookmarkStart w:id="147" w:name="_Toc152045552"/>
      <w:bookmarkStart w:id="148" w:name="_Toc144974520"/>
      <w:bookmarkStart w:id="149" w:name="_Toc229646733"/>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(3)存在违反《招标投标法》第三十二条、第三十三条规定的违法情形的；</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(4)招标文件等材料约定的不予退还的其他情形；</w:t>
      </w:r>
    </w:p>
    <w:p>
      <w:pPr>
        <w:widowControl/>
        <w:ind w:left="210" w:leftChars="100" w:firstLine="240" w:firstLineChars="1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（5）其他法律法规规定情形。 </w:t>
      </w:r>
    </w:p>
    <w:bookmarkEnd w:id="146"/>
    <w:bookmarkEnd w:id="147"/>
    <w:bookmarkEnd w:id="148"/>
    <w:bookmarkEnd w:id="149"/>
    <w:p>
      <w:pPr>
        <w:pStyle w:val="45"/>
        <w:spacing w:line="440" w:lineRule="exact"/>
        <w:rPr>
          <w:rFonts w:asciiTheme="minorEastAsia" w:hAnsiTheme="minorEastAsia" w:eastAsiaTheme="minorEastAsia" w:cstheme="minorEastAsia"/>
          <w:b/>
          <w:color w:val="auto"/>
          <w:szCs w:val="24"/>
          <w:highlight w:val="none"/>
        </w:rPr>
      </w:pPr>
      <w:bookmarkStart w:id="150" w:name="_Toc152045553"/>
      <w:bookmarkStart w:id="151" w:name="_Toc323711767"/>
      <w:bookmarkStart w:id="152" w:name="_Toc319408089"/>
      <w:bookmarkStart w:id="153" w:name="_Toc322615415"/>
      <w:bookmarkStart w:id="154" w:name="_Toc144974521"/>
      <w:bookmarkStart w:id="155" w:name="_Toc152042329"/>
      <w:bookmarkStart w:id="156" w:name="_Toc245036620"/>
      <w:bookmarkStart w:id="157" w:name="_Toc319407854"/>
      <w:bookmarkStart w:id="158" w:name="_Toc16875"/>
      <w:bookmarkStart w:id="159" w:name="_Toc392345930"/>
      <w:bookmarkStart w:id="160" w:name="_Toc152045559"/>
      <w:bookmarkStart w:id="161" w:name="_Toc152042335"/>
      <w:bookmarkStart w:id="162" w:name="_Toc229646740"/>
      <w:bookmarkStart w:id="163" w:name="_Toc144974527"/>
      <w:r>
        <w:rPr>
          <w:rFonts w:hint="eastAsia" w:asciiTheme="minorEastAsia" w:hAnsiTheme="minorEastAsia" w:eastAsiaTheme="minorEastAsia" w:cstheme="minorEastAsia"/>
          <w:b/>
          <w:color w:val="auto"/>
          <w:szCs w:val="24"/>
          <w:highlight w:val="none"/>
        </w:rPr>
        <w:t>3.</w:t>
      </w:r>
      <w:bookmarkEnd w:id="150"/>
      <w:bookmarkEnd w:id="151"/>
      <w:bookmarkEnd w:id="152"/>
      <w:bookmarkEnd w:id="153"/>
      <w:bookmarkEnd w:id="154"/>
      <w:bookmarkEnd w:id="155"/>
      <w:bookmarkEnd w:id="156"/>
      <w:bookmarkEnd w:id="157"/>
      <w:bookmarkStart w:id="164" w:name="_Toc322615416"/>
      <w:bookmarkStart w:id="165" w:name="_Toc323711768"/>
      <w:bookmarkStart w:id="166" w:name="_Toc319408090"/>
      <w:bookmarkStart w:id="167" w:name="_Toc319407855"/>
      <w:bookmarkStart w:id="168" w:name="_Toc245036621"/>
      <w:r>
        <w:rPr>
          <w:rFonts w:hint="eastAsia" w:asciiTheme="minorEastAsia" w:hAnsiTheme="minorEastAsia" w:eastAsiaTheme="minorEastAsia" w:cstheme="minorEastAsia"/>
          <w:b/>
          <w:color w:val="auto"/>
          <w:szCs w:val="24"/>
          <w:highlight w:val="none"/>
        </w:rPr>
        <w:t>5资格审查资料</w:t>
      </w:r>
      <w:bookmarkEnd w:id="158"/>
    </w:p>
    <w:p>
      <w:pPr>
        <w:ind w:firstLine="480" w:firstLineChars="200"/>
        <w:rPr>
          <w:rFonts w:asciiTheme="minorEastAsia" w:hAnsiTheme="minorEastAsia" w:eastAsiaTheme="minorEastAsia" w:cstheme="minorEastAsia"/>
          <w:strike/>
          <w:color w:val="auto"/>
          <w:sz w:val="24"/>
          <w:szCs w:val="24"/>
          <w:highlight w:val="none"/>
        </w:rPr>
      </w:pPr>
      <w:bookmarkStart w:id="169" w:name="_Toc247527578"/>
      <w:bookmarkStart w:id="170" w:name="_Toc247513977"/>
      <w:bookmarkStart w:id="171" w:name="_Toc144974522"/>
      <w:bookmarkStart w:id="172" w:name="_Toc229646735"/>
      <w:bookmarkStart w:id="173" w:name="_Toc300834974"/>
      <w:bookmarkStart w:id="174" w:name="_Toc152042330"/>
      <w:bookmarkStart w:id="175" w:name="_Toc152045554"/>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9"/>
    <w:bookmarkEnd w:id="170"/>
    <w:bookmarkEnd w:id="171"/>
    <w:bookmarkEnd w:id="172"/>
    <w:bookmarkEnd w:id="173"/>
    <w:bookmarkEnd w:id="174"/>
    <w:bookmarkEnd w:id="175"/>
    <w:p>
      <w:pPr>
        <w:pStyle w:val="45"/>
        <w:spacing w:line="440" w:lineRule="exact"/>
        <w:rPr>
          <w:rFonts w:asciiTheme="minorEastAsia" w:hAnsiTheme="minorEastAsia" w:eastAsiaTheme="minorEastAsia" w:cstheme="minorEastAsia"/>
          <w:b/>
          <w:strike/>
          <w:color w:val="auto"/>
          <w:szCs w:val="24"/>
          <w:highlight w:val="none"/>
        </w:rPr>
      </w:pPr>
      <w:bookmarkStart w:id="176" w:name="_Toc29305"/>
      <w:r>
        <w:rPr>
          <w:rFonts w:asciiTheme="minorEastAsia" w:hAnsiTheme="minorEastAsia" w:eastAsiaTheme="minorEastAsia" w:cstheme="minorEastAsia"/>
          <w:b/>
          <w:strike/>
          <w:color w:val="auto"/>
          <w:szCs w:val="24"/>
          <w:highlight w:val="none"/>
        </w:rPr>
        <w:t>3.6备选投标方案</w:t>
      </w:r>
      <w:bookmarkEnd w:id="176"/>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5"/>
        <w:spacing w:line="440" w:lineRule="exact"/>
        <w:rPr>
          <w:rFonts w:asciiTheme="minorEastAsia" w:hAnsiTheme="minorEastAsia" w:eastAsiaTheme="minorEastAsia" w:cstheme="minorEastAsia"/>
          <w:b/>
          <w:color w:val="auto"/>
          <w:szCs w:val="24"/>
          <w:highlight w:val="none"/>
        </w:rPr>
      </w:pPr>
      <w:bookmarkStart w:id="177" w:name="_Toc11039"/>
      <w:r>
        <w:rPr>
          <w:rFonts w:hint="eastAsia" w:asciiTheme="minorEastAsia" w:hAnsiTheme="minorEastAsia" w:eastAsiaTheme="minorEastAsia" w:cstheme="minorEastAsia"/>
          <w:b/>
          <w:color w:val="auto"/>
          <w:szCs w:val="24"/>
          <w:highlight w:val="none"/>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8" w:name="_Toc152045555"/>
      <w:bookmarkStart w:id="179" w:name="_Toc152042331"/>
      <w:bookmarkStart w:id="180" w:name="_Toc323711769"/>
      <w:bookmarkStart w:id="181" w:name="_Toc245036622"/>
      <w:bookmarkStart w:id="182" w:name="_Toc144974523"/>
      <w:bookmarkStart w:id="183" w:name="_Toc392345931"/>
      <w:r>
        <w:rPr>
          <w:rFonts w:hint="eastAsia" w:asciiTheme="minorEastAsia" w:hAnsiTheme="minorEastAsia" w:eastAsiaTheme="minorEastAsia" w:cstheme="minorEastAsia"/>
          <w:color w:val="auto"/>
          <w:sz w:val="24"/>
          <w:szCs w:val="24"/>
          <w:highlight w:val="none"/>
        </w:rPr>
        <w:t>具体装订要求见投标人须知前附表规定。</w:t>
      </w:r>
    </w:p>
    <w:p>
      <w:pPr>
        <w:pStyle w:val="44"/>
        <w:spacing w:line="440" w:lineRule="exact"/>
        <w:rPr>
          <w:rFonts w:asciiTheme="minorEastAsia" w:hAnsiTheme="minorEastAsia" w:eastAsiaTheme="minorEastAsia" w:cstheme="minorEastAsia"/>
          <w:color w:val="auto"/>
          <w:sz w:val="24"/>
          <w:szCs w:val="24"/>
          <w:highlight w:val="none"/>
        </w:rPr>
      </w:pPr>
      <w:bookmarkStart w:id="184" w:name="_Toc7085"/>
      <w:r>
        <w:rPr>
          <w:rFonts w:hint="eastAsia" w:asciiTheme="minorEastAsia" w:hAnsiTheme="minorEastAsia" w:eastAsiaTheme="minorEastAsia" w:cstheme="minorEastAsia"/>
          <w:color w:val="auto"/>
          <w:sz w:val="24"/>
          <w:szCs w:val="24"/>
          <w:highlight w:val="none"/>
        </w:rPr>
        <w:t>4. 投标</w:t>
      </w:r>
      <w:bookmarkEnd w:id="178"/>
      <w:bookmarkEnd w:id="179"/>
      <w:bookmarkEnd w:id="180"/>
      <w:bookmarkEnd w:id="181"/>
      <w:bookmarkEnd w:id="182"/>
      <w:bookmarkEnd w:id="183"/>
      <w:bookmarkEnd w:id="184"/>
    </w:p>
    <w:p>
      <w:pPr>
        <w:pStyle w:val="45"/>
        <w:spacing w:line="440" w:lineRule="exact"/>
        <w:rPr>
          <w:rFonts w:asciiTheme="minorEastAsia" w:hAnsiTheme="minorEastAsia" w:eastAsiaTheme="minorEastAsia" w:cstheme="minorEastAsia"/>
          <w:b/>
          <w:color w:val="auto"/>
          <w:szCs w:val="24"/>
          <w:highlight w:val="none"/>
        </w:rPr>
      </w:pPr>
      <w:bookmarkStart w:id="185" w:name="_Toc319407857"/>
      <w:bookmarkStart w:id="186" w:name="_Toc144974524"/>
      <w:bookmarkStart w:id="187" w:name="_Toc152042332"/>
      <w:bookmarkStart w:id="188" w:name="_Toc322615418"/>
      <w:bookmarkStart w:id="189" w:name="_Toc392345932"/>
      <w:bookmarkStart w:id="190" w:name="_Toc245036623"/>
      <w:bookmarkStart w:id="191" w:name="_Toc20016"/>
      <w:bookmarkStart w:id="192" w:name="_Toc152045556"/>
      <w:bookmarkStart w:id="193" w:name="_Toc319408092"/>
      <w:bookmarkStart w:id="194" w:name="_Toc323711770"/>
      <w:r>
        <w:rPr>
          <w:rFonts w:hint="eastAsia" w:asciiTheme="minorEastAsia" w:hAnsiTheme="minorEastAsia" w:eastAsiaTheme="minorEastAsia" w:cstheme="minorEastAsia"/>
          <w:b/>
          <w:color w:val="auto"/>
          <w:szCs w:val="24"/>
          <w:highlight w:val="none"/>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w:t>
      </w:r>
      <w:r>
        <w:rPr>
          <w:rFonts w:hint="eastAsia" w:ascii="宋体" w:hAnsi="宋体" w:cs="宋体"/>
          <w:b/>
          <w:bCs/>
          <w:color w:val="auto"/>
          <w:sz w:val="24"/>
          <w:szCs w:val="24"/>
          <w:highlight w:val="none"/>
        </w:rPr>
        <w:t>投标文件的正本副本统一包装在一个密封袋内</w:t>
      </w:r>
      <w:r>
        <w:rPr>
          <w:rFonts w:hint="eastAsia" w:asciiTheme="minorEastAsia" w:hAnsiTheme="minorEastAsia" w:eastAsiaTheme="minorEastAsia" w:cstheme="minorEastAsia"/>
          <w:color w:val="auto"/>
          <w:sz w:val="24"/>
          <w:szCs w:val="24"/>
          <w:highlight w:val="none"/>
        </w:rPr>
        <w:t>（包装要求见投标人须知前附表）。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195" w:name="_Toc144974525"/>
      <w:bookmarkStart w:id="196" w:name="_Toc322615419"/>
      <w:bookmarkStart w:id="197" w:name="_Toc319408093"/>
      <w:bookmarkStart w:id="198" w:name="_Toc28433"/>
      <w:bookmarkStart w:id="199" w:name="_Toc392345933"/>
      <w:bookmarkStart w:id="200" w:name="_Toc319407858"/>
      <w:bookmarkStart w:id="201" w:name="_Toc245036624"/>
      <w:bookmarkStart w:id="202" w:name="_Toc323711771"/>
      <w:bookmarkStart w:id="203" w:name="_Toc152042333"/>
      <w:bookmarkStart w:id="204" w:name="_Toc152045557"/>
      <w:r>
        <w:rPr>
          <w:rFonts w:hint="eastAsia" w:asciiTheme="minorEastAsia" w:hAnsiTheme="minorEastAsia" w:eastAsiaTheme="minorEastAsia" w:cstheme="minorEastAsia"/>
          <w:b/>
          <w:color w:val="auto"/>
          <w:szCs w:val="24"/>
          <w:highlight w:val="none"/>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5"/>
        <w:spacing w:line="440" w:lineRule="exact"/>
        <w:rPr>
          <w:rFonts w:asciiTheme="minorEastAsia" w:hAnsiTheme="minorEastAsia" w:eastAsiaTheme="minorEastAsia" w:cstheme="minorEastAsia"/>
          <w:b/>
          <w:color w:val="auto"/>
          <w:szCs w:val="24"/>
          <w:highlight w:val="none"/>
        </w:rPr>
      </w:pPr>
      <w:bookmarkStart w:id="205" w:name="_Toc392345934"/>
      <w:bookmarkStart w:id="206" w:name="_Toc322615420"/>
      <w:bookmarkStart w:id="207" w:name="_Toc245036625"/>
      <w:bookmarkStart w:id="208" w:name="_Toc152042334"/>
      <w:bookmarkStart w:id="209" w:name="_Toc319407859"/>
      <w:bookmarkStart w:id="210" w:name="_Toc323711772"/>
      <w:bookmarkStart w:id="211" w:name="_Toc144974526"/>
      <w:bookmarkStart w:id="212" w:name="_Toc319408094"/>
      <w:bookmarkStart w:id="213" w:name="_Toc21598"/>
      <w:bookmarkStart w:id="214" w:name="_Toc152045558"/>
      <w:r>
        <w:rPr>
          <w:rFonts w:hint="eastAsia" w:asciiTheme="minorEastAsia" w:hAnsiTheme="minorEastAsia" w:eastAsiaTheme="minorEastAsia" w:cstheme="minorEastAsia"/>
          <w:b/>
          <w:color w:val="auto"/>
          <w:szCs w:val="24"/>
          <w:highlight w:val="none"/>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5"/>
        <w:spacing w:line="440" w:lineRule="exact"/>
        <w:rPr>
          <w:rFonts w:asciiTheme="minorEastAsia" w:hAnsiTheme="minorEastAsia" w:eastAsiaTheme="minorEastAsia" w:cstheme="minorEastAsia"/>
          <w:b/>
          <w:color w:val="auto"/>
          <w:szCs w:val="24"/>
          <w:highlight w:val="none"/>
        </w:rPr>
      </w:pPr>
      <w:bookmarkStart w:id="215" w:name="_Toc14614"/>
      <w:bookmarkStart w:id="216" w:name="_Toc392345935"/>
      <w:r>
        <w:rPr>
          <w:rFonts w:hint="eastAsia" w:asciiTheme="minorEastAsia" w:hAnsiTheme="minorEastAsia" w:eastAsiaTheme="minorEastAsia" w:cstheme="minorEastAsia"/>
          <w:b/>
          <w:color w:val="auto"/>
          <w:szCs w:val="24"/>
          <w:highlight w:val="none"/>
        </w:rPr>
        <w:t>4.4投标文件的拒收情形</w:t>
      </w:r>
      <w:bookmarkEnd w:id="215"/>
      <w:bookmarkEnd w:id="2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17" w:name="_Toc392345936"/>
      <w:bookmarkStart w:id="218" w:name="_Toc18369"/>
      <w:r>
        <w:rPr>
          <w:rFonts w:hint="eastAsia" w:asciiTheme="minorEastAsia" w:hAnsiTheme="minorEastAsia" w:eastAsiaTheme="minorEastAsia" w:cstheme="minorEastAsia"/>
          <w:color w:val="auto"/>
          <w:sz w:val="24"/>
          <w:szCs w:val="24"/>
          <w:highlight w:val="none"/>
        </w:rPr>
        <w:t>5. 开标</w:t>
      </w:r>
      <w:bookmarkEnd w:id="160"/>
      <w:bookmarkEnd w:id="161"/>
      <w:bookmarkEnd w:id="162"/>
      <w:bookmarkEnd w:id="163"/>
      <w:r>
        <w:rPr>
          <w:rFonts w:hint="eastAsia" w:asciiTheme="minorEastAsia" w:hAnsiTheme="minorEastAsia" w:eastAsiaTheme="minorEastAsia" w:cstheme="minorEastAsia"/>
          <w:color w:val="auto"/>
          <w:sz w:val="24"/>
          <w:szCs w:val="24"/>
          <w:highlight w:val="none"/>
        </w:rPr>
        <w:t>程序</w:t>
      </w:r>
      <w:bookmarkEnd w:id="217"/>
      <w:bookmarkEnd w:id="218"/>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5"/>
        <w:spacing w:line="440" w:lineRule="exact"/>
        <w:rPr>
          <w:rFonts w:asciiTheme="minorEastAsia" w:hAnsiTheme="minorEastAsia" w:eastAsiaTheme="minorEastAsia" w:cstheme="minorEastAsia"/>
          <w:b/>
          <w:color w:val="auto"/>
          <w:szCs w:val="24"/>
          <w:highlight w:val="none"/>
        </w:rPr>
      </w:pPr>
      <w:bookmarkStart w:id="219" w:name="_Toc152045560"/>
      <w:bookmarkStart w:id="220" w:name="_Toc152042336"/>
      <w:bookmarkStart w:id="221" w:name="_Toc229646741"/>
      <w:bookmarkStart w:id="222" w:name="_Toc144974528"/>
      <w:bookmarkStart w:id="223" w:name="_Toc392345937"/>
      <w:bookmarkStart w:id="224" w:name="_Toc13624"/>
      <w:r>
        <w:rPr>
          <w:rFonts w:hint="eastAsia" w:asciiTheme="minorEastAsia" w:hAnsiTheme="minorEastAsia" w:eastAsiaTheme="minorEastAsia" w:cstheme="minorEastAsia"/>
          <w:b/>
          <w:color w:val="auto"/>
          <w:szCs w:val="24"/>
          <w:highlight w:val="none"/>
        </w:rPr>
        <w:t>5.1 开标时间和地点</w:t>
      </w:r>
      <w:bookmarkEnd w:id="219"/>
      <w:bookmarkEnd w:id="220"/>
      <w:bookmarkEnd w:id="221"/>
      <w:bookmarkEnd w:id="222"/>
      <w:bookmarkEnd w:id="223"/>
      <w:r>
        <w:rPr>
          <w:rFonts w:hint="eastAsia" w:asciiTheme="minorEastAsia" w:hAnsiTheme="minorEastAsia" w:eastAsiaTheme="minorEastAsia" w:cstheme="minorEastAsia"/>
          <w:b/>
          <w:color w:val="auto"/>
          <w:szCs w:val="24"/>
          <w:highlight w:val="none"/>
        </w:rPr>
        <w:t>、参加开标会议的要求</w:t>
      </w:r>
      <w:bookmarkEnd w:id="2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25" w:name="_Toc152045561"/>
      <w:bookmarkStart w:id="226" w:name="_Toc152042337"/>
      <w:bookmarkStart w:id="227" w:name="_Toc144974529"/>
      <w:bookmarkStart w:id="228" w:name="_Toc28832"/>
      <w:bookmarkStart w:id="229" w:name="_Toc229646742"/>
      <w:bookmarkStart w:id="230" w:name="_Toc392345938"/>
      <w:r>
        <w:rPr>
          <w:rFonts w:hint="eastAsia" w:asciiTheme="minorEastAsia" w:hAnsiTheme="minorEastAsia" w:eastAsiaTheme="minorEastAsia" w:cstheme="minorEastAsia"/>
          <w:b/>
          <w:color w:val="auto"/>
          <w:szCs w:val="24"/>
          <w:highlight w:val="none"/>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color w:val="auto"/>
          <w:sz w:val="24"/>
          <w:szCs w:val="24"/>
          <w:highlight w:val="none"/>
        </w:rPr>
      </w:pPr>
      <w:bookmarkStart w:id="231" w:name="_Toc152042338"/>
      <w:bookmarkStart w:id="232" w:name="_Toc152045562"/>
      <w:bookmarkStart w:id="233" w:name="_Toc144974530"/>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4"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strike/>
          <w:color w:val="auto"/>
          <w:sz w:val="24"/>
          <w:szCs w:val="24"/>
          <w:highlight w:val="none"/>
        </w:rPr>
        <w:t>投标人代表</w:t>
      </w:r>
      <w:r>
        <w:rPr>
          <w:rFonts w:hint="eastAsia" w:asciiTheme="minorEastAsia" w:hAnsiTheme="minorEastAsia" w:eastAsiaTheme="minorEastAsia" w:cstheme="minorEastAsia"/>
          <w:b/>
          <w:bCs/>
          <w:color w:val="auto"/>
          <w:sz w:val="24"/>
          <w:szCs w:val="24"/>
          <w:highlight w:val="none"/>
        </w:rPr>
        <w:t>（投标人不需签字确认）</w:t>
      </w:r>
      <w:r>
        <w:rPr>
          <w:rFonts w:hint="eastAsia" w:asciiTheme="minorEastAsia" w:hAnsiTheme="minorEastAsia" w:eastAsiaTheme="minorEastAsia" w:cstheme="minorEastAsia"/>
          <w:color w:val="auto"/>
          <w:sz w:val="24"/>
          <w:szCs w:val="24"/>
          <w:highlight w:val="none"/>
        </w:rPr>
        <w:t>、招标人代表、监标人、记录人等有关人员在开标记录上签字确认；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5"/>
        <w:spacing w:line="440" w:lineRule="exact"/>
        <w:rPr>
          <w:rFonts w:asciiTheme="minorEastAsia" w:hAnsiTheme="minorEastAsia" w:eastAsiaTheme="minorEastAsia" w:cstheme="minorEastAsia"/>
          <w:b/>
          <w:color w:val="auto"/>
          <w:szCs w:val="24"/>
          <w:highlight w:val="none"/>
        </w:rPr>
      </w:pPr>
      <w:bookmarkStart w:id="235" w:name="_Toc392345939"/>
      <w:bookmarkStart w:id="236" w:name="_Toc624"/>
      <w:r>
        <w:rPr>
          <w:rFonts w:hint="eastAsia" w:asciiTheme="minorEastAsia" w:hAnsiTheme="minorEastAsia" w:eastAsiaTheme="minorEastAsia" w:cstheme="minorEastAsia"/>
          <w:b/>
          <w:color w:val="auto"/>
          <w:szCs w:val="24"/>
          <w:highlight w:val="none"/>
        </w:rPr>
        <w:t>5.3 开标异议</w:t>
      </w:r>
      <w:bookmarkEnd w:id="234"/>
      <w:bookmarkEnd w:id="235"/>
      <w:bookmarkEnd w:id="236"/>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4"/>
        <w:spacing w:line="440" w:lineRule="exact"/>
        <w:rPr>
          <w:rFonts w:asciiTheme="minorEastAsia" w:hAnsiTheme="minorEastAsia" w:eastAsiaTheme="minorEastAsia" w:cstheme="minorEastAsia"/>
          <w:color w:val="auto"/>
          <w:sz w:val="24"/>
          <w:szCs w:val="24"/>
          <w:highlight w:val="none"/>
        </w:rPr>
      </w:pPr>
      <w:bookmarkStart w:id="237" w:name="_Toc21142"/>
      <w:bookmarkStart w:id="238" w:name="_Toc229646744"/>
      <w:bookmarkStart w:id="239" w:name="_Toc392345940"/>
      <w:r>
        <w:rPr>
          <w:rFonts w:hint="eastAsia" w:asciiTheme="minorEastAsia" w:hAnsiTheme="minorEastAsia" w:eastAsiaTheme="minorEastAsia" w:cstheme="minorEastAsia"/>
          <w:color w:val="auto"/>
          <w:sz w:val="24"/>
          <w:szCs w:val="24"/>
          <w:highlight w:val="none"/>
        </w:rPr>
        <w:t>6. 评标</w:t>
      </w:r>
      <w:bookmarkEnd w:id="231"/>
      <w:bookmarkEnd w:id="232"/>
      <w:bookmarkEnd w:id="233"/>
      <w:bookmarkEnd w:id="237"/>
      <w:bookmarkEnd w:id="238"/>
      <w:bookmarkEnd w:id="239"/>
    </w:p>
    <w:p>
      <w:pPr>
        <w:pStyle w:val="45"/>
        <w:spacing w:line="440" w:lineRule="exact"/>
        <w:rPr>
          <w:rFonts w:asciiTheme="minorEastAsia" w:hAnsiTheme="minorEastAsia" w:eastAsiaTheme="minorEastAsia" w:cstheme="minorEastAsia"/>
          <w:b/>
          <w:color w:val="auto"/>
          <w:szCs w:val="24"/>
          <w:highlight w:val="none"/>
        </w:rPr>
      </w:pPr>
      <w:bookmarkStart w:id="240" w:name="_Toc229646745"/>
      <w:bookmarkStart w:id="241" w:name="_Toc152045563"/>
      <w:bookmarkStart w:id="242" w:name="_Toc152042339"/>
      <w:bookmarkStart w:id="243" w:name="_Toc144974531"/>
      <w:bookmarkStart w:id="244" w:name="_Toc7251"/>
      <w:bookmarkStart w:id="245" w:name="_Toc392345941"/>
      <w:r>
        <w:rPr>
          <w:rFonts w:hint="eastAsia" w:asciiTheme="minorEastAsia" w:hAnsiTheme="minorEastAsia" w:eastAsiaTheme="minorEastAsia" w:cstheme="minorEastAsia"/>
          <w:b/>
          <w:color w:val="auto"/>
          <w:szCs w:val="24"/>
          <w:highlight w:val="none"/>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color w:val="auto"/>
          <w:sz w:val="24"/>
          <w:szCs w:val="24"/>
          <w:highlight w:val="none"/>
        </w:rPr>
      </w:pPr>
      <w:bookmarkStart w:id="246" w:name="_Toc144974532"/>
      <w:bookmarkStart w:id="247" w:name="_Toc229646746"/>
      <w:bookmarkStart w:id="248" w:name="_Toc152045564"/>
      <w:bookmarkStart w:id="249" w:name="_Toc152042340"/>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5"/>
        <w:tabs>
          <w:tab w:val="left" w:pos="2620"/>
        </w:tabs>
        <w:spacing w:line="440" w:lineRule="exact"/>
        <w:rPr>
          <w:rFonts w:asciiTheme="minorEastAsia" w:hAnsiTheme="minorEastAsia" w:eastAsiaTheme="minorEastAsia" w:cstheme="minorEastAsia"/>
          <w:b/>
          <w:color w:val="auto"/>
          <w:szCs w:val="24"/>
          <w:highlight w:val="none"/>
        </w:rPr>
      </w:pPr>
      <w:bookmarkStart w:id="250" w:name="_Toc392345942"/>
      <w:bookmarkStart w:id="251" w:name="_Toc28610"/>
      <w:r>
        <w:rPr>
          <w:rFonts w:hint="eastAsia" w:asciiTheme="minorEastAsia" w:hAnsiTheme="minorEastAsia" w:eastAsiaTheme="minorEastAsia" w:cstheme="minorEastAsia"/>
          <w:b/>
          <w:color w:val="auto"/>
          <w:szCs w:val="24"/>
          <w:highlight w:val="none"/>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5"/>
        <w:spacing w:line="440" w:lineRule="exact"/>
        <w:rPr>
          <w:rFonts w:asciiTheme="minorEastAsia" w:hAnsiTheme="minorEastAsia" w:eastAsiaTheme="minorEastAsia" w:cstheme="minorEastAsia"/>
          <w:b/>
          <w:color w:val="auto"/>
          <w:szCs w:val="24"/>
          <w:highlight w:val="none"/>
          <w:u w:val="single"/>
        </w:rPr>
      </w:pPr>
      <w:bookmarkStart w:id="252" w:name="_Toc1522"/>
      <w:bookmarkStart w:id="253" w:name="_Toc229646747"/>
      <w:bookmarkStart w:id="254" w:name="_Toc152042341"/>
      <w:bookmarkStart w:id="255" w:name="_Toc144974533"/>
      <w:bookmarkStart w:id="256" w:name="_Toc152045565"/>
      <w:bookmarkStart w:id="257" w:name="_Toc392345943"/>
      <w:r>
        <w:rPr>
          <w:rFonts w:hint="eastAsia" w:asciiTheme="minorEastAsia" w:hAnsiTheme="minorEastAsia" w:eastAsiaTheme="minorEastAsia" w:cstheme="minorEastAsia"/>
          <w:b/>
          <w:color w:val="auto"/>
          <w:szCs w:val="24"/>
          <w:highlight w:val="none"/>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color w:val="auto"/>
          <w:sz w:val="24"/>
          <w:szCs w:val="24"/>
          <w:highlight w:val="none"/>
        </w:rPr>
      </w:pPr>
      <w:bookmarkStart w:id="258" w:name="_Toc152045566"/>
      <w:bookmarkStart w:id="259" w:name="_Toc152042342"/>
      <w:bookmarkStart w:id="260" w:name="_Toc144974534"/>
      <w:bookmarkStart w:id="261" w:name="_Toc229646748"/>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5"/>
        <w:spacing w:line="440" w:lineRule="exact"/>
        <w:rPr>
          <w:rFonts w:asciiTheme="minorEastAsia" w:hAnsiTheme="minorEastAsia" w:eastAsiaTheme="minorEastAsia" w:cstheme="minorEastAsia"/>
          <w:b/>
          <w:color w:val="auto"/>
          <w:szCs w:val="24"/>
          <w:highlight w:val="none"/>
        </w:rPr>
      </w:pPr>
      <w:bookmarkStart w:id="262" w:name="_Toc413488678"/>
      <w:bookmarkStart w:id="263" w:name="_Toc27286"/>
      <w:r>
        <w:rPr>
          <w:rFonts w:hint="eastAsia" w:asciiTheme="minorEastAsia" w:hAnsiTheme="minorEastAsia" w:eastAsiaTheme="minorEastAsia" w:cstheme="minorEastAsia"/>
          <w:b/>
          <w:color w:val="auto"/>
          <w:szCs w:val="24"/>
          <w:highlight w:val="none"/>
        </w:rPr>
        <w:t>6.4中标候选人公示媒介</w:t>
      </w:r>
      <w:bookmarkEnd w:id="262"/>
      <w:bookmarkEnd w:id="26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4"/>
        <w:spacing w:line="440" w:lineRule="exact"/>
        <w:rPr>
          <w:rFonts w:asciiTheme="minorEastAsia" w:hAnsiTheme="minorEastAsia" w:eastAsiaTheme="minorEastAsia" w:cstheme="minorEastAsia"/>
          <w:color w:val="auto"/>
          <w:sz w:val="24"/>
          <w:szCs w:val="24"/>
          <w:highlight w:val="none"/>
        </w:rPr>
      </w:pPr>
      <w:bookmarkStart w:id="264" w:name="_Toc31997"/>
      <w:bookmarkStart w:id="265" w:name="_Toc392345944"/>
      <w:r>
        <w:rPr>
          <w:rFonts w:hint="eastAsia" w:asciiTheme="minorEastAsia" w:hAnsiTheme="minorEastAsia" w:eastAsiaTheme="minorEastAsia" w:cstheme="minorEastAsia"/>
          <w:color w:val="auto"/>
          <w:sz w:val="24"/>
          <w:szCs w:val="24"/>
          <w:highlight w:val="none"/>
        </w:rPr>
        <w:t>7. 合同授予</w:t>
      </w:r>
      <w:bookmarkEnd w:id="258"/>
      <w:bookmarkEnd w:id="259"/>
      <w:bookmarkEnd w:id="260"/>
      <w:bookmarkEnd w:id="261"/>
      <w:bookmarkEnd w:id="264"/>
      <w:bookmarkEnd w:id="265"/>
    </w:p>
    <w:p>
      <w:pPr>
        <w:pStyle w:val="45"/>
        <w:spacing w:line="440" w:lineRule="exact"/>
        <w:rPr>
          <w:rFonts w:asciiTheme="minorEastAsia" w:hAnsiTheme="minorEastAsia" w:eastAsiaTheme="minorEastAsia" w:cstheme="minorEastAsia"/>
          <w:b/>
          <w:color w:val="auto"/>
          <w:szCs w:val="24"/>
          <w:highlight w:val="none"/>
        </w:rPr>
      </w:pPr>
      <w:bookmarkStart w:id="266" w:name="_Toc392345945"/>
      <w:bookmarkStart w:id="267" w:name="_Toc229646749"/>
      <w:bookmarkStart w:id="268" w:name="_Toc8962"/>
      <w:bookmarkStart w:id="269" w:name="_Toc144974535"/>
      <w:bookmarkStart w:id="270" w:name="_Toc152045567"/>
      <w:bookmarkStart w:id="271" w:name="_Toc152042343"/>
      <w:r>
        <w:rPr>
          <w:rFonts w:hint="eastAsia" w:asciiTheme="minorEastAsia" w:hAnsiTheme="minorEastAsia" w:eastAsiaTheme="minorEastAsia" w:cstheme="minorEastAsia"/>
          <w:b/>
          <w:color w:val="auto"/>
          <w:szCs w:val="24"/>
          <w:highlight w:val="none"/>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color w:val="auto"/>
          <w:sz w:val="24"/>
          <w:szCs w:val="24"/>
          <w:highlight w:val="none"/>
        </w:rPr>
      </w:pPr>
      <w:bookmarkStart w:id="272" w:name="_Toc152045568"/>
      <w:bookmarkStart w:id="273" w:name="_Toc144974536"/>
      <w:bookmarkStart w:id="274" w:name="_Toc229646750"/>
      <w:bookmarkStart w:id="275" w:name="_Toc152042344"/>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5"/>
        <w:spacing w:line="440" w:lineRule="exact"/>
        <w:rPr>
          <w:rFonts w:asciiTheme="minorEastAsia" w:hAnsiTheme="minorEastAsia" w:eastAsiaTheme="minorEastAsia" w:cstheme="minorEastAsia"/>
          <w:b/>
          <w:color w:val="auto"/>
          <w:szCs w:val="24"/>
          <w:highlight w:val="none"/>
        </w:rPr>
      </w:pPr>
      <w:bookmarkStart w:id="276" w:name="_Toc392345946"/>
      <w:bookmarkStart w:id="277" w:name="_Toc32437"/>
      <w:r>
        <w:rPr>
          <w:rFonts w:hint="eastAsia" w:asciiTheme="minorEastAsia" w:hAnsiTheme="minorEastAsia" w:eastAsiaTheme="minorEastAsia" w:cstheme="minorEastAsia"/>
          <w:b/>
          <w:color w:val="auto"/>
          <w:szCs w:val="24"/>
          <w:highlight w:val="none"/>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color w:val="auto"/>
          <w:sz w:val="24"/>
          <w:szCs w:val="24"/>
          <w:highlight w:val="none"/>
        </w:rPr>
      </w:pPr>
      <w:bookmarkStart w:id="278" w:name="_Toc229646751"/>
      <w:bookmarkStart w:id="279" w:name="_Toc152045569"/>
      <w:bookmarkStart w:id="280" w:name="_Toc152042345"/>
      <w:bookmarkStart w:id="281" w:name="_Toc144974537"/>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8"/>
    <w:bookmarkEnd w:id="279"/>
    <w:bookmarkEnd w:id="280"/>
    <w:bookmarkEnd w:id="281"/>
    <w:p>
      <w:pPr>
        <w:pStyle w:val="45"/>
        <w:spacing w:line="440" w:lineRule="exact"/>
        <w:rPr>
          <w:rFonts w:asciiTheme="minorEastAsia" w:hAnsiTheme="minorEastAsia" w:eastAsiaTheme="minorEastAsia" w:cstheme="minorEastAsia"/>
          <w:b/>
          <w:color w:val="auto"/>
          <w:szCs w:val="24"/>
          <w:highlight w:val="none"/>
        </w:rPr>
      </w:pPr>
      <w:bookmarkStart w:id="282" w:name="_Toc179632586"/>
      <w:bookmarkStart w:id="283" w:name="_Toc296602458"/>
      <w:bookmarkStart w:id="284" w:name="_Toc246996955"/>
      <w:bookmarkStart w:id="285" w:name="_Toc246996212"/>
      <w:bookmarkStart w:id="286" w:name="_Toc247085726"/>
      <w:bookmarkStart w:id="287" w:name="_Toc392345947"/>
      <w:bookmarkStart w:id="288" w:name="_Toc4618"/>
      <w:r>
        <w:rPr>
          <w:rFonts w:hint="eastAsia" w:asciiTheme="minorEastAsia" w:hAnsiTheme="minorEastAsia" w:eastAsiaTheme="minorEastAsia" w:cstheme="minorEastAsia"/>
          <w:b/>
          <w:color w:val="auto"/>
          <w:szCs w:val="24"/>
          <w:highlight w:val="none"/>
        </w:rPr>
        <w:t>7.3 中标通知</w:t>
      </w:r>
      <w:bookmarkEnd w:id="282"/>
      <w:bookmarkEnd w:id="283"/>
      <w:bookmarkEnd w:id="284"/>
      <w:bookmarkEnd w:id="285"/>
      <w:bookmarkEnd w:id="286"/>
      <w:bookmarkEnd w:id="287"/>
      <w:bookmarkEnd w:id="288"/>
    </w:p>
    <w:p>
      <w:pPr>
        <w:pStyle w:val="8"/>
        <w:ind w:firstLine="480"/>
        <w:rPr>
          <w:rFonts w:asciiTheme="minorEastAsia" w:hAnsiTheme="minorEastAsia" w:eastAsiaTheme="minorEastAsia" w:cstheme="minorEastAsia"/>
          <w:color w:val="auto"/>
          <w:sz w:val="24"/>
          <w:szCs w:val="24"/>
          <w:highlight w:val="none"/>
        </w:rPr>
      </w:pPr>
      <w:bookmarkStart w:id="289" w:name="_Toc392345948"/>
      <w:bookmarkStart w:id="290" w:name="_Toc296602459"/>
      <w:bookmarkStart w:id="291" w:name="_Toc247085727"/>
      <w:bookmarkStart w:id="292" w:name="_Toc246996956"/>
      <w:bookmarkStart w:id="293" w:name="_Toc246996213"/>
      <w:bookmarkStart w:id="294" w:name="_Toc179632587"/>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8"/>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5"/>
        <w:spacing w:line="440" w:lineRule="exact"/>
        <w:rPr>
          <w:rFonts w:asciiTheme="minorEastAsia" w:hAnsiTheme="minorEastAsia" w:eastAsiaTheme="minorEastAsia" w:cstheme="minorEastAsia"/>
          <w:b/>
          <w:color w:val="auto"/>
          <w:szCs w:val="24"/>
          <w:highlight w:val="none"/>
        </w:rPr>
      </w:pPr>
      <w:bookmarkStart w:id="295" w:name="_Toc30125"/>
      <w:r>
        <w:rPr>
          <w:rFonts w:hint="eastAsia" w:asciiTheme="minorEastAsia" w:hAnsiTheme="minorEastAsia" w:eastAsiaTheme="minorEastAsia" w:cstheme="minorEastAsia"/>
          <w:b/>
          <w:color w:val="auto"/>
          <w:szCs w:val="24"/>
          <w:highlight w:val="none"/>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color w:val="auto"/>
          <w:sz w:val="24"/>
          <w:szCs w:val="24"/>
          <w:highlight w:val="none"/>
        </w:rPr>
      </w:pPr>
      <w:bookmarkStart w:id="296" w:name="_Toc179632588"/>
      <w:bookmarkStart w:id="297" w:name="_Toc152045570"/>
      <w:bookmarkStart w:id="298" w:name="_Toc246996214"/>
      <w:bookmarkStart w:id="299" w:name="_Toc247085728"/>
      <w:bookmarkStart w:id="300" w:name="_Toc246996957"/>
      <w:bookmarkStart w:id="301" w:name="_Toc144974538"/>
      <w:bookmarkStart w:id="302" w:name="_Toc296602460"/>
      <w:bookmarkStart w:id="303" w:name="_Toc152042346"/>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5"/>
        <w:spacing w:line="440" w:lineRule="exact"/>
        <w:rPr>
          <w:rFonts w:asciiTheme="minorEastAsia" w:hAnsiTheme="minorEastAsia" w:eastAsiaTheme="minorEastAsia" w:cstheme="minorEastAsia"/>
          <w:b/>
          <w:color w:val="auto"/>
          <w:szCs w:val="24"/>
          <w:highlight w:val="none"/>
        </w:rPr>
      </w:pPr>
      <w:bookmarkStart w:id="304" w:name="_Toc392345949"/>
      <w:bookmarkStart w:id="305" w:name="_Toc32528"/>
      <w:r>
        <w:rPr>
          <w:rFonts w:hint="eastAsia" w:asciiTheme="minorEastAsia" w:hAnsiTheme="minorEastAsia" w:eastAsiaTheme="minorEastAsia" w:cstheme="minorEastAsia"/>
          <w:b/>
          <w:color w:val="auto"/>
          <w:szCs w:val="24"/>
          <w:highlight w:val="none"/>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4"/>
        <w:spacing w:line="440" w:lineRule="exact"/>
        <w:rPr>
          <w:rFonts w:asciiTheme="minorEastAsia" w:hAnsiTheme="minorEastAsia" w:eastAsiaTheme="minorEastAsia" w:cstheme="minorEastAsia"/>
          <w:color w:val="auto"/>
          <w:sz w:val="24"/>
          <w:szCs w:val="24"/>
          <w:highlight w:val="none"/>
        </w:rPr>
      </w:pPr>
      <w:bookmarkStart w:id="306" w:name="_Toc245036638"/>
      <w:bookmarkStart w:id="307" w:name="_Toc152045571"/>
      <w:bookmarkStart w:id="308" w:name="_Toc152042347"/>
      <w:bookmarkStart w:id="309" w:name="_Toc24179"/>
      <w:bookmarkStart w:id="310" w:name="_Toc323711786"/>
      <w:bookmarkStart w:id="311" w:name="_Toc144974539"/>
      <w:bookmarkStart w:id="312" w:name="_Toc392345950"/>
      <w:r>
        <w:rPr>
          <w:rFonts w:hint="eastAsia" w:asciiTheme="minorEastAsia" w:hAnsiTheme="minorEastAsia" w:eastAsiaTheme="minorEastAsia" w:cstheme="minorEastAsia"/>
          <w:color w:val="auto"/>
          <w:sz w:val="24"/>
          <w:szCs w:val="24"/>
          <w:highlight w:val="none"/>
        </w:rPr>
        <w:t>8. 重新招标和不再招标</w:t>
      </w:r>
      <w:bookmarkEnd w:id="306"/>
      <w:bookmarkEnd w:id="307"/>
      <w:bookmarkEnd w:id="308"/>
      <w:bookmarkEnd w:id="309"/>
      <w:bookmarkEnd w:id="310"/>
      <w:bookmarkEnd w:id="311"/>
      <w:bookmarkEnd w:id="312"/>
    </w:p>
    <w:p>
      <w:pPr>
        <w:pStyle w:val="45"/>
        <w:spacing w:line="440" w:lineRule="exact"/>
        <w:rPr>
          <w:rFonts w:asciiTheme="minorEastAsia" w:hAnsiTheme="minorEastAsia" w:eastAsiaTheme="minorEastAsia" w:cstheme="minorEastAsia"/>
          <w:b/>
          <w:color w:val="auto"/>
          <w:szCs w:val="24"/>
          <w:highlight w:val="none"/>
        </w:rPr>
      </w:pPr>
      <w:bookmarkStart w:id="313" w:name="_Toc319407873"/>
      <w:bookmarkStart w:id="314" w:name="_Toc245036639"/>
      <w:bookmarkStart w:id="315" w:name="_Toc319408108"/>
      <w:bookmarkStart w:id="316" w:name="_Toc144974540"/>
      <w:bookmarkStart w:id="317" w:name="_Toc152045572"/>
      <w:bookmarkStart w:id="318" w:name="_Toc323711787"/>
      <w:bookmarkStart w:id="319" w:name="_Toc152042348"/>
      <w:bookmarkStart w:id="320" w:name="_Toc392345951"/>
      <w:bookmarkStart w:id="321" w:name="_Toc17490"/>
      <w:bookmarkStart w:id="322" w:name="_Toc322615435"/>
      <w:r>
        <w:rPr>
          <w:rFonts w:hint="eastAsia" w:asciiTheme="minorEastAsia" w:hAnsiTheme="minorEastAsia" w:eastAsiaTheme="minorEastAsia" w:cstheme="minorEastAsia"/>
          <w:b/>
          <w:color w:val="auto"/>
          <w:szCs w:val="24"/>
          <w:highlight w:val="none"/>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（2）经评标委员会评审后确定的有效投标少于3个的。</w:t>
      </w:r>
    </w:p>
    <w:p>
      <w:pPr>
        <w:pStyle w:val="45"/>
        <w:spacing w:line="440" w:lineRule="exact"/>
        <w:rPr>
          <w:rFonts w:asciiTheme="minorEastAsia" w:hAnsiTheme="minorEastAsia" w:eastAsiaTheme="minorEastAsia" w:cstheme="minorEastAsia"/>
          <w:b/>
          <w:color w:val="auto"/>
          <w:szCs w:val="24"/>
          <w:highlight w:val="none"/>
        </w:rPr>
      </w:pPr>
      <w:bookmarkStart w:id="323" w:name="_Toc323711788"/>
      <w:bookmarkStart w:id="324" w:name="_Toc319407874"/>
      <w:bookmarkStart w:id="325" w:name="_Toc25234"/>
      <w:bookmarkStart w:id="326" w:name="_Toc152045573"/>
      <w:bookmarkStart w:id="327" w:name="_Toc245036640"/>
      <w:bookmarkStart w:id="328" w:name="_Toc392345952"/>
      <w:bookmarkStart w:id="329" w:name="_Toc152042349"/>
      <w:bookmarkStart w:id="330" w:name="_Toc144974541"/>
      <w:bookmarkStart w:id="331" w:name="_Toc322615436"/>
      <w:bookmarkStart w:id="332" w:name="_Toc319408109"/>
      <w:r>
        <w:rPr>
          <w:rFonts w:hint="eastAsia" w:asciiTheme="minorEastAsia" w:hAnsiTheme="minorEastAsia" w:eastAsiaTheme="minorEastAsia" w:cstheme="minorEastAsia"/>
          <w:b/>
          <w:color w:val="auto"/>
          <w:szCs w:val="24"/>
          <w:highlight w:val="none"/>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4"/>
        <w:spacing w:line="440" w:lineRule="exact"/>
        <w:rPr>
          <w:rFonts w:asciiTheme="minorEastAsia" w:hAnsiTheme="minorEastAsia" w:eastAsiaTheme="minorEastAsia" w:cstheme="minorEastAsia"/>
          <w:color w:val="auto"/>
          <w:sz w:val="24"/>
          <w:szCs w:val="24"/>
          <w:highlight w:val="none"/>
        </w:rPr>
      </w:pPr>
      <w:bookmarkStart w:id="333" w:name="_Toc392345953"/>
      <w:bookmarkStart w:id="334" w:name="_Toc323711789"/>
      <w:bookmarkStart w:id="335" w:name="_Toc245036641"/>
      <w:bookmarkStart w:id="336" w:name="_Toc144974542"/>
      <w:bookmarkStart w:id="337" w:name="_Toc17513"/>
      <w:bookmarkStart w:id="338" w:name="_Toc152045574"/>
      <w:bookmarkStart w:id="339" w:name="_Toc152042350"/>
      <w:r>
        <w:rPr>
          <w:rFonts w:hint="eastAsia" w:asciiTheme="minorEastAsia" w:hAnsiTheme="minorEastAsia" w:eastAsiaTheme="minorEastAsia" w:cstheme="minorEastAsia"/>
          <w:color w:val="auto"/>
          <w:sz w:val="24"/>
          <w:szCs w:val="24"/>
          <w:highlight w:val="none"/>
        </w:rPr>
        <w:t>9. 纪律和监督</w:t>
      </w:r>
      <w:bookmarkEnd w:id="333"/>
      <w:bookmarkEnd w:id="334"/>
      <w:bookmarkEnd w:id="335"/>
      <w:bookmarkEnd w:id="336"/>
      <w:bookmarkEnd w:id="337"/>
      <w:bookmarkEnd w:id="338"/>
      <w:bookmarkEnd w:id="339"/>
    </w:p>
    <w:p>
      <w:pPr>
        <w:pStyle w:val="45"/>
        <w:spacing w:line="440" w:lineRule="exact"/>
        <w:rPr>
          <w:rFonts w:asciiTheme="minorEastAsia" w:hAnsiTheme="minorEastAsia" w:eastAsiaTheme="minorEastAsia" w:cstheme="minorEastAsia"/>
          <w:b/>
          <w:color w:val="auto"/>
          <w:szCs w:val="24"/>
          <w:highlight w:val="none"/>
        </w:rPr>
      </w:pPr>
      <w:bookmarkStart w:id="340" w:name="_Toc392345954"/>
      <w:bookmarkStart w:id="341" w:name="_Toc9358"/>
      <w:bookmarkStart w:id="342" w:name="_Toc319408111"/>
      <w:bookmarkStart w:id="343" w:name="_Toc245036642"/>
      <w:bookmarkStart w:id="344" w:name="_Toc144974543"/>
      <w:bookmarkStart w:id="345" w:name="_Toc152045575"/>
      <w:bookmarkStart w:id="346" w:name="_Toc152042351"/>
      <w:bookmarkStart w:id="347" w:name="_Toc319407876"/>
      <w:bookmarkStart w:id="348" w:name="_Toc323711790"/>
      <w:bookmarkStart w:id="349" w:name="_Toc322615438"/>
      <w:r>
        <w:rPr>
          <w:rFonts w:hint="eastAsia" w:asciiTheme="minorEastAsia" w:hAnsiTheme="minorEastAsia" w:eastAsiaTheme="minorEastAsia" w:cstheme="minorEastAsia"/>
          <w:b/>
          <w:color w:val="auto"/>
          <w:szCs w:val="24"/>
          <w:highlight w:val="none"/>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5"/>
        <w:spacing w:line="440" w:lineRule="exact"/>
        <w:rPr>
          <w:rFonts w:asciiTheme="minorEastAsia" w:hAnsiTheme="minorEastAsia" w:eastAsiaTheme="minorEastAsia" w:cstheme="minorEastAsia"/>
          <w:b/>
          <w:color w:val="auto"/>
          <w:szCs w:val="24"/>
          <w:highlight w:val="none"/>
        </w:rPr>
      </w:pPr>
      <w:bookmarkStart w:id="350" w:name="_Toc319407877"/>
      <w:bookmarkStart w:id="351" w:name="_Toc322615439"/>
      <w:bookmarkStart w:id="352" w:name="_Toc319408112"/>
      <w:bookmarkStart w:id="353" w:name="_Toc152045576"/>
      <w:bookmarkStart w:id="354" w:name="_Toc214"/>
      <w:bookmarkStart w:id="355" w:name="_Toc323711791"/>
      <w:bookmarkStart w:id="356" w:name="_Toc392345955"/>
      <w:bookmarkStart w:id="357" w:name="_Toc152042352"/>
      <w:bookmarkStart w:id="358" w:name="_Toc144974544"/>
      <w:bookmarkStart w:id="359" w:name="_Toc245036643"/>
      <w:r>
        <w:rPr>
          <w:rFonts w:hint="eastAsia" w:asciiTheme="minorEastAsia" w:hAnsiTheme="minorEastAsia" w:eastAsiaTheme="minorEastAsia" w:cstheme="minorEastAsia"/>
          <w:b/>
          <w:color w:val="auto"/>
          <w:szCs w:val="24"/>
          <w:highlight w:val="none"/>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5"/>
        <w:spacing w:line="440" w:lineRule="exact"/>
        <w:rPr>
          <w:rFonts w:asciiTheme="minorEastAsia" w:hAnsiTheme="minorEastAsia" w:eastAsiaTheme="minorEastAsia" w:cstheme="minorEastAsia"/>
          <w:b/>
          <w:color w:val="auto"/>
          <w:szCs w:val="24"/>
          <w:highlight w:val="none"/>
        </w:rPr>
      </w:pPr>
      <w:bookmarkStart w:id="360" w:name="_Toc245036644"/>
      <w:bookmarkStart w:id="361" w:name="_Toc152045577"/>
      <w:bookmarkStart w:id="362" w:name="_Toc322615440"/>
      <w:bookmarkStart w:id="363" w:name="_Toc319407878"/>
      <w:bookmarkStart w:id="364" w:name="_Toc323711792"/>
      <w:bookmarkStart w:id="365" w:name="_Toc144974545"/>
      <w:bookmarkStart w:id="366" w:name="_Toc319408113"/>
      <w:bookmarkStart w:id="367" w:name="_Toc3266"/>
      <w:bookmarkStart w:id="368" w:name="_Toc152042353"/>
      <w:bookmarkStart w:id="369" w:name="_Toc392345956"/>
      <w:r>
        <w:rPr>
          <w:rFonts w:hint="eastAsia" w:asciiTheme="minorEastAsia" w:hAnsiTheme="minorEastAsia" w:eastAsiaTheme="minorEastAsia" w:cstheme="minorEastAsia"/>
          <w:b/>
          <w:color w:val="auto"/>
          <w:szCs w:val="24"/>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5"/>
        <w:spacing w:line="440" w:lineRule="exact"/>
        <w:rPr>
          <w:rFonts w:asciiTheme="minorEastAsia" w:hAnsiTheme="minorEastAsia" w:eastAsiaTheme="minorEastAsia" w:cstheme="minorEastAsia"/>
          <w:b/>
          <w:color w:val="auto"/>
          <w:szCs w:val="24"/>
          <w:highlight w:val="none"/>
        </w:rPr>
      </w:pPr>
      <w:bookmarkStart w:id="370" w:name="_Toc319407879"/>
      <w:bookmarkStart w:id="371" w:name="_Toc480"/>
      <w:bookmarkStart w:id="372" w:name="_Toc152042354"/>
      <w:bookmarkStart w:id="373" w:name="_Toc392345957"/>
      <w:bookmarkStart w:id="374" w:name="_Toc323711793"/>
      <w:bookmarkStart w:id="375" w:name="_Toc319408114"/>
      <w:bookmarkStart w:id="376" w:name="_Toc322615441"/>
      <w:bookmarkStart w:id="377" w:name="_Toc245036645"/>
      <w:bookmarkStart w:id="378" w:name="_Toc152045578"/>
      <w:bookmarkStart w:id="379"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color w:val="auto"/>
          <w:sz w:val="24"/>
          <w:szCs w:val="24"/>
          <w:highlight w:val="none"/>
        </w:rPr>
      </w:pPr>
      <w:bookmarkStart w:id="380"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5"/>
        <w:spacing w:line="440" w:lineRule="exact"/>
        <w:rPr>
          <w:rFonts w:asciiTheme="minorEastAsia" w:hAnsiTheme="minorEastAsia" w:eastAsiaTheme="minorEastAsia" w:cstheme="minorEastAsia"/>
          <w:b/>
          <w:color w:val="auto"/>
          <w:szCs w:val="24"/>
          <w:highlight w:val="none"/>
        </w:rPr>
      </w:pPr>
      <w:bookmarkStart w:id="381" w:name="_Toc245036646"/>
      <w:bookmarkStart w:id="382" w:name="_Toc319407880"/>
      <w:bookmarkStart w:id="383" w:name="_Toc323711794"/>
      <w:bookmarkStart w:id="384" w:name="_Toc319408115"/>
      <w:bookmarkStart w:id="385" w:name="_Toc392345958"/>
      <w:bookmarkStart w:id="386" w:name="_Toc152042356"/>
      <w:bookmarkStart w:id="387" w:name="_Toc322615442"/>
      <w:bookmarkStart w:id="388" w:name="_Toc152045579"/>
      <w:bookmarkStart w:id="389" w:name="_Toc9812"/>
      <w:r>
        <w:rPr>
          <w:rFonts w:hint="eastAsia" w:asciiTheme="minorEastAsia" w:hAnsiTheme="minorEastAsia" w:eastAsiaTheme="minorEastAsia" w:cstheme="minorEastAsia"/>
          <w:b/>
          <w:color w:val="auto"/>
          <w:szCs w:val="24"/>
          <w:highlight w:val="none"/>
        </w:rPr>
        <w:t>9.5</w:t>
      </w:r>
      <w:bookmarkEnd w:id="379"/>
      <w:bookmarkEnd w:id="381"/>
      <w:bookmarkEnd w:id="382"/>
      <w:bookmarkEnd w:id="383"/>
      <w:bookmarkEnd w:id="384"/>
      <w:bookmarkEnd w:id="385"/>
      <w:bookmarkEnd w:id="386"/>
      <w:bookmarkEnd w:id="387"/>
      <w:bookmarkEnd w:id="388"/>
      <w:bookmarkStart w:id="390" w:name="_Toc247085737"/>
      <w:bookmarkStart w:id="391" w:name="_Toc296602466"/>
      <w:bookmarkStart w:id="392" w:name="_Toc246996223"/>
      <w:bookmarkStart w:id="393" w:name="_Toc357955317"/>
      <w:bookmarkStart w:id="394" w:name="_Toc246996966"/>
      <w:bookmarkStart w:id="395" w:name="_Toc179632597"/>
      <w:bookmarkStart w:id="396" w:name="_Toc152045580"/>
      <w:bookmarkStart w:id="397" w:name="_Toc144974547"/>
      <w:bookmarkStart w:id="398" w:name="_Toc152042357"/>
      <w:bookmarkStart w:id="399" w:name="_Toc323711795"/>
      <w:bookmarkStart w:id="400" w:name="_Toc245036647"/>
      <w:bookmarkStart w:id="401" w:name="_Toc392345959"/>
      <w:r>
        <w:rPr>
          <w:rFonts w:hint="eastAsia" w:asciiTheme="minorEastAsia" w:hAnsiTheme="minorEastAsia" w:eastAsiaTheme="minorEastAsia" w:cstheme="minorEastAsia"/>
          <w:b/>
          <w:color w:val="auto"/>
          <w:szCs w:val="24"/>
          <w:highlight w:val="none"/>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5"/>
        <w:spacing w:line="440" w:lineRule="exact"/>
        <w:rPr>
          <w:rFonts w:asciiTheme="minorEastAsia" w:hAnsiTheme="minorEastAsia" w:eastAsiaTheme="minorEastAsia" w:cstheme="minorEastAsia"/>
          <w:color w:val="auto"/>
          <w:szCs w:val="24"/>
          <w:highlight w:val="none"/>
        </w:rPr>
      </w:pPr>
      <w:bookmarkStart w:id="402" w:name="_Toc576"/>
      <w:r>
        <w:rPr>
          <w:rFonts w:hint="eastAsia" w:asciiTheme="minorEastAsia" w:hAnsiTheme="minorEastAsia" w:eastAsiaTheme="minorEastAsia" w:cstheme="minorEastAsia"/>
          <w:color w:val="auto"/>
          <w:szCs w:val="24"/>
          <w:highlight w:val="none"/>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color w:val="auto"/>
          <w:szCs w:val="24"/>
          <w:highlight w:val="none"/>
        </w:rPr>
        <w:t>需要补充的其他内容</w:t>
      </w:r>
      <w:bookmarkEnd w:id="402"/>
    </w:p>
    <w:p>
      <w:pPr>
        <w:ind w:firstLine="480" w:firstLineChars="200"/>
        <w:rPr>
          <w:rFonts w:asciiTheme="minorEastAsia" w:hAnsiTheme="minorEastAsia" w:eastAsiaTheme="minorEastAsia" w:cstheme="minorEastAsia"/>
          <w:color w:val="auto"/>
          <w:sz w:val="24"/>
          <w:szCs w:val="24"/>
          <w:highlight w:val="none"/>
        </w:rPr>
      </w:pPr>
      <w:bookmarkStart w:id="403" w:name="_Toc322615444"/>
      <w:bookmarkStart w:id="404" w:name="_Toc323711796"/>
      <w:r>
        <w:rPr>
          <w:rFonts w:hint="eastAsia" w:asciiTheme="minorEastAsia" w:hAnsiTheme="minorEastAsia" w:eastAsiaTheme="minorEastAsia" w:cstheme="minorEastAsia"/>
          <w:color w:val="auto"/>
          <w:sz w:val="24"/>
          <w:szCs w:val="24"/>
          <w:highlight w:val="none"/>
        </w:rPr>
        <w:t>10.1否决投标的情形</w:t>
      </w:r>
      <w:bookmarkEnd w:id="403"/>
      <w:bookmarkEnd w:id="404"/>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5" w:name="_Toc322615445"/>
      <w:bookmarkStart w:id="406" w:name="_Toc323711797"/>
      <w:r>
        <w:rPr>
          <w:rFonts w:hint="eastAsia" w:asciiTheme="minorEastAsia" w:hAnsiTheme="minorEastAsia" w:eastAsiaTheme="minorEastAsia" w:cstheme="minorEastAsia"/>
          <w:color w:val="auto"/>
          <w:sz w:val="24"/>
          <w:szCs w:val="24"/>
          <w:highlight w:val="none"/>
        </w:rPr>
        <w:t>10.2</w:t>
      </w:r>
      <w:bookmarkEnd w:id="405"/>
      <w:bookmarkEnd w:id="406"/>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4"/>
        <w:ind w:firstLine="482"/>
        <w:rPr>
          <w:rFonts w:asciiTheme="minorEastAsia" w:hAnsiTheme="minorEastAsia" w:eastAsiaTheme="minorEastAsia" w:cstheme="minorEastAsia"/>
          <w:color w:val="auto"/>
          <w:sz w:val="24"/>
          <w:szCs w:val="24"/>
          <w:highlight w:val="none"/>
        </w:rPr>
      </w:pPr>
      <w:bookmarkStart w:id="407" w:name="_Toc21652"/>
      <w:bookmarkStart w:id="408" w:name="_Toc413527432"/>
      <w:bookmarkStart w:id="409" w:name="_Toc184635081"/>
      <w:bookmarkStart w:id="410" w:name="_Toc323711800"/>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pStyle w:val="4"/>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5" w:h="16838"/>
          <w:pgMar w:top="1417" w:right="1134" w:bottom="1417" w:left="1134" w:header="680" w:footer="680" w:gutter="0"/>
          <w:cols w:space="0" w:num="1"/>
          <w:docGrid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5" w:h="16838"/>
          <w:pgMar w:top="1417" w:right="1134" w:bottom="1417" w:left="1134" w:header="680" w:footer="680" w:gutter="0"/>
          <w:cols w:space="0" w:num="1"/>
          <w:docGrid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2" w:name="_Toc11393"/>
      <w:r>
        <w:rPr>
          <w:rFonts w:hint="eastAsia" w:asciiTheme="minorEastAsia" w:hAnsiTheme="minorEastAsia" w:eastAsiaTheme="minorEastAsia" w:cstheme="minorEastAsia"/>
          <w:color w:val="auto"/>
          <w:sz w:val="24"/>
          <w:szCs w:val="24"/>
          <w:highlight w:val="none"/>
        </w:rPr>
        <w:t>附表四：中标通知书</w:t>
      </w:r>
      <w:bookmarkEnd w:id="412"/>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7"/>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招标代理：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备案部门：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4"/>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3" w:name="_Toc30185"/>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5" w:h="16838"/>
          <w:pgMar w:top="1417" w:right="1134" w:bottom="1417" w:left="1134" w:header="680" w:footer="680" w:gutter="0"/>
          <w:cols w:space="0" w:num="1"/>
          <w:docGrid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8"/>
    <w:bookmarkEnd w:id="409"/>
    <w:bookmarkEnd w:id="410"/>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5" w:name="_Toc321687881"/>
      <w:bookmarkStart w:id="416"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color w:val="auto"/>
          <w:highlight w:val="none"/>
        </w:rPr>
      </w:pPr>
      <w:bookmarkStart w:id="417"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5"/>
      <w:bookmarkEnd w:id="416"/>
      <w:bookmarkEnd w:id="417"/>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7"/>
        <w:tblW w:w="10250" w:type="dxa"/>
        <w:jc w:val="center"/>
        <w:tblLayout w:type="fixed"/>
        <w:tblCellMar>
          <w:top w:w="0" w:type="dxa"/>
          <w:left w:w="10" w:type="dxa"/>
          <w:bottom w:w="0" w:type="dxa"/>
          <w:right w:w="10" w:type="dxa"/>
        </w:tblCellMar>
      </w:tblPr>
      <w:tblGrid>
        <w:gridCol w:w="694"/>
        <w:gridCol w:w="1443"/>
        <w:gridCol w:w="2127"/>
        <w:gridCol w:w="5986"/>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w:t>
            </w:r>
            <w:r>
              <w:rPr>
                <w:rFonts w:hint="default" w:asciiTheme="minorEastAsia" w:hAnsiTheme="minorEastAsia" w:eastAsiaTheme="minorEastAsia" w:cstheme="minorEastAsia"/>
                <w:color w:val="auto"/>
                <w:sz w:val="24"/>
                <w:szCs w:val="24"/>
                <w:highlight w:val="none"/>
                <w:u w:val="single"/>
                <w:lang w:val="en-US"/>
              </w:rPr>
              <w:t>8</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w:t>
            </w:r>
            <w:r>
              <w:rPr>
                <w:rFonts w:hint="default" w:asciiTheme="minorEastAsia" w:hAnsiTheme="minorEastAsia" w:eastAsiaTheme="minorEastAsia" w:cstheme="minorEastAsia"/>
                <w:color w:val="auto"/>
                <w:sz w:val="24"/>
                <w:szCs w:val="24"/>
                <w:highlight w:val="none"/>
                <w:u w:val="single"/>
                <w:lang w:val="en-US"/>
              </w:rPr>
              <w:t>2</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p>
          <w:p>
            <w:pPr>
              <w:pStyle w:val="10"/>
              <w:rPr>
                <w:color w:val="auto"/>
                <w:highlight w:val="none"/>
              </w:rPr>
            </w:pPr>
          </w:p>
          <w:p>
            <w:pPr>
              <w:pStyle w:val="10"/>
              <w:rPr>
                <w:color w:val="auto"/>
                <w:highlight w:val="none"/>
              </w:rPr>
            </w:pPr>
          </w:p>
          <w:p>
            <w:pPr>
              <w:pStyle w:val="10"/>
              <w:rPr>
                <w:color w:val="auto"/>
                <w:highlight w:val="none"/>
              </w:rPr>
            </w:pP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（A=2</w:t>
            </w:r>
            <w:r>
              <w:rPr>
                <w:rFonts w:hint="default" w:asciiTheme="minorEastAsia" w:hAnsiTheme="minorEastAsia" w:eastAsiaTheme="minorEastAsia" w:cstheme="minorEastAsia"/>
                <w:color w:val="auto"/>
                <w:sz w:val="24"/>
                <w:szCs w:val="24"/>
                <w:highlight w:val="none"/>
                <w:lang w:val="en-US"/>
              </w:rPr>
              <w:t>8</w:t>
            </w:r>
            <w:r>
              <w:rPr>
                <w:rFonts w:hint="eastAsia" w:asciiTheme="minorEastAsia" w:hAnsiTheme="minorEastAsia" w:eastAsiaTheme="minorEastAsia" w:cstheme="minorEastAsia"/>
                <w:color w:val="auto"/>
                <w:sz w:val="24"/>
                <w:szCs w:val="24"/>
                <w:highlight w:val="none"/>
              </w:rPr>
              <w:t>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ascii="宋体" w:hAnsi="宋体" w:cs="宋体"/>
                <w:color w:val="auto"/>
                <w:sz w:val="24"/>
                <w:szCs w:val="24"/>
                <w:highlight w:val="none"/>
              </w:rPr>
              <w:t>企业权威认证</w:t>
            </w:r>
            <w:r>
              <w:rPr>
                <w:rFonts w:hint="eastAsia" w:ascii="宋体" w:hAnsi="宋体" w:cs="宋体"/>
                <w:color w:val="auto"/>
                <w:sz w:val="24"/>
                <w:szCs w:val="24"/>
                <w:highlight w:val="none"/>
              </w:rPr>
              <w:t>及资质（6分）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3"/>
              </w:num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投标人具有ISO9001质量管理体系认证、ISO14001环境管理体系认证、ISO45001职业健康安全管理体系认证、</w:t>
            </w:r>
            <w:r>
              <w:rPr>
                <w:rFonts w:ascii="宋体" w:hAnsi="宋体" w:cs="宋体"/>
                <w:color w:val="auto"/>
                <w:sz w:val="24"/>
                <w:szCs w:val="24"/>
                <w:highlight w:val="none"/>
              </w:rPr>
              <w:t>ISO13485</w:t>
            </w:r>
            <w:r>
              <w:rPr>
                <w:rFonts w:hint="eastAsia" w:ascii="宋体" w:hAnsi="宋体" w:cs="宋体"/>
                <w:color w:val="auto"/>
                <w:sz w:val="24"/>
                <w:szCs w:val="24"/>
                <w:highlight w:val="none"/>
              </w:rPr>
              <w:t>医疗器械质量管理体系认证。</w:t>
            </w:r>
            <w:r>
              <w:rPr>
                <w:rFonts w:ascii="宋体" w:hAnsi="宋体" w:cs="宋体"/>
                <w:color w:val="auto"/>
                <w:sz w:val="24"/>
                <w:szCs w:val="24"/>
                <w:highlight w:val="none"/>
              </w:rPr>
              <w:t>每项认证得</w:t>
            </w:r>
            <w:r>
              <w:rPr>
                <w:rFonts w:hint="eastAsia" w:ascii="宋体" w:hAnsi="宋体" w:cs="宋体"/>
                <w:color w:val="auto"/>
                <w:sz w:val="24"/>
                <w:szCs w:val="24"/>
                <w:highlight w:val="none"/>
              </w:rPr>
              <w:t>1</w:t>
            </w:r>
            <w:r>
              <w:rPr>
                <w:rFonts w:ascii="宋体" w:hAnsi="宋体" w:cs="宋体"/>
                <w:color w:val="auto"/>
                <w:sz w:val="24"/>
                <w:szCs w:val="24"/>
                <w:highlight w:val="none"/>
              </w:rPr>
              <w:t>分，最多得</w:t>
            </w:r>
            <w:r>
              <w:rPr>
                <w:rFonts w:hint="eastAsia" w:ascii="宋体" w:hAnsi="宋体" w:cs="宋体"/>
                <w:color w:val="auto"/>
                <w:sz w:val="24"/>
                <w:szCs w:val="24"/>
                <w:highlight w:val="none"/>
              </w:rPr>
              <w:t>4</w:t>
            </w:r>
            <w:r>
              <w:rPr>
                <w:rFonts w:ascii="宋体" w:hAnsi="宋体" w:cs="宋体"/>
                <w:color w:val="auto"/>
                <w:sz w:val="24"/>
                <w:szCs w:val="24"/>
                <w:highlight w:val="none"/>
              </w:rPr>
              <w:t>分。</w:t>
            </w:r>
          </w:p>
          <w:p>
            <w:pPr>
              <w:pStyle w:val="10"/>
              <w:numPr>
                <w:ilvl w:val="0"/>
                <w:numId w:val="3"/>
              </w:numPr>
              <w:rPr>
                <w:color w:val="auto"/>
                <w:highlight w:val="none"/>
              </w:rPr>
            </w:pPr>
            <w:r>
              <w:rPr>
                <w:rFonts w:hint="eastAsia" w:ascii="宋体" w:hAnsi="宋体" w:cs="宋体"/>
                <w:color w:val="auto"/>
                <w:highlight w:val="none"/>
              </w:rPr>
              <w:t>投标人</w:t>
            </w:r>
            <w:r>
              <w:rPr>
                <w:rFonts w:hint="eastAsia" w:ascii="宋体" w:hAnsi="宋体"/>
                <w:color w:val="auto"/>
                <w:szCs w:val="21"/>
                <w:highlight w:val="none"/>
              </w:rPr>
              <w:t>电子与智能化工程专业承包二级及以上资质的，</w:t>
            </w:r>
            <w:r>
              <w:rPr>
                <w:rFonts w:ascii="宋体" w:hAnsi="宋体" w:cs="宋体"/>
                <w:color w:val="auto"/>
                <w:highlight w:val="none"/>
              </w:rPr>
              <w:t>得</w:t>
            </w:r>
            <w:r>
              <w:rPr>
                <w:rFonts w:hint="eastAsia" w:ascii="宋体" w:hAnsi="宋体" w:cs="宋体"/>
                <w:color w:val="auto"/>
                <w:highlight w:val="none"/>
              </w:rPr>
              <w:t>2</w:t>
            </w:r>
            <w:r>
              <w:rPr>
                <w:rFonts w:ascii="宋体" w:hAnsi="宋体" w:cs="宋体"/>
                <w:color w:val="auto"/>
                <w:highlight w:val="none"/>
              </w:rPr>
              <w:t>分</w:t>
            </w:r>
            <w:r>
              <w:rPr>
                <w:rFonts w:hint="eastAsia" w:ascii="宋体" w:hAnsi="宋体" w:cs="宋体"/>
                <w:color w:val="auto"/>
                <w:szCs w:val="21"/>
                <w:highlight w:val="none"/>
              </w:rPr>
              <w:t>。</w:t>
            </w:r>
          </w:p>
          <w:p>
            <w:pPr>
              <w:pStyle w:val="10"/>
              <w:rPr>
                <w:color w:val="auto"/>
                <w:highlight w:val="none"/>
              </w:rPr>
            </w:pP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成功案例及业绩</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255"/>
                <w:numId w:val="0"/>
              </w:numPr>
              <w:rPr>
                <w:rFonts w:ascii="宋体" w:hAnsi="宋体" w:cs="宋体"/>
                <w:color w:val="auto"/>
                <w:sz w:val="24"/>
                <w:szCs w:val="24"/>
                <w:highlight w:val="none"/>
              </w:rPr>
            </w:pPr>
            <w:r>
              <w:rPr>
                <w:rFonts w:hint="eastAsia" w:ascii="宋体" w:hAnsi="宋体" w:cs="宋体"/>
                <w:color w:val="auto"/>
                <w:sz w:val="24"/>
                <w:szCs w:val="24"/>
                <w:highlight w:val="none"/>
              </w:rPr>
              <w:t>投标人</w:t>
            </w:r>
            <w:r>
              <w:rPr>
                <w:rFonts w:hint="eastAsia" w:ascii="宋体" w:hAnsi="宋体"/>
                <w:color w:val="auto"/>
                <w:sz w:val="24"/>
                <w:szCs w:val="24"/>
                <w:highlight w:val="none"/>
              </w:rPr>
              <w:t>（若联合体投标的，指联合体牵头人）</w:t>
            </w:r>
            <w:r>
              <w:rPr>
                <w:rFonts w:hint="eastAsia" w:ascii="宋体" w:hAnsi="宋体" w:cs="宋体"/>
                <w:color w:val="auto"/>
                <w:sz w:val="24"/>
                <w:szCs w:val="24"/>
                <w:highlight w:val="none"/>
              </w:rPr>
              <w:t>自2017年1月1日起至投标截止日前完成过类似净化项目业绩的，单项合同金额2000万元（不含）--3000万元（含）的，每提供一份的，</w:t>
            </w:r>
            <w:r>
              <w:rPr>
                <w:rFonts w:hint="eastAsia" w:ascii="宋体" w:hAnsi="宋体" w:cs="宋体"/>
                <w:b/>
                <w:color w:val="auto"/>
                <w:sz w:val="24"/>
                <w:szCs w:val="24"/>
                <w:highlight w:val="none"/>
              </w:rPr>
              <w:t>得</w:t>
            </w:r>
            <w:r>
              <w:rPr>
                <w:rFonts w:ascii="宋体" w:hAnsi="宋体" w:cs="宋体"/>
                <w:b/>
                <w:color w:val="auto"/>
                <w:sz w:val="24"/>
                <w:szCs w:val="24"/>
                <w:highlight w:val="none"/>
              </w:rPr>
              <w:t>1</w:t>
            </w:r>
            <w:r>
              <w:rPr>
                <w:rFonts w:hint="eastAsia" w:ascii="宋体" w:hAnsi="宋体" w:cs="宋体"/>
                <w:b/>
                <w:color w:val="auto"/>
                <w:sz w:val="24"/>
                <w:szCs w:val="24"/>
                <w:highlight w:val="none"/>
              </w:rPr>
              <w:t>分；</w:t>
            </w:r>
            <w:r>
              <w:rPr>
                <w:rFonts w:hint="eastAsia" w:ascii="宋体" w:hAnsi="宋体" w:cs="宋体"/>
                <w:color w:val="auto"/>
                <w:sz w:val="24"/>
                <w:szCs w:val="24"/>
                <w:highlight w:val="none"/>
              </w:rPr>
              <w:t>单项合同金额大于3000万元的，每提供一份</w:t>
            </w:r>
            <w:r>
              <w:rPr>
                <w:rFonts w:hint="eastAsia" w:ascii="宋体" w:hAnsi="宋体" w:cs="宋体"/>
                <w:b/>
                <w:color w:val="auto"/>
                <w:sz w:val="24"/>
                <w:szCs w:val="24"/>
                <w:highlight w:val="none"/>
              </w:rPr>
              <w:t>得</w:t>
            </w:r>
            <w:r>
              <w:rPr>
                <w:rFonts w:hint="eastAsia" w:ascii="宋体" w:hAnsi="宋体" w:cs="宋体"/>
                <w:color w:val="auto"/>
                <w:sz w:val="24"/>
                <w:szCs w:val="24"/>
                <w:highlight w:val="none"/>
              </w:rPr>
              <w:t>2分；</w:t>
            </w:r>
            <w:r>
              <w:rPr>
                <w:rFonts w:hint="eastAsia" w:ascii="宋体" w:hAnsi="宋体" w:cs="宋体"/>
                <w:b/>
                <w:color w:val="auto"/>
                <w:sz w:val="24"/>
                <w:szCs w:val="24"/>
                <w:highlight w:val="none"/>
              </w:rPr>
              <w:t>本项最多提供3个业绩，最高得6分</w:t>
            </w:r>
            <w:r>
              <w:rPr>
                <w:rFonts w:hint="eastAsia" w:ascii="宋体" w:hAnsi="宋体" w:cs="宋体"/>
                <w:color w:val="auto"/>
                <w:sz w:val="24"/>
                <w:szCs w:val="24"/>
                <w:highlight w:val="none"/>
              </w:rPr>
              <w:t>。</w:t>
            </w:r>
          </w:p>
          <w:p>
            <w:pPr>
              <w:rPr>
                <w:color w:val="auto"/>
                <w:highlight w:val="none"/>
              </w:rPr>
            </w:pPr>
          </w:p>
          <w:p>
            <w:pPr>
              <w:rPr>
                <w:rFonts w:ascii="宋体" w:hAnsi="宋体" w:cs="宋体"/>
                <w:color w:val="auto"/>
                <w:sz w:val="24"/>
                <w:szCs w:val="24"/>
                <w:highlight w:val="none"/>
              </w:rPr>
            </w:pPr>
            <w:r>
              <w:rPr>
                <w:rFonts w:hint="eastAsia" w:ascii="宋体" w:hAnsi="宋体" w:cs="宋体"/>
                <w:b/>
                <w:bCs/>
                <w:color w:val="auto"/>
                <w:sz w:val="24"/>
                <w:szCs w:val="24"/>
                <w:highlight w:val="none"/>
              </w:rPr>
              <w:t>注：投标文件中须提供业绩证明材料包括中标通知书（或合同）、竣工证明（时间以竣工验证明上的时间为准）的复印件加盖投标人公章，若缺其中任何一项则业绩不予认可。</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人员配备（3分）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numPr>
                <w:ilvl w:val="0"/>
                <w:numId w:val="4"/>
              </w:numPr>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拟派项目负责人具备高级工程师及以上专业技术职称的，得1.5分；具备工程师专业技术职称的，得0.5分；其余不得分。本项最高得1.5分；</w:t>
            </w:r>
          </w:p>
          <w:p>
            <w:pPr>
              <w:numPr>
                <w:ilvl w:val="0"/>
                <w:numId w:val="4"/>
              </w:numPr>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拟派的技术负责人具有高级工程师及以上职称的，得1.5分；具有工程师职称的，得0.5分，其余均不得分。本项最高得1.5分。</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本项最高得3分。</w:t>
            </w:r>
          </w:p>
          <w:p>
            <w:pPr>
              <w:spacing w:line="360" w:lineRule="exact"/>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宋体" w:hAnsi="宋体" w:cs="宋体"/>
                <w:color w:val="auto"/>
                <w:kern w:val="2"/>
                <w:sz w:val="24"/>
                <w:szCs w:val="24"/>
                <w:highlight w:val="none"/>
              </w:rPr>
              <w:t xml:space="preserve">投标文件中提供证书复印件，同时须提供拟派项目负责人缴费期限包含 </w:t>
            </w:r>
            <w:r>
              <w:rPr>
                <w:rFonts w:hint="eastAsia" w:ascii="宋体" w:hAnsi="宋体" w:cs="宋体"/>
                <w:b/>
                <w:bCs/>
                <w:color w:val="auto"/>
                <w:kern w:val="2"/>
                <w:sz w:val="24"/>
                <w:szCs w:val="24"/>
                <w:highlight w:val="none"/>
              </w:rPr>
              <w:t>202</w:t>
            </w:r>
            <w:r>
              <w:rPr>
                <w:rFonts w:hint="eastAsia" w:ascii="宋体" w:hAnsi="宋体" w:cs="宋体"/>
                <w:b/>
                <w:bCs/>
                <w:color w:val="auto"/>
                <w:kern w:val="2"/>
                <w:sz w:val="24"/>
                <w:szCs w:val="24"/>
                <w:highlight w:val="none"/>
                <w:lang w:val="en-US" w:eastAsia="zh-CN"/>
              </w:rPr>
              <w:t>2</w:t>
            </w:r>
            <w:r>
              <w:rPr>
                <w:rFonts w:hint="eastAsia" w:ascii="宋体" w:hAnsi="宋体" w:cs="宋体"/>
                <w:b/>
                <w:bCs/>
                <w:color w:val="auto"/>
                <w:kern w:val="2"/>
                <w:sz w:val="24"/>
                <w:szCs w:val="24"/>
                <w:highlight w:val="none"/>
              </w:rPr>
              <w:t>年</w:t>
            </w:r>
            <w:r>
              <w:rPr>
                <w:rFonts w:hint="eastAsia" w:ascii="宋体" w:hAnsi="宋体" w:cs="宋体"/>
                <w:b/>
                <w:bCs/>
                <w:color w:val="auto"/>
                <w:kern w:val="2"/>
                <w:sz w:val="24"/>
                <w:szCs w:val="24"/>
                <w:highlight w:val="none"/>
                <w:lang w:val="en-US" w:eastAsia="zh-CN"/>
              </w:rPr>
              <w:t>5</w:t>
            </w:r>
            <w:r>
              <w:rPr>
                <w:rFonts w:hint="eastAsia" w:ascii="宋体" w:hAnsi="宋体" w:cs="宋体"/>
                <w:b/>
                <w:bCs/>
                <w:color w:val="auto"/>
                <w:kern w:val="2"/>
                <w:sz w:val="24"/>
                <w:szCs w:val="24"/>
                <w:highlight w:val="none"/>
              </w:rPr>
              <w:t>月至 2022年</w:t>
            </w:r>
            <w:r>
              <w:rPr>
                <w:rFonts w:hint="eastAsia" w:ascii="宋体" w:hAnsi="宋体" w:cs="宋体"/>
                <w:b/>
                <w:bCs/>
                <w:color w:val="auto"/>
                <w:kern w:val="2"/>
                <w:sz w:val="24"/>
                <w:szCs w:val="24"/>
                <w:highlight w:val="none"/>
                <w:lang w:val="en-US" w:eastAsia="zh-CN"/>
              </w:rPr>
              <w:t>7</w:t>
            </w:r>
            <w:r>
              <w:rPr>
                <w:rFonts w:hint="eastAsia" w:ascii="宋体" w:hAnsi="宋体" w:cs="宋体"/>
                <w:b/>
                <w:bCs/>
                <w:color w:val="auto"/>
                <w:kern w:val="2"/>
                <w:sz w:val="24"/>
                <w:szCs w:val="24"/>
                <w:highlight w:val="none"/>
              </w:rPr>
              <w:t>月的投标人所属社保机构养老保险交纳清单或证明</w:t>
            </w:r>
            <w:r>
              <w:rPr>
                <w:rFonts w:hint="eastAsia" w:ascii="宋体" w:hAnsi="宋体" w:cs="宋体"/>
                <w:color w:val="auto"/>
                <w:kern w:val="2"/>
                <w:sz w:val="24"/>
                <w:szCs w:val="24"/>
                <w:highlight w:val="none"/>
              </w:rPr>
              <w:t>（缴费单位和投标单位名称必须一致，并加盖社保缴费证明专用章，非独立法人的分公司社保证明有效），否则不得分</w:t>
            </w:r>
            <w:r>
              <w:rPr>
                <w:rFonts w:hint="eastAsia" w:ascii="宋体" w:hAnsi="宋体" w:cs="宋体"/>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Cs w:val="21"/>
                <w:highlight w:val="none"/>
              </w:rPr>
            </w:pPr>
            <w:r>
              <w:rPr>
                <w:rFonts w:hint="eastAsia" w:ascii="宋体" w:hAnsi="宋体" w:cs="宋体"/>
                <w:color w:val="auto"/>
                <w:sz w:val="24"/>
                <w:szCs w:val="24"/>
                <w:highlight w:val="none"/>
              </w:rPr>
              <w:t>项目负责人业绩</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（4分）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拟派项目负责人自2017年1月1日至投标截止日止，完成过单项金额2000（含）-3000万元（不含）的类似净化工程施工业绩的，每项业绩得1分；完成过单项金额3000万元及以上的类似净化工程施工业绩的，每项业绩得2分。本项最多提供2个业绩，最高得4分。</w:t>
            </w:r>
          </w:p>
          <w:p>
            <w:pPr>
              <w:rPr>
                <w:rFonts w:ascii="宋体" w:hAnsi="宋体" w:cs="宋体"/>
                <w:color w:val="auto"/>
                <w:sz w:val="24"/>
                <w:szCs w:val="24"/>
                <w:highlight w:val="none"/>
              </w:rPr>
            </w:pPr>
            <w:r>
              <w:rPr>
                <w:rFonts w:hint="eastAsia" w:ascii="宋体" w:hAnsi="宋体" w:cs="宋体"/>
                <w:color w:val="auto"/>
                <w:sz w:val="24"/>
                <w:szCs w:val="24"/>
                <w:highlight w:val="none"/>
              </w:rPr>
              <w:t>注：业绩证明材料必须同时提供中标通知书（或合同须体现项目负责人）和竣工证明（时间以竣工证明上的时间为准）的复印件加盖投标人公章，二者必须兼备，若缺其中任何一项则业绩不予认可</w:t>
            </w:r>
            <w:r>
              <w:rPr>
                <w:rFonts w:hint="eastAsia" w:ascii="宋体" w:hAnsi="宋体" w:cs="宋体"/>
                <w:color w:val="auto"/>
                <w:kern w:val="2"/>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spacing w:line="320" w:lineRule="auto"/>
              <w:rPr>
                <w:rFonts w:ascii="宋体" w:hAnsi="宋体" w:cs="宋体"/>
                <w:color w:val="auto"/>
                <w:sz w:val="24"/>
                <w:szCs w:val="24"/>
                <w:highlight w:val="none"/>
              </w:rPr>
            </w:pPr>
            <w:r>
              <w:rPr>
                <w:rFonts w:hint="eastAsia" w:ascii="宋体" w:hAnsi="宋体" w:cs="宋体"/>
                <w:color w:val="auto"/>
                <w:sz w:val="24"/>
                <w:szCs w:val="24"/>
                <w:highlight w:val="none"/>
              </w:rPr>
              <w:t>质保期期限仅满足招标文件规定的质保期要求的得0分，质保期期限超过招标文件规定的质保期每12个月的得2分，最高得6分。</w:t>
            </w:r>
          </w:p>
          <w:p>
            <w:pPr>
              <w:tabs>
                <w:tab w:val="left" w:pos="3060"/>
              </w:tabs>
              <w:rPr>
                <w:rFonts w:ascii="宋体" w:hAnsi="宋体" w:cs="宋体"/>
                <w:b/>
                <w:bCs/>
                <w:color w:val="auto"/>
                <w:sz w:val="24"/>
                <w:szCs w:val="24"/>
                <w:highlight w:val="none"/>
              </w:rPr>
            </w:pPr>
            <w:r>
              <w:rPr>
                <w:rFonts w:hint="eastAsia" w:ascii="宋体" w:hAnsi="宋体" w:cs="宋体"/>
                <w:color w:val="auto"/>
                <w:sz w:val="24"/>
                <w:szCs w:val="24"/>
                <w:highlight w:val="none"/>
              </w:rPr>
              <w:t>注：质保期优惠包含人工、差旅住宿费、材料及配件费等质保期间产生的一切费用</w:t>
            </w:r>
            <w:r>
              <w:rPr>
                <w:rFonts w:hint="eastAsia" w:ascii="宋体" w:hAnsi="宋体" w:cs="宋体"/>
                <w:color w:val="auto"/>
                <w:kern w:val="2"/>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售后服务方案、维修响应时间及承诺（3分）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1、售后服务方案全面周到的得2分，售后服务方案不全面或明显缺陷的得1分，无售后服务方案的不得分；本小项最多得2分。</w:t>
            </w:r>
          </w:p>
          <w:p>
            <w:pPr>
              <w:ind w:firstLine="480" w:firstLineChars="200"/>
              <w:rPr>
                <w:color w:val="auto"/>
                <w:sz w:val="24"/>
                <w:szCs w:val="24"/>
                <w:highlight w:val="none"/>
              </w:rPr>
            </w:pPr>
            <w:r>
              <w:rPr>
                <w:rFonts w:hint="eastAsia" w:ascii="宋体" w:hAnsi="宋体"/>
                <w:color w:val="auto"/>
                <w:sz w:val="24"/>
                <w:szCs w:val="24"/>
                <w:highlight w:val="none"/>
              </w:rPr>
              <w:t>2、承诺接到招标人报修通知后 2 小时内到达现场响应的得1分；本小项最多得1分。</w:t>
            </w:r>
          </w:p>
          <w:p>
            <w:pPr>
              <w:spacing w:line="280" w:lineRule="exact"/>
              <w:ind w:firstLine="480" w:firstLineChars="200"/>
              <w:rPr>
                <w:rFonts w:ascii="宋体" w:hAnsi="宋体" w:cs="宋体"/>
                <w:color w:val="auto"/>
                <w:sz w:val="24"/>
                <w:szCs w:val="24"/>
                <w:highlight w:val="none"/>
              </w:rPr>
            </w:pP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技术部分评分标准（B=3</w:t>
            </w:r>
            <w:r>
              <w:rPr>
                <w:rFonts w:hint="default" w:ascii="宋体" w:hAnsi="宋体" w:cs="宋体"/>
                <w:color w:val="auto"/>
                <w:sz w:val="24"/>
                <w:szCs w:val="24"/>
                <w:highlight w:val="none"/>
                <w:lang w:val="en-US"/>
              </w:rPr>
              <w:t>2</w:t>
            </w:r>
            <w:r>
              <w:rPr>
                <w:rFonts w:hint="eastAsia" w:ascii="宋体" w:hAnsi="宋体" w:cs="宋体"/>
                <w:color w:val="auto"/>
                <w:sz w:val="24"/>
                <w:szCs w:val="24"/>
                <w:highlight w:val="none"/>
              </w:rPr>
              <w:t>分）</w:t>
            </w:r>
          </w:p>
        </w:tc>
        <w:tc>
          <w:tcPr>
            <w:tcW w:w="2127" w:type="dxa"/>
            <w:vMerge w:val="restart"/>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rPr>
                <w:color w:val="auto"/>
                <w:sz w:val="24"/>
                <w:szCs w:val="24"/>
                <w:highlight w:val="none"/>
              </w:rPr>
            </w:pPr>
            <w:r>
              <w:rPr>
                <w:rFonts w:hint="eastAsia" w:ascii="宋体" w:hAnsi="宋体" w:cs="宋体"/>
                <w:color w:val="auto"/>
                <w:sz w:val="24"/>
                <w:szCs w:val="24"/>
                <w:highlight w:val="none"/>
              </w:rPr>
              <w:t>投标人所投材料设备的品牌、质量档次、性能、先进性、稳定性、耐用性及可靠性等（</w:t>
            </w:r>
            <w:r>
              <w:rPr>
                <w:rFonts w:ascii="宋体" w:hAnsi="宋体" w:cs="宋体"/>
                <w:color w:val="auto"/>
                <w:sz w:val="24"/>
                <w:szCs w:val="24"/>
                <w:highlight w:val="none"/>
              </w:rPr>
              <w:t>1</w:t>
            </w:r>
            <w:r>
              <w:rPr>
                <w:rFonts w:hint="eastAsia" w:ascii="宋体" w:hAnsi="宋体" w:cs="宋体"/>
                <w:color w:val="auto"/>
                <w:sz w:val="24"/>
                <w:szCs w:val="24"/>
                <w:highlight w:val="none"/>
              </w:rPr>
              <w:t>0分）</w:t>
            </w:r>
          </w:p>
          <w:p>
            <w:pPr>
              <w:jc w:val="center"/>
              <w:rPr>
                <w:rFonts w:ascii="宋体" w:hAnsi="宋体" w:cs="宋体"/>
                <w:color w:val="auto"/>
                <w:sz w:val="24"/>
                <w:szCs w:val="24"/>
                <w:highlight w:val="none"/>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投标人所投装饰、空调系统、强弱电系统和给排水材料和设备的技术先进性、可靠性、稳定性等方面评审。</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优秀得6.1-8.0分、良好得3.1-6.0分、一般得0-3.0分。</w:t>
            </w:r>
          </w:p>
        </w:tc>
      </w:tr>
      <w:tr>
        <w:tblPrEx>
          <w:tblCellMar>
            <w:top w:w="0" w:type="dxa"/>
            <w:left w:w="10" w:type="dxa"/>
            <w:bottom w:w="0" w:type="dxa"/>
            <w:right w:w="10" w:type="dxa"/>
          </w:tblCellMar>
        </w:tblPrEx>
        <w:trPr>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vMerge w:val="continue"/>
            <w:tcBorders>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恒温恒湿空气处理机的保证措施方案。</w:t>
            </w:r>
          </w:p>
          <w:p>
            <w:pPr>
              <w:spacing w:line="360" w:lineRule="exact"/>
              <w:rPr>
                <w:rFonts w:ascii="宋体" w:hAnsi="宋体" w:cs="宋体"/>
                <w:color w:val="auto"/>
                <w:sz w:val="24"/>
                <w:szCs w:val="24"/>
                <w:highlight w:val="none"/>
              </w:rPr>
            </w:pPr>
            <w:r>
              <w:rPr>
                <w:rFonts w:hint="eastAsia" w:ascii="宋体" w:hAnsi="宋体" w:cs="宋体"/>
                <w:color w:val="auto"/>
                <w:sz w:val="24"/>
                <w:szCs w:val="24"/>
                <w:highlight w:val="none"/>
              </w:rPr>
              <w:t>优秀得1.5-2.0分、良好得0.8-1.4分、一般得0-0.7分。</w:t>
            </w:r>
          </w:p>
        </w:tc>
      </w:tr>
      <w:tr>
        <w:tblPrEx>
          <w:tblCellMar>
            <w:top w:w="0" w:type="dxa"/>
            <w:left w:w="10" w:type="dxa"/>
            <w:bottom w:w="0" w:type="dxa"/>
            <w:right w:w="10" w:type="dxa"/>
          </w:tblCellMar>
        </w:tblPrEx>
        <w:trPr>
          <w:trHeight w:val="1581" w:hRule="atLeast"/>
          <w:jc w:val="center"/>
        </w:trPr>
        <w:tc>
          <w:tcPr>
            <w:tcW w:w="694"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p>
        </w:tc>
        <w:tc>
          <w:tcPr>
            <w:tcW w:w="1443" w:type="dxa"/>
            <w:vMerge w:val="continue"/>
            <w:tcBorders>
              <w:left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p>
        </w:tc>
        <w:tc>
          <w:tcPr>
            <w:tcW w:w="2127" w:type="dxa"/>
            <w:tcBorders>
              <w:top w:val="single" w:color="000000" w:sz="12" w:space="0"/>
              <w:left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b/>
                <w:color w:val="auto"/>
                <w:sz w:val="24"/>
                <w:highlight w:val="none"/>
              </w:rPr>
              <w:t>施工组织措施（3分）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adjustRightInd w:val="0"/>
              <w:snapToGrid w:val="0"/>
              <w:spacing w:line="28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质量保证措施、安全生产保证措施、工期保证措施以及文明施工和环境保护的措施科学、合理、全面、有针对性。</w:t>
            </w:r>
          </w:p>
          <w:p>
            <w:pPr>
              <w:jc w:val="left"/>
              <w:rPr>
                <w:rFonts w:ascii="宋体" w:hAnsi="宋体" w:cs="宋体"/>
                <w:color w:val="auto"/>
                <w:sz w:val="24"/>
                <w:szCs w:val="24"/>
                <w:highlight w:val="none"/>
                <w:lang w:bidi="zh-CN"/>
              </w:rPr>
            </w:pPr>
            <w:r>
              <w:rPr>
                <w:rFonts w:hint="eastAsia" w:ascii="宋体" w:hAnsi="宋体" w:cs="宋体"/>
                <w:color w:val="auto"/>
                <w:sz w:val="24"/>
                <w:szCs w:val="24"/>
                <w:highlight w:val="none"/>
              </w:rPr>
              <w:t>优秀得2.1-3.0分、良好得1.1-2.0分、一般得0-1.0分。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技术参数指标响</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应情况</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w:t>
            </w:r>
            <w:r>
              <w:rPr>
                <w:rFonts w:hint="default" w:ascii="宋体" w:hAnsi="宋体" w:cs="宋体"/>
                <w:color w:val="auto"/>
                <w:sz w:val="24"/>
                <w:szCs w:val="24"/>
                <w:highlight w:val="none"/>
                <w:lang w:val="en-US"/>
              </w:rPr>
              <w:t>19</w:t>
            </w:r>
            <w:r>
              <w:rPr>
                <w:rFonts w:hint="eastAsia" w:ascii="宋体" w:hAnsi="宋体" w:cs="宋体"/>
                <w:color w:val="auto"/>
                <w:sz w:val="24"/>
                <w:szCs w:val="24"/>
                <w:highlight w:val="none"/>
              </w:rPr>
              <w:t>分）</w:t>
            </w:r>
          </w:p>
        </w:tc>
        <w:tc>
          <w:tcPr>
            <w:tcW w:w="5986"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根据所投产品的详细技术参数进行打分。招标文件</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技术参数要求及资信评分部分要求需提供证明资料</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的未能提供或提供的证明资料不符合要求的，则视</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为不满足。</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根据各投标人所投设备性能以及技术参数和设备质</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量对招标文件各项基本要求（招标货物清单及技术</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要求中各项条款）的逐项响应、承诺等方面情况由</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评委进行评议评分，投标人所投设备完全满足招标</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文件技术规范及要求的，得</w:t>
            </w:r>
            <w:r>
              <w:rPr>
                <w:rFonts w:hint="default" w:ascii="宋体" w:hAnsi="宋体" w:cs="宋体"/>
                <w:color w:val="auto"/>
                <w:sz w:val="24"/>
                <w:szCs w:val="24"/>
                <w:highlight w:val="none"/>
                <w:lang w:val="en-US"/>
              </w:rPr>
              <w:t>19</w:t>
            </w:r>
            <w:r>
              <w:rPr>
                <w:rFonts w:hint="eastAsia" w:ascii="宋体" w:hAnsi="宋体" w:cs="宋体"/>
                <w:color w:val="auto"/>
                <w:sz w:val="24"/>
                <w:szCs w:val="24"/>
                <w:highlight w:val="none"/>
              </w:rPr>
              <w:t>分。有负偏离情况</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的，评标委员会将根据该技术参数的负偏离对所投</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标设备的使用影响程度进行以下扣分：</w:t>
            </w:r>
          </w:p>
          <w:p>
            <w:pPr>
              <w:jc w:val="left"/>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技术参数中标注</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“▲”号的指标，每负偏离一</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项扣</w:t>
            </w:r>
            <w:r>
              <w:rPr>
                <w:rFonts w:ascii="宋体" w:hAnsi="宋体" w:cs="宋体"/>
                <w:color w:val="auto"/>
                <w:sz w:val="24"/>
                <w:szCs w:val="24"/>
                <w:highlight w:val="none"/>
              </w:rPr>
              <w:t>2</w:t>
            </w:r>
            <w:r>
              <w:rPr>
                <w:rFonts w:hint="eastAsia" w:ascii="宋体" w:hAnsi="宋体" w:cs="宋体"/>
                <w:color w:val="auto"/>
                <w:sz w:val="24"/>
                <w:szCs w:val="24"/>
                <w:highlight w:val="none"/>
              </w:rPr>
              <w:t>分；</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其他指标，每负偏离一项扣</w:t>
            </w:r>
            <w:r>
              <w:rPr>
                <w:rFonts w:ascii="宋体" w:hAnsi="宋体" w:cs="宋体"/>
                <w:color w:val="auto"/>
                <w:sz w:val="24"/>
                <w:szCs w:val="24"/>
                <w:highlight w:val="none"/>
              </w:rPr>
              <w:t>1</w:t>
            </w:r>
            <w:r>
              <w:rPr>
                <w:rFonts w:hint="eastAsia" w:ascii="宋体" w:hAnsi="宋体" w:cs="宋体"/>
                <w:color w:val="auto"/>
                <w:sz w:val="24"/>
                <w:szCs w:val="24"/>
                <w:highlight w:val="none"/>
              </w:rPr>
              <w:t>分，扣完为</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止。</w:t>
            </w:r>
          </w:p>
          <w:p>
            <w:pPr>
              <w:jc w:val="left"/>
              <w:rPr>
                <w:rFonts w:ascii="宋体" w:hAnsi="宋体" w:cs="宋体"/>
                <w:color w:val="auto"/>
                <w:sz w:val="24"/>
                <w:szCs w:val="24"/>
                <w:highlight w:val="none"/>
              </w:rPr>
            </w:pPr>
            <w:r>
              <w:rPr>
                <w:rFonts w:ascii="宋体" w:hAnsi="宋体" w:cs="宋体"/>
                <w:color w:val="auto"/>
                <w:sz w:val="24"/>
                <w:szCs w:val="24"/>
                <w:highlight w:val="none"/>
              </w:rPr>
              <w:t xml:space="preserve"> (2)</w:t>
            </w:r>
            <w:r>
              <w:rPr>
                <w:rFonts w:hint="eastAsia" w:ascii="宋体" w:hAnsi="宋体" w:cs="宋体"/>
                <w:color w:val="auto"/>
                <w:sz w:val="24"/>
                <w:szCs w:val="24"/>
                <w:highlight w:val="none"/>
              </w:rPr>
              <w:t>正偏离不加分。</w:t>
            </w:r>
          </w:p>
        </w:tc>
      </w:tr>
    </w:tbl>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7"/>
        <w:spacing w:before="0" w:beforeAutospacing="0" w:after="0" w:afterAutospacing="0" w:line="320" w:lineRule="exact"/>
        <w:ind w:firstLine="271" w:firstLineChars="113"/>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注：业绩证明材料应提供合同复印件。</w:t>
      </w:r>
      <w:r>
        <w:rPr>
          <w:rFonts w:hint="eastAsia" w:asciiTheme="minorEastAsia" w:hAnsiTheme="minorEastAsia" w:eastAsiaTheme="minorEastAsia" w:cstheme="minorEastAsia"/>
          <w:i/>
          <w:color w:val="auto"/>
          <w:kern w:val="2"/>
          <w:szCs w:val="24"/>
          <w:highlight w:val="none"/>
        </w:rPr>
        <w:t>投标资格证明中的业绩</w:t>
      </w:r>
      <w:r>
        <w:rPr>
          <w:rFonts w:hint="eastAsia" w:asciiTheme="minorEastAsia" w:hAnsiTheme="minorEastAsia" w:eastAsiaTheme="minorEastAsia" w:cstheme="minorEastAsia"/>
          <w:i/>
          <w:color w:val="auto"/>
          <w:kern w:val="2"/>
          <w:szCs w:val="24"/>
          <w:highlight w:val="none"/>
          <w:u w:val="single"/>
        </w:rPr>
        <w:t>可以</w:t>
      </w:r>
      <w:r>
        <w:rPr>
          <w:rFonts w:hint="eastAsia" w:asciiTheme="minorEastAsia" w:hAnsiTheme="minorEastAsia" w:eastAsiaTheme="minorEastAsia" w:cstheme="minorEastAsia"/>
          <w:i/>
          <w:color w:val="auto"/>
          <w:kern w:val="2"/>
          <w:szCs w:val="24"/>
          <w:highlight w:val="none"/>
        </w:rPr>
        <w:t>作为本项计分业绩。</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4、报价评分（0-40分）</w:t>
      </w:r>
    </w:p>
    <w:p>
      <w:pPr>
        <w:adjustRightInd w:val="0"/>
        <w:snapToGrid w:val="0"/>
        <w:spacing w:line="500" w:lineRule="exact"/>
        <w:ind w:firstLine="480" w:firstLineChars="200"/>
        <w:jc w:val="left"/>
        <w:rPr>
          <w:rFonts w:ascii="宋体" w:hAnsi="宋体" w:cs="宋体"/>
          <w:b/>
          <w:color w:val="auto"/>
          <w:sz w:val="24"/>
          <w:szCs w:val="24"/>
          <w:highlight w:val="none"/>
        </w:rPr>
      </w:pPr>
      <w:r>
        <w:rPr>
          <w:rFonts w:hint="eastAsia" w:ascii="宋体" w:hAnsi="宋体" w:cs="宋体"/>
          <w:color w:val="auto"/>
          <w:sz w:val="24"/>
          <w:szCs w:val="24"/>
          <w:highlight w:val="none"/>
        </w:rPr>
        <w:t>☑</w:t>
      </w:r>
      <w:r>
        <w:rPr>
          <w:rFonts w:hint="eastAsia" w:ascii="宋体" w:hAnsi="宋体" w:cs="宋体"/>
          <w:b/>
          <w:color w:val="auto"/>
          <w:sz w:val="24"/>
          <w:szCs w:val="24"/>
          <w:highlight w:val="none"/>
        </w:rPr>
        <w:t xml:space="preserve">  下浮率法</w:t>
      </w:r>
    </w:p>
    <w:p>
      <w:pPr>
        <w:spacing w:line="3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1）设定最小下浮率5%。</w:t>
      </w:r>
    </w:p>
    <w:p>
      <w:pPr>
        <w:spacing w:line="3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2）投标人报价为下浮率Xi</w:t>
      </w:r>
      <w:r>
        <w:rPr>
          <w:rFonts w:hint="eastAsia" w:ascii="宋体" w:hAnsi="宋体" w:cs="宋体"/>
          <w:color w:val="auto"/>
          <w:sz w:val="24"/>
          <w:szCs w:val="24"/>
          <w:highlight w:val="none"/>
        </w:rPr>
        <w:t>【投标人下浮率以投标报价计算为准（四舍五入后保留小数点后二位，例6.75%），</w:t>
      </w:r>
      <w:r>
        <w:rPr>
          <w:rFonts w:ascii="宋体" w:hAnsi="宋体" w:cs="宋体"/>
          <w:color w:val="auto"/>
          <w:sz w:val="24"/>
          <w:szCs w:val="24"/>
          <w:highlight w:val="none"/>
        </w:rPr>
        <w:t>Xi</w:t>
      </w:r>
      <w:r>
        <w:rPr>
          <w:rFonts w:hint="eastAsia" w:ascii="宋体" w:hAnsi="宋体" w:cs="宋体"/>
          <w:color w:val="auto"/>
          <w:sz w:val="24"/>
          <w:szCs w:val="24"/>
          <w:highlight w:val="none"/>
        </w:rPr>
        <w:t>=（参考标底－投标报价）/参考标底】，</w:t>
      </w:r>
      <w:r>
        <w:rPr>
          <w:rFonts w:ascii="宋体" w:hAnsi="宋体" w:cs="宋体"/>
          <w:color w:val="auto"/>
          <w:sz w:val="24"/>
          <w:szCs w:val="24"/>
          <w:highlight w:val="none"/>
        </w:rPr>
        <w:t>Xi&lt;5%的投标作无效标处理。</w:t>
      </w:r>
    </w:p>
    <w:p>
      <w:pPr>
        <w:spacing w:line="3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3）设定下浮率抽取区间：5%至15%（含上、下限）。</w:t>
      </w:r>
    </w:p>
    <w:p>
      <w:pPr>
        <w:spacing w:line="3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4）在5%至15%(以0.5%为步长)范围内，由招标人代表1人在规定的下浮率</w:t>
      </w:r>
      <w:r>
        <w:rPr>
          <w:rFonts w:hint="eastAsia" w:ascii="宋体" w:hAnsi="宋体" w:cs="宋体"/>
          <w:color w:val="auto"/>
          <w:sz w:val="24"/>
          <w:szCs w:val="24"/>
          <w:highlight w:val="none"/>
        </w:rPr>
        <w:t>抽取区间内随机抽取两个下浮率，其算术平均值作为基准下浮率，其算术平均为</w:t>
      </w:r>
      <w:r>
        <w:rPr>
          <w:rFonts w:ascii="宋体" w:hAnsi="宋体" w:cs="宋体"/>
          <w:color w:val="auto"/>
          <w:sz w:val="24"/>
          <w:szCs w:val="24"/>
          <w:highlight w:val="none"/>
        </w:rPr>
        <w:t>Y。</w:t>
      </w:r>
    </w:p>
    <w:p>
      <w:pPr>
        <w:spacing w:line="360" w:lineRule="exact"/>
        <w:ind w:firstLine="420"/>
        <w:rPr>
          <w:rFonts w:ascii="宋体" w:hAnsi="宋体" w:cs="宋体"/>
          <w:color w:val="auto"/>
          <w:sz w:val="24"/>
          <w:szCs w:val="24"/>
          <w:highlight w:val="none"/>
        </w:rPr>
      </w:pPr>
      <w:r>
        <w:rPr>
          <w:rFonts w:ascii="宋体" w:hAnsi="宋体" w:cs="宋体"/>
          <w:color w:val="auto"/>
          <w:sz w:val="24"/>
          <w:szCs w:val="24"/>
          <w:highlight w:val="none"/>
        </w:rPr>
        <w:t>Xi=Y时,得分=4</w:t>
      </w:r>
      <w:r>
        <w:rPr>
          <w:rFonts w:hint="eastAsia" w:ascii="宋体" w:hAnsi="宋体" w:cs="宋体"/>
          <w:color w:val="auto"/>
          <w:sz w:val="24"/>
          <w:szCs w:val="24"/>
          <w:highlight w:val="none"/>
        </w:rPr>
        <w:t>0</w:t>
      </w:r>
    </w:p>
    <w:p>
      <w:pPr>
        <w:spacing w:line="360" w:lineRule="exact"/>
        <w:ind w:firstLine="420"/>
        <w:rPr>
          <w:rFonts w:ascii="宋体" w:hAnsi="宋体" w:cs="宋体"/>
          <w:color w:val="auto"/>
          <w:sz w:val="24"/>
          <w:szCs w:val="24"/>
          <w:highlight w:val="none"/>
        </w:rPr>
      </w:pPr>
      <w:r>
        <w:rPr>
          <w:rFonts w:ascii="宋体" w:hAnsi="宋体" w:cs="宋体"/>
          <w:color w:val="auto"/>
          <w:sz w:val="24"/>
          <w:szCs w:val="24"/>
          <w:highlight w:val="none"/>
        </w:rPr>
        <w:t>Xi&lt;Y时,得分=4</w:t>
      </w:r>
      <w:r>
        <w:rPr>
          <w:rFonts w:hint="eastAsia" w:ascii="宋体" w:hAnsi="宋体" w:cs="宋体"/>
          <w:color w:val="auto"/>
          <w:sz w:val="24"/>
          <w:szCs w:val="24"/>
          <w:highlight w:val="none"/>
        </w:rPr>
        <w:t>0</w:t>
      </w:r>
      <w:r>
        <w:rPr>
          <w:rFonts w:ascii="宋体" w:hAnsi="宋体" w:cs="宋体"/>
          <w:color w:val="auto"/>
          <w:sz w:val="24"/>
          <w:szCs w:val="24"/>
          <w:highlight w:val="none"/>
        </w:rPr>
        <w:t>-(Y-Xi)×2×100</w:t>
      </w:r>
    </w:p>
    <w:p>
      <w:pPr>
        <w:spacing w:line="360" w:lineRule="exact"/>
        <w:ind w:firstLine="420"/>
        <w:rPr>
          <w:rFonts w:ascii="宋体" w:hAnsi="宋体" w:cs="宋体"/>
          <w:color w:val="auto"/>
          <w:sz w:val="24"/>
          <w:szCs w:val="24"/>
          <w:highlight w:val="none"/>
        </w:rPr>
      </w:pPr>
      <w:r>
        <w:rPr>
          <w:rFonts w:ascii="宋体" w:hAnsi="宋体" w:cs="宋体"/>
          <w:color w:val="auto"/>
          <w:sz w:val="24"/>
          <w:szCs w:val="24"/>
          <w:highlight w:val="none"/>
        </w:rPr>
        <w:t>Xi&gt;Y时,得分=4</w:t>
      </w:r>
      <w:r>
        <w:rPr>
          <w:rFonts w:hint="eastAsia" w:ascii="宋体" w:hAnsi="宋体" w:cs="宋体"/>
          <w:color w:val="auto"/>
          <w:sz w:val="24"/>
          <w:szCs w:val="24"/>
          <w:highlight w:val="none"/>
        </w:rPr>
        <w:t>0</w:t>
      </w:r>
      <w:r>
        <w:rPr>
          <w:rFonts w:ascii="宋体" w:hAnsi="宋体" w:cs="宋体"/>
          <w:color w:val="auto"/>
          <w:sz w:val="24"/>
          <w:szCs w:val="24"/>
          <w:highlight w:val="none"/>
        </w:rPr>
        <w:t>-(Xi-Y)×1×100</w:t>
      </w:r>
    </w:p>
    <w:p>
      <w:pPr>
        <w:adjustRightInd w:val="0"/>
        <w:snapToGrid w:val="0"/>
        <w:spacing w:line="320" w:lineRule="exact"/>
        <w:ind w:firstLine="477" w:firstLineChars="199"/>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下浮率计算和商务部分评估计算结果均精确到小数点后两位，小数点后第三位四舍五入</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spacing w:line="32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2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spacing w:line="32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pStyle w:val="10"/>
        <w:rPr>
          <w:rFonts w:asciiTheme="minorEastAsia" w:hAnsiTheme="minorEastAsia" w:eastAsiaTheme="minorEastAsia" w:cstheme="minorEastAsia"/>
          <w:color w:val="auto"/>
          <w:highlight w:val="none"/>
        </w:rPr>
      </w:pPr>
    </w:p>
    <w:p>
      <w:pPr>
        <w:rPr>
          <w:rFonts w:hint="eastAsia"/>
          <w:color w:val="auto"/>
          <w:highlight w:val="none"/>
        </w:rPr>
      </w:pPr>
      <w:bookmarkStart w:id="418" w:name="_Toc2565"/>
      <w:bookmarkStart w:id="419" w:name="_Toc229646768"/>
      <w:bookmarkStart w:id="420" w:name="_Toc144974577"/>
      <w:bookmarkStart w:id="421" w:name="_Toc152042387"/>
      <w:bookmarkStart w:id="422" w:name="_Toc152045609"/>
      <w:bookmarkStart w:id="423" w:name="_Toc392345963"/>
      <w:r>
        <w:rPr>
          <w:rFonts w:hint="eastAsia"/>
          <w:color w:val="auto"/>
          <w:highlight w:val="none"/>
        </w:rPr>
        <w:br w:type="page"/>
      </w:r>
    </w:p>
    <w:p>
      <w:pPr>
        <w:pStyle w:val="2"/>
        <w:rPr>
          <w:color w:val="auto"/>
          <w:highlight w:val="none"/>
        </w:rPr>
      </w:pPr>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18320"/>
      <w:bookmarkStart w:id="425" w:name="_Toc406074420"/>
      <w:bookmarkStart w:id="426" w:name="_Toc297017781"/>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绍兴市妇幼保健院（绍兴市儿童医院）建设项目净化项目。</w:t>
      </w:r>
    </w:p>
    <w:p>
      <w:pPr>
        <w:pStyle w:val="26"/>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rFonts w:ascii="宋体" w:hAnsi="宋体"/>
          <w:color w:val="auto"/>
          <w:szCs w:val="21"/>
          <w:highlight w:val="none"/>
        </w:rPr>
      </w:pPr>
      <w:r>
        <w:rPr>
          <w:rFonts w:hint="eastAsia"/>
          <w:color w:val="auto"/>
          <w:szCs w:val="21"/>
          <w:highlight w:val="none"/>
        </w:rPr>
        <w:t>3、项目内容：</w:t>
      </w:r>
      <w:r>
        <w:rPr>
          <w:rFonts w:hint="eastAsia" w:ascii="宋体" w:hAnsi="宋体"/>
          <w:color w:val="auto"/>
          <w:szCs w:val="21"/>
          <w:highlight w:val="none"/>
        </w:rPr>
        <w:t>绍兴市妇幼保健院（绍兴市儿童医院）净化工程，范围主要包括：手术部、隔离待产分娩病房、产房手术室、PICU和MICU负压病房、中心供应室、静脉配置中心、病理科PCR实验室、遗传科PCR实验室、细胞、分子实验室等科室工作区域的装饰、空调、强电、弱电、给排水专业，详见招标文件的“技术标准和要求”。</w:t>
      </w:r>
    </w:p>
    <w:p>
      <w:pPr>
        <w:spacing w:line="360" w:lineRule="auto"/>
        <w:ind w:firstLine="420" w:firstLineChars="200"/>
        <w:rPr>
          <w:color w:val="auto"/>
          <w:szCs w:val="21"/>
          <w:highlight w:val="none"/>
          <w:u w:val="single"/>
        </w:rPr>
      </w:pPr>
      <w:r>
        <w:rPr>
          <w:rFonts w:hint="eastAsia" w:ascii="宋体" w:hAnsi="宋体"/>
          <w:color w:val="auto"/>
          <w:szCs w:val="21"/>
          <w:highlight w:val="none"/>
        </w:rPr>
        <w:t>招标人提供的净化工程的施工图纸及工程量清单中的所有内容，包括净化系统的进一步深化设计、预留孔洞、设备基础、预埋铁构件、预埋管、套管及其封堵、设备材料供货、运输、卸货、保管、施工、安装、调试、检测、并最终通过验收，同时负责技术服务与培训，提交相关技术资料以及质保期内的维修保养等</w:t>
      </w:r>
      <w:r>
        <w:rPr>
          <w:rFonts w:hint="eastAsia"/>
          <w:color w:val="auto"/>
          <w:szCs w:val="21"/>
          <w:highlight w:val="none"/>
          <w:u w:val="single"/>
        </w:rPr>
        <w:t>。</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62"/>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62"/>
        <w:spacing w:line="360" w:lineRule="auto"/>
        <w:ind w:firstLine="632" w:firstLineChars="300"/>
        <w:rPr>
          <w:rFonts w:ascii="宋体" w:hAnsi="宋体" w:cs="宋体"/>
          <w:color w:val="auto"/>
          <w:highlight w:val="none"/>
        </w:rPr>
      </w:pPr>
      <w:r>
        <w:rPr>
          <w:rFonts w:hint="eastAsia" w:hAnsi="宋体"/>
          <w:b/>
          <w:bCs/>
          <w:color w:val="auto"/>
          <w:highlight w:val="none"/>
          <w:u w:val="single"/>
        </w:rPr>
        <w:t>以招标人发出的开工指令后1</w:t>
      </w:r>
      <w:r>
        <w:rPr>
          <w:rFonts w:hint="eastAsia" w:hAnsi="宋体"/>
          <w:b/>
          <w:bCs/>
          <w:color w:val="auto"/>
          <w:highlight w:val="none"/>
          <w:u w:val="single"/>
          <w:lang w:val="en-US" w:eastAsia="zh-CN"/>
        </w:rPr>
        <w:t>3</w:t>
      </w:r>
      <w:r>
        <w:rPr>
          <w:rFonts w:hint="eastAsia" w:hAnsi="宋体"/>
          <w:b/>
          <w:bCs/>
          <w:color w:val="auto"/>
          <w:highlight w:val="none"/>
          <w:u w:val="single"/>
        </w:rPr>
        <w:t>0天内，完成设备及材料供货、安装、调试、试运行、独立第三方100%检测、验收及交付使用，具体应与工程施工总进度计划同步</w:t>
      </w:r>
      <w:r>
        <w:rPr>
          <w:rFonts w:hint="eastAsia" w:ascii="宋体" w:hAnsi="宋体" w:cs="宋体"/>
          <w:color w:val="auto"/>
          <w:highlight w:val="none"/>
        </w:rPr>
        <w:t>。</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10"/>
        <w:spacing w:line="360" w:lineRule="auto"/>
        <w:ind w:firstLine="630" w:firstLineChars="300"/>
        <w:rPr>
          <w:color w:val="auto"/>
          <w:sz w:val="21"/>
          <w:szCs w:val="21"/>
          <w:highlight w:val="none"/>
        </w:rPr>
      </w:pPr>
      <w:r>
        <w:rPr>
          <w:rFonts w:hint="eastAsia"/>
          <w:color w:val="auto"/>
          <w:sz w:val="21"/>
          <w:szCs w:val="21"/>
          <w:highlight w:val="none"/>
        </w:rPr>
        <w:t>合格。全力配合甲方争创钱江杯、鲁班奖。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6"/>
        <w:spacing w:line="360" w:lineRule="auto"/>
        <w:ind w:firstLineChars="200"/>
        <w:rPr>
          <w:color w:val="auto"/>
          <w:sz w:val="21"/>
          <w:szCs w:val="21"/>
          <w:highlight w:val="none"/>
        </w:rPr>
      </w:pPr>
      <w:r>
        <w:rPr>
          <w:rFonts w:hint="eastAsia"/>
          <w:color w:val="auto"/>
          <w:sz w:val="21"/>
          <w:szCs w:val="21"/>
          <w:highlight w:val="none"/>
        </w:rPr>
        <w:t>本项目釆用总价承包，货物清单中的工程量、清单描述若与图纸及答疑不一致时，以图纸及答疑为准并须满足各专业的功能要求，由乙方自行复核计算。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6"/>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6"/>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6"/>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6"/>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6"/>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ind w:firstLine="210"/>
        <w:rPr>
          <w:color w:val="auto"/>
          <w:szCs w:val="21"/>
          <w:highlight w:val="none"/>
          <w:u w:val="single"/>
        </w:rPr>
      </w:pPr>
    </w:p>
    <w:p>
      <w:pPr>
        <w:pStyle w:val="26"/>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6"/>
        <w:spacing w:line="360" w:lineRule="auto"/>
        <w:ind w:firstLine="210"/>
        <w:rPr>
          <w:color w:val="auto"/>
          <w:sz w:val="21"/>
          <w:szCs w:val="21"/>
          <w:highlight w:val="none"/>
          <w:u w:val="single"/>
        </w:rPr>
      </w:pPr>
      <w:r>
        <w:rPr>
          <w:rFonts w:hint="eastAsia"/>
          <w:color w:val="auto"/>
          <w:sz w:val="21"/>
          <w:szCs w:val="21"/>
          <w:highlight w:val="none"/>
          <w:u w:val="single"/>
        </w:rPr>
        <w:t xml:space="preserve"> </w:t>
      </w:r>
    </w:p>
    <w:p>
      <w:pPr>
        <w:spacing w:line="360" w:lineRule="auto"/>
        <w:rPr>
          <w:color w:val="auto"/>
          <w:szCs w:val="21"/>
          <w:highlight w:val="none"/>
          <w:u w:val="single"/>
        </w:rPr>
      </w:pPr>
    </w:p>
    <w:p>
      <w:pPr>
        <w:pStyle w:val="26"/>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6"/>
        <w:spacing w:line="360" w:lineRule="auto"/>
        <w:ind w:firstLine="210"/>
        <w:rPr>
          <w:color w:val="auto"/>
          <w:sz w:val="21"/>
          <w:szCs w:val="21"/>
          <w:highlight w:val="none"/>
          <w:u w:val="single"/>
        </w:rPr>
      </w:pPr>
    </w:p>
    <w:p>
      <w:pPr>
        <w:rPr>
          <w:color w:val="auto"/>
          <w:szCs w:val="21"/>
          <w:highlight w:val="none"/>
          <w:u w:val="single"/>
        </w:rPr>
      </w:pPr>
    </w:p>
    <w:p>
      <w:pPr>
        <w:pStyle w:val="26"/>
        <w:ind w:firstLine="210"/>
        <w:rPr>
          <w:color w:val="auto"/>
          <w:sz w:val="21"/>
          <w:szCs w:val="21"/>
          <w:highlight w:val="none"/>
          <w:u w:val="single"/>
        </w:rPr>
      </w:pPr>
    </w:p>
    <w:p>
      <w:pPr>
        <w:rPr>
          <w:color w:val="auto"/>
          <w:szCs w:val="21"/>
          <w:highlight w:val="none"/>
          <w:u w:val="single"/>
        </w:rPr>
      </w:pPr>
    </w:p>
    <w:p>
      <w:pPr>
        <w:pStyle w:val="26"/>
        <w:ind w:firstLine="340"/>
        <w:rPr>
          <w:color w:val="auto"/>
          <w:highlight w:val="none"/>
        </w:rPr>
      </w:pPr>
    </w:p>
    <w:p>
      <w:pPr>
        <w:spacing w:line="360" w:lineRule="auto"/>
        <w:rPr>
          <w:color w:val="auto"/>
          <w:szCs w:val="21"/>
          <w:highlight w:val="none"/>
          <w:u w:val="single"/>
        </w:rPr>
      </w:pPr>
    </w:p>
    <w:p>
      <w:pPr>
        <w:spacing w:line="240" w:lineRule="auto"/>
        <w:jc w:val="left"/>
        <w:rPr>
          <w:rFonts w:hint="eastAsia"/>
          <w:b/>
          <w:color w:val="auto"/>
          <w:szCs w:val="21"/>
          <w:highlight w:val="none"/>
        </w:rPr>
      </w:pPr>
      <w:bookmarkStart w:id="427" w:name="_Toc297017782"/>
      <w:bookmarkStart w:id="428" w:name="_Toc406074421"/>
      <w:r>
        <w:rPr>
          <w:rFonts w:hint="eastAsia"/>
          <w:b/>
          <w:color w:val="auto"/>
          <w:szCs w:val="21"/>
          <w:highlight w:val="none"/>
        </w:rPr>
        <w:br w:type="page"/>
      </w:r>
    </w:p>
    <w:p>
      <w:pPr>
        <w:spacing w:line="360" w:lineRule="auto"/>
        <w:jc w:val="center"/>
        <w:rPr>
          <w:b/>
          <w:color w:val="auto"/>
          <w:szCs w:val="21"/>
          <w:highlight w:val="none"/>
        </w:rPr>
      </w:pPr>
      <w:r>
        <w:rPr>
          <w:rFonts w:hint="eastAsia"/>
          <w:b/>
          <w:color w:val="auto"/>
          <w:szCs w:val="21"/>
          <w:highlight w:val="none"/>
        </w:rPr>
        <w:t>二、合同一般条款</w:t>
      </w:r>
      <w:bookmarkEnd w:id="427"/>
      <w:bookmarkEnd w:id="428"/>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29" w:name="_Toc28660"/>
      <w:r>
        <w:rPr>
          <w:rFonts w:hint="eastAsia"/>
          <w:color w:val="auto"/>
          <w:szCs w:val="21"/>
          <w:highlight w:val="none"/>
        </w:rPr>
        <w:t>2、产品的质量、技术标准</w:t>
      </w:r>
      <w:bookmarkEnd w:id="429"/>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0" w:name="_Toc23533"/>
      <w:r>
        <w:rPr>
          <w:rFonts w:hint="eastAsia"/>
          <w:color w:val="auto"/>
          <w:szCs w:val="21"/>
          <w:highlight w:val="none"/>
        </w:rPr>
        <w:t>4、质量保证期</w:t>
      </w:r>
      <w:bookmarkEnd w:id="430"/>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1" w:name="_Toc4104"/>
      <w:r>
        <w:rPr>
          <w:rFonts w:hint="eastAsia"/>
          <w:color w:val="auto"/>
          <w:szCs w:val="21"/>
          <w:highlight w:val="none"/>
        </w:rPr>
        <w:t>5、合同修改</w:t>
      </w:r>
      <w:bookmarkEnd w:id="431"/>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2" w:name="_Toc21842"/>
      <w:r>
        <w:rPr>
          <w:rFonts w:hint="eastAsia"/>
          <w:color w:val="auto"/>
          <w:szCs w:val="21"/>
          <w:highlight w:val="none"/>
        </w:rPr>
        <w:t>6、违约责任</w:t>
      </w:r>
      <w:bookmarkEnd w:id="432"/>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7.1凡有关本合同或执行本合同中发生的争端，甲方及丙方应通过友好协商，妥善解决。如通过协商仍不能解决时，可向项目所在地人民法院申请调解或处理。</w:t>
      </w:r>
    </w:p>
    <w:p>
      <w:pPr>
        <w:spacing w:line="360" w:lineRule="auto"/>
        <w:ind w:firstLine="210"/>
        <w:rPr>
          <w:color w:val="auto"/>
          <w:szCs w:val="21"/>
          <w:highlight w:val="none"/>
        </w:rPr>
      </w:pPr>
      <w:r>
        <w:rPr>
          <w:rFonts w:hint="eastAsia"/>
          <w:color w:val="auto"/>
          <w:szCs w:val="21"/>
          <w:highlight w:val="none"/>
        </w:rPr>
        <w:t xml:space="preserve">  7.2争议费用除裁决机构另有裁决外，由败诉方承担。</w:t>
      </w:r>
    </w:p>
    <w:p>
      <w:pPr>
        <w:spacing w:line="360" w:lineRule="auto"/>
        <w:ind w:firstLine="210"/>
        <w:rPr>
          <w:color w:val="auto"/>
          <w:szCs w:val="21"/>
          <w:highlight w:val="none"/>
        </w:rPr>
      </w:pPr>
      <w:r>
        <w:rPr>
          <w:rFonts w:hint="eastAsia"/>
          <w:color w:val="auto"/>
          <w:szCs w:val="21"/>
          <w:highlight w:val="none"/>
        </w:rPr>
        <w:t xml:space="preserve">  7.3在裁决期间，除争议部分外，本合同其他部分应继续执行。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3" w:name="_Toc297017783"/>
      <w:bookmarkStart w:id="434" w:name="_Toc406074422"/>
      <w:bookmarkStart w:id="435" w:name="_Toc17297"/>
      <w:r>
        <w:rPr>
          <w:rFonts w:hint="eastAsia"/>
          <w:b/>
          <w:bCs/>
          <w:color w:val="auto"/>
          <w:szCs w:val="21"/>
          <w:highlight w:val="none"/>
        </w:rPr>
        <w:t>三、合同专用条款</w:t>
      </w:r>
      <w:bookmarkEnd w:id="433"/>
      <w:bookmarkEnd w:id="434"/>
      <w:bookmarkEnd w:id="435"/>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1</w:t>
      </w:r>
      <w:r>
        <w:rPr>
          <w:rFonts w:hint="eastAsia"/>
          <w:color w:val="auto"/>
          <w:szCs w:val="21"/>
          <w:highlight w:val="none"/>
          <w:u w:val="single"/>
          <w:lang w:val="en-US" w:eastAsia="zh-CN"/>
        </w:rPr>
        <w:t>3</w:t>
      </w:r>
      <w:r>
        <w:rPr>
          <w:rFonts w:hint="eastAsia"/>
          <w:color w:val="auto"/>
          <w:szCs w:val="21"/>
          <w:highlight w:val="none"/>
          <w:u w:val="single"/>
        </w:rPr>
        <w:t xml:space="preserve">0 </w:t>
      </w:r>
      <w:r>
        <w:rPr>
          <w:rFonts w:hint="eastAsia"/>
          <w:color w:val="auto"/>
          <w:szCs w:val="21"/>
          <w:highlight w:val="none"/>
        </w:rPr>
        <w:t xml:space="preserve"> 天。其中深化设计</w:t>
      </w:r>
      <w:r>
        <w:rPr>
          <w:rFonts w:hint="eastAsia"/>
          <w:color w:val="auto"/>
          <w:szCs w:val="21"/>
          <w:highlight w:val="none"/>
          <w:u w:val="single"/>
        </w:rPr>
        <w:t xml:space="preserve">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w:t>
      </w:r>
      <w:r>
        <w:rPr>
          <w:rFonts w:hint="eastAsia"/>
          <w:color w:val="auto"/>
          <w:szCs w:val="21"/>
          <w:highlight w:val="none"/>
        </w:rPr>
        <w:t>天，现场安装、调试、交验</w:t>
      </w:r>
      <w:r>
        <w:rPr>
          <w:rFonts w:hint="eastAsia"/>
          <w:color w:val="auto"/>
          <w:szCs w:val="21"/>
          <w:highlight w:val="none"/>
          <w:u w:val="single"/>
        </w:rPr>
        <w:t xml:space="preserve">       </w:t>
      </w:r>
      <w:r>
        <w:rPr>
          <w:rFonts w:hint="eastAsia"/>
          <w:color w:val="auto"/>
          <w:szCs w:val="21"/>
          <w:highlight w:val="none"/>
        </w:rPr>
        <w:t>天；</w:t>
      </w:r>
      <w:r>
        <w:rPr>
          <w:rFonts w:hint="eastAsia" w:ascii="宋体" w:hAnsi="宋体" w:cs="宋体"/>
          <w:color w:val="auto"/>
          <w:szCs w:val="21"/>
          <w:highlight w:val="none"/>
        </w:rPr>
        <w:t>自</w:t>
      </w:r>
      <w:r>
        <w:rPr>
          <w:rFonts w:hint="eastAsia"/>
          <w:color w:val="auto"/>
          <w:szCs w:val="21"/>
          <w:highlight w:val="none"/>
        </w:rPr>
        <w:t>甲方及丙、丁方发出书面排产通知日（即开工报告）开始计算工期。单项工期与总工期分别进行考核，如有延期，均追究相应责任。</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6" w:name="_Toc21937"/>
      <w:r>
        <w:rPr>
          <w:rFonts w:hint="eastAsia"/>
          <w:bCs/>
          <w:color w:val="auto"/>
          <w:szCs w:val="21"/>
          <w:highlight w:val="none"/>
        </w:rPr>
        <w:t>6、</w:t>
      </w:r>
      <w:r>
        <w:rPr>
          <w:rFonts w:hint="eastAsia"/>
          <w:color w:val="auto"/>
          <w:szCs w:val="21"/>
          <w:highlight w:val="none"/>
        </w:rPr>
        <w:t>付款方式</w:t>
      </w:r>
      <w:bookmarkEnd w:id="436"/>
    </w:p>
    <w:p>
      <w:pPr>
        <w:pStyle w:val="63"/>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3"/>
        <w:adjustRightInd w:val="0"/>
        <w:snapToGrid w:val="0"/>
        <w:spacing w:before="0"/>
        <w:ind w:firstLine="420"/>
        <w:rPr>
          <w:color w:val="auto"/>
          <w:sz w:val="21"/>
          <w:szCs w:val="21"/>
          <w:highlight w:val="none"/>
        </w:rPr>
      </w:pPr>
      <w:r>
        <w:rPr>
          <w:rFonts w:hint="eastAsia"/>
          <w:color w:val="auto"/>
          <w:sz w:val="21"/>
          <w:szCs w:val="21"/>
          <w:highlight w:val="none"/>
        </w:rPr>
        <w:t>第1次付款：</w:t>
      </w:r>
      <w:r>
        <w:rPr>
          <w:rFonts w:hint="eastAsia" w:ascii="宋体" w:hAnsi="宋体"/>
          <w:color w:val="auto"/>
          <w:sz w:val="21"/>
          <w:szCs w:val="21"/>
          <w:highlight w:val="none"/>
        </w:rPr>
        <w:t>合同签订生效后，发包人向承包人支付合同总价的30</w:t>
      </w:r>
      <w:r>
        <w:rPr>
          <w:rFonts w:ascii="宋体" w:hAnsi="宋体"/>
          <w:color w:val="auto"/>
          <w:sz w:val="21"/>
          <w:szCs w:val="21"/>
          <w:highlight w:val="none"/>
        </w:rPr>
        <w:t>%的预付款。预付款与合同履行同步进行，预付款支付进程不得影响合同的履行</w:t>
      </w:r>
      <w:r>
        <w:rPr>
          <w:rFonts w:hint="eastAsia"/>
          <w:color w:val="auto"/>
          <w:sz w:val="21"/>
          <w:szCs w:val="21"/>
          <w:highlight w:val="none"/>
        </w:rPr>
        <w:t>，乙方不得以预付款支付问题停止合同的履行。</w:t>
      </w:r>
    </w:p>
    <w:p>
      <w:pPr>
        <w:pStyle w:val="63"/>
        <w:numPr>
          <w:ilvl w:val="0"/>
          <w:numId w:val="5"/>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3"/>
        <w:adjustRightInd w:val="0"/>
        <w:snapToGrid w:val="0"/>
        <w:spacing w:before="0"/>
        <w:ind w:firstLine="420"/>
        <w:rPr>
          <w:rFonts w:ascii="宋体" w:hAnsi="宋体"/>
          <w:color w:val="auto"/>
          <w:sz w:val="21"/>
          <w:szCs w:val="21"/>
          <w:highlight w:val="none"/>
        </w:rPr>
      </w:pPr>
      <w:r>
        <w:rPr>
          <w:rFonts w:hint="eastAsia"/>
          <w:color w:val="auto"/>
          <w:sz w:val="21"/>
          <w:szCs w:val="21"/>
          <w:highlight w:val="none"/>
        </w:rPr>
        <w:t>第2次付款：主要设备到货并初验合格后，支付至合同</w:t>
      </w:r>
      <w:r>
        <w:rPr>
          <w:rFonts w:hint="eastAsia" w:ascii="宋体" w:hAnsi="宋体"/>
          <w:bCs/>
          <w:color w:val="auto"/>
          <w:sz w:val="21"/>
          <w:szCs w:val="21"/>
          <w:highlight w:val="none"/>
        </w:rPr>
        <w:t>总</w:t>
      </w:r>
      <w:r>
        <w:rPr>
          <w:rFonts w:hint="eastAsia"/>
          <w:color w:val="auto"/>
          <w:sz w:val="21"/>
          <w:szCs w:val="21"/>
          <w:highlight w:val="none"/>
        </w:rPr>
        <w:t>价的60%</w:t>
      </w:r>
      <w:r>
        <w:rPr>
          <w:rFonts w:ascii="宋体" w:hAnsi="宋体"/>
          <w:color w:val="auto"/>
          <w:sz w:val="21"/>
          <w:szCs w:val="21"/>
          <w:highlight w:val="none"/>
        </w:rPr>
        <w:t>。</w:t>
      </w:r>
    </w:p>
    <w:p>
      <w:pPr>
        <w:pStyle w:val="63"/>
        <w:adjustRightInd w:val="0"/>
        <w:snapToGrid w:val="0"/>
        <w:spacing w:before="0"/>
        <w:ind w:firstLine="420"/>
        <w:rPr>
          <w:rFonts w:ascii="宋体" w:hAnsi="宋体"/>
          <w:color w:val="auto"/>
          <w:sz w:val="21"/>
          <w:szCs w:val="21"/>
          <w:highlight w:val="none"/>
        </w:rPr>
      </w:pPr>
      <w:r>
        <w:rPr>
          <w:rFonts w:hint="eastAsia" w:ascii="宋体" w:hAnsi="宋体"/>
          <w:color w:val="auto"/>
          <w:sz w:val="21"/>
          <w:szCs w:val="21"/>
          <w:highlight w:val="none"/>
        </w:rPr>
        <w:t>第3次付款：</w:t>
      </w:r>
      <w:r>
        <w:rPr>
          <w:rFonts w:hint="eastAsia" w:ascii="宋体" w:hAnsi="宋体"/>
          <w:b/>
          <w:color w:val="auto"/>
          <w:sz w:val="21"/>
          <w:szCs w:val="21"/>
          <w:highlight w:val="none"/>
        </w:rPr>
        <w:t>在所有设备安装、调试完成，经过试运行，通过验收并按买方要求移交所有资料后10个工作日内支付合同总价的85%，并退还履约保证金</w:t>
      </w:r>
      <w:r>
        <w:rPr>
          <w:rFonts w:ascii="宋体" w:hAnsi="宋体"/>
          <w:color w:val="auto"/>
          <w:sz w:val="21"/>
          <w:szCs w:val="21"/>
          <w:highlight w:val="none"/>
        </w:rPr>
        <w:t>。</w:t>
      </w:r>
    </w:p>
    <w:p>
      <w:pPr>
        <w:pStyle w:val="63"/>
        <w:adjustRightInd w:val="0"/>
        <w:snapToGrid w:val="0"/>
        <w:spacing w:before="0"/>
        <w:ind w:firstLine="480"/>
        <w:rPr>
          <w:rFonts w:ascii="宋体" w:hAnsi="宋体"/>
          <w:color w:val="auto"/>
          <w:sz w:val="21"/>
          <w:szCs w:val="21"/>
          <w:highlight w:val="none"/>
        </w:rPr>
      </w:pPr>
      <w:r>
        <w:rPr>
          <w:rFonts w:hint="eastAsia" w:ascii="宋体" w:hAnsi="宋体"/>
          <w:color w:val="auto"/>
          <w:szCs w:val="21"/>
          <w:highlight w:val="none"/>
        </w:rPr>
        <w:t>第4次付款：</w:t>
      </w:r>
      <w:r>
        <w:rPr>
          <w:rFonts w:hint="eastAsia" w:ascii="宋体" w:hAnsi="宋体"/>
          <w:b/>
          <w:color w:val="auto"/>
          <w:sz w:val="21"/>
          <w:szCs w:val="21"/>
          <w:highlight w:val="none"/>
        </w:rPr>
        <w:t>通过验收并试运行二个月后</w:t>
      </w:r>
      <w:r>
        <w:rPr>
          <w:rFonts w:ascii="宋体" w:hAnsi="宋体"/>
          <w:b/>
          <w:color w:val="auto"/>
          <w:sz w:val="21"/>
          <w:szCs w:val="21"/>
          <w:highlight w:val="none"/>
        </w:rPr>
        <w:t>10个工作日内支付至结算总价的97.5%，余款2.5%待质量保证期满无质量问题经买方确认后10工作日内付清（不计利息）</w:t>
      </w:r>
      <w:r>
        <w:rPr>
          <w:rFonts w:ascii="宋体" w:hAnsi="宋体"/>
          <w:color w:val="auto"/>
          <w:sz w:val="21"/>
          <w:szCs w:val="21"/>
          <w:highlight w:val="none"/>
        </w:rPr>
        <w:t>。</w:t>
      </w:r>
    </w:p>
    <w:p>
      <w:pPr>
        <w:pStyle w:val="63"/>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第5次付款：余款2.5%（不计利息）作为保修金，在保修期满后后15日内一次性付清</w:t>
      </w:r>
      <w:r>
        <w:rPr>
          <w:rFonts w:hint="eastAsia"/>
          <w:color w:val="auto"/>
          <w:sz w:val="21"/>
          <w:szCs w:val="21"/>
          <w:highlight w:val="none"/>
        </w:rPr>
        <w:t>。</w:t>
      </w:r>
    </w:p>
    <w:p>
      <w:pPr>
        <w:pStyle w:val="63"/>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3"/>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3"/>
        <w:adjustRightInd w:val="0"/>
        <w:snapToGrid w:val="0"/>
        <w:spacing w:before="0"/>
        <w:ind w:firstLine="422"/>
        <w:rPr>
          <w:b/>
          <w:strike/>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r>
        <w:rPr>
          <w:rFonts w:hint="eastAsia"/>
          <w:b/>
          <w:color w:val="auto"/>
          <w:sz w:val="21"/>
          <w:szCs w:val="21"/>
          <w:highlight w:val="none"/>
          <w:u w:val="single"/>
        </w:rPr>
        <w:t>。</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lang w:val="en-US" w:eastAsia="zh-CN"/>
        </w:rPr>
        <w:t>本工程采用</w:t>
      </w:r>
      <w:r>
        <w:rPr>
          <w:rFonts w:hint="eastAsia" w:ascii="宋体" w:eastAsia="宋体"/>
          <w:color w:val="auto"/>
          <w:sz w:val="21"/>
          <w:szCs w:val="21"/>
          <w:highlight w:val="none"/>
        </w:rPr>
        <w:t>总价</w:t>
      </w:r>
      <w:r>
        <w:rPr>
          <w:rFonts w:hint="eastAsia" w:ascii="宋体" w:eastAsia="宋体"/>
          <w:color w:val="auto"/>
          <w:sz w:val="21"/>
          <w:szCs w:val="21"/>
          <w:highlight w:val="none"/>
          <w:lang w:val="en-US" w:eastAsia="zh-CN"/>
        </w:rPr>
        <w:t>合同</w:t>
      </w:r>
      <w:r>
        <w:rPr>
          <w:rFonts w:hint="eastAsia" w:ascii="宋体" w:eastAsia="宋体"/>
          <w:color w:val="auto"/>
          <w:sz w:val="21"/>
          <w:szCs w:val="21"/>
          <w:highlight w:val="none"/>
          <w:lang w:eastAsia="zh-CN"/>
        </w:rPr>
        <w:t>，</w:t>
      </w:r>
      <w:r>
        <w:rPr>
          <w:rFonts w:hint="eastAsia" w:ascii="宋体" w:eastAsia="宋体"/>
          <w:color w:val="auto"/>
          <w:sz w:val="21"/>
          <w:szCs w:val="21"/>
          <w:highlight w:val="none"/>
        </w:rPr>
        <w:t>丙、丁方有权增减工作范围，该费用应予以增减，在结算时按中标单价按实调整</w:t>
      </w:r>
      <w:r>
        <w:rPr>
          <w:rFonts w:hint="eastAsia" w:ascii="宋体" w:eastAsia="宋体"/>
          <w:color w:val="auto"/>
          <w:sz w:val="21"/>
          <w:szCs w:val="21"/>
          <w:highlight w:val="none"/>
          <w:lang w:eastAsia="zh-CN"/>
        </w:rPr>
        <w:t>，</w:t>
      </w:r>
      <w:r>
        <w:rPr>
          <w:rFonts w:hint="eastAsia" w:ascii="宋体" w:eastAsia="宋体"/>
          <w:color w:val="auto"/>
          <w:sz w:val="21"/>
          <w:szCs w:val="21"/>
          <w:highlight w:val="none"/>
          <w:lang w:val="en-US" w:eastAsia="zh-CN"/>
        </w:rPr>
        <w:t>漏项部分需优化设计，最多不超过合同总价的5%，5%以内部分按实结算，超过5%以上部分不予支付，视为乙方为做好优化设计工作，漏项部分单价定价需以最终的审计为准</w:t>
      </w:r>
      <w:r>
        <w:rPr>
          <w:rFonts w:hint="eastAsia" w:ascii="宋体" w:eastAsia="宋体"/>
          <w:color w:val="auto"/>
          <w:sz w:val="21"/>
          <w:szCs w:val="21"/>
          <w:highlight w:val="none"/>
        </w:rPr>
        <w:t>。</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6"/>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4"/>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7" w:name="_Toc812"/>
      <w:r>
        <w:rPr>
          <w:rFonts w:hint="eastAsia"/>
          <w:b/>
          <w:color w:val="auto"/>
          <w:szCs w:val="21"/>
          <w:highlight w:val="none"/>
        </w:rPr>
        <w:t>12、设备的安装、调试</w:t>
      </w:r>
      <w:bookmarkEnd w:id="437"/>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8" w:name="_Toc8150"/>
      <w:r>
        <w:rPr>
          <w:rFonts w:hint="eastAsia"/>
          <w:b/>
          <w:color w:val="auto"/>
          <w:szCs w:val="21"/>
          <w:highlight w:val="none"/>
        </w:rPr>
        <w:t>14、质保及维修</w:t>
      </w:r>
      <w:bookmarkEnd w:id="438"/>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rPr>
        <w:t>（具体时间以投标文件为准）</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
          <w:color w:val="auto"/>
          <w:szCs w:val="21"/>
          <w:highlight w:val="none"/>
          <w:u w:val="single"/>
        </w:rPr>
        <w:t>36</w:t>
      </w:r>
      <w:r>
        <w:rPr>
          <w:rFonts w:hint="eastAsia"/>
          <w:bCs/>
          <w:color w:val="auto"/>
          <w:szCs w:val="21"/>
          <w:highlight w:val="none"/>
          <w:u w:val="single"/>
        </w:rPr>
        <w:t>个月</w:t>
      </w:r>
      <w:r>
        <w:rPr>
          <w:rFonts w:hint="eastAsia" w:ascii="宋体" w:hAnsi="宋体" w:cs="宋体"/>
          <w:b/>
          <w:bCs/>
          <w:color w:val="auto"/>
          <w:szCs w:val="21"/>
          <w:highlight w:val="none"/>
          <w:u w:val="single"/>
        </w:rPr>
        <w:t>（具体时间以投标文件为准）</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4"/>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4"/>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39" w:name="_Toc10358"/>
      <w:r>
        <w:rPr>
          <w:rFonts w:hint="eastAsia"/>
          <w:b/>
          <w:color w:val="auto"/>
          <w:szCs w:val="21"/>
          <w:highlight w:val="none"/>
        </w:rPr>
        <w:t>16、违约责任</w:t>
      </w:r>
      <w:bookmarkEnd w:id="439"/>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rPr>
        <w:t>协商一致后</w:t>
      </w:r>
      <w:r>
        <w:rPr>
          <w:rFonts w:hint="eastAsia"/>
          <w:color w:val="auto"/>
          <w:szCs w:val="21"/>
          <w:highlight w:val="none"/>
        </w:rPr>
        <w:t>有权解除合同</w:t>
      </w:r>
      <w:r>
        <w:rPr>
          <w:color w:val="auto"/>
          <w:szCs w:val="21"/>
          <w:highlight w:val="none"/>
        </w:rPr>
        <w:t>、</w:t>
      </w:r>
      <w:r>
        <w:rPr>
          <w:rFonts w:hint="eastAsia" w:ascii="宋体" w:hAnsi="宋体" w:cs="宋体"/>
          <w:color w:val="auto"/>
          <w:szCs w:val="21"/>
          <w:highlight w:val="none"/>
        </w:rPr>
        <w:t>甲方</w:t>
      </w:r>
      <w:r>
        <w:rPr>
          <w:rFonts w:hint="eastAsia"/>
          <w:color w:val="auto"/>
          <w:szCs w:val="21"/>
          <w:highlight w:val="none"/>
        </w:rPr>
        <w:t>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6"/>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或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0" w:name="_Toc18664"/>
      <w:r>
        <w:rPr>
          <w:rFonts w:hint="eastAsia"/>
          <w:color w:val="auto"/>
          <w:szCs w:val="21"/>
          <w:highlight w:val="none"/>
        </w:rPr>
        <w:t>17、其他</w:t>
      </w:r>
      <w:bookmarkEnd w:id="440"/>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6"/>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未能按要求完成修复的，扣 ？？？</w:t>
      </w:r>
      <w:r>
        <w:rPr>
          <w:color w:val="auto"/>
          <w:szCs w:val="21"/>
          <w:highlight w:val="none"/>
        </w:rPr>
        <w:t xml:space="preserve">   </w:t>
      </w:r>
      <w:r>
        <w:rPr>
          <w:rFonts w:hint="eastAsia"/>
          <w:color w:val="auto"/>
          <w:szCs w:val="21"/>
          <w:highlight w:val="none"/>
        </w:rPr>
        <w:t>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1" w:name="OLE_LINK6"/>
      <w:r>
        <w:rPr>
          <w:rFonts w:hint="eastAsia"/>
          <w:color w:val="auto"/>
          <w:szCs w:val="21"/>
          <w:highlight w:val="none"/>
        </w:rPr>
        <w:t xml:space="preserve">  18.5</w:t>
      </w:r>
      <w:bookmarkEnd w:id="441"/>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19.净化系统设备供货内容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19.1具体详见招标文件所附设备清单</w:t>
      </w:r>
    </w:p>
    <w:p>
      <w:pPr>
        <w:spacing w:line="360" w:lineRule="auto"/>
        <w:ind w:firstLine="210"/>
        <w:rPr>
          <w:color w:val="auto"/>
          <w:szCs w:val="21"/>
          <w:highlight w:val="none"/>
        </w:rPr>
      </w:pPr>
      <w:r>
        <w:rPr>
          <w:rFonts w:hint="eastAsia"/>
          <w:color w:val="auto"/>
          <w:szCs w:val="21"/>
          <w:highlight w:val="none"/>
        </w:rPr>
        <w:t xml:space="preserve">  19.2本合同价格包括净化系统设备的深化设计、制造、运输、安装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5"/>
        <w:rPr>
          <w:color w:val="auto"/>
          <w:szCs w:val="21"/>
          <w:highlight w:val="none"/>
        </w:rPr>
      </w:pPr>
    </w:p>
    <w:p>
      <w:pPr>
        <w:rPr>
          <w:color w:val="auto"/>
          <w:szCs w:val="21"/>
          <w:highlight w:val="none"/>
        </w:rPr>
      </w:pPr>
    </w:p>
    <w:p>
      <w:pPr>
        <w:pStyle w:val="5"/>
        <w:rPr>
          <w:color w:val="auto"/>
          <w:szCs w:val="21"/>
          <w:highlight w:val="none"/>
        </w:rPr>
      </w:pPr>
    </w:p>
    <w:p>
      <w:pPr>
        <w:rPr>
          <w:color w:val="auto"/>
          <w:szCs w:val="21"/>
          <w:highlight w:val="none"/>
        </w:rPr>
      </w:pPr>
    </w:p>
    <w:p>
      <w:pPr>
        <w:pStyle w:val="5"/>
        <w:rPr>
          <w:color w:val="auto"/>
          <w:szCs w:val="21"/>
          <w:highlight w:val="none"/>
        </w:rPr>
      </w:pPr>
    </w:p>
    <w:p>
      <w:pPr>
        <w:rPr>
          <w:color w:val="auto"/>
          <w:szCs w:val="21"/>
          <w:highlight w:val="none"/>
        </w:rPr>
      </w:pPr>
    </w:p>
    <w:p>
      <w:pPr>
        <w:pStyle w:val="26"/>
        <w:rPr>
          <w:color w:val="auto"/>
          <w:szCs w:val="21"/>
          <w:highlight w:val="none"/>
        </w:rPr>
      </w:pPr>
    </w:p>
    <w:p>
      <w:pPr>
        <w:rPr>
          <w:color w:val="auto"/>
          <w:szCs w:val="21"/>
          <w:highlight w:val="none"/>
        </w:rPr>
      </w:pPr>
    </w:p>
    <w:p>
      <w:pPr>
        <w:pStyle w:val="26"/>
        <w:rPr>
          <w:color w:val="auto"/>
          <w:highlight w:val="none"/>
        </w:rPr>
      </w:pPr>
    </w:p>
    <w:p>
      <w:pPr>
        <w:rPr>
          <w:color w:val="auto"/>
          <w:szCs w:val="21"/>
          <w:highlight w:val="none"/>
        </w:rPr>
      </w:pPr>
    </w:p>
    <w:p>
      <w:pPr>
        <w:rPr>
          <w:color w:val="auto"/>
          <w:highlight w:val="none"/>
        </w:rPr>
      </w:pPr>
    </w:p>
    <w:p>
      <w:pPr>
        <w:pStyle w:val="4"/>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绍兴市妇幼保健院（绍兴市儿童医院）建设项目净化项目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u w:val="single"/>
        </w:rPr>
      </w:pPr>
      <w:r>
        <w:rPr>
          <w:rFonts w:hint="eastAsia"/>
          <w:color w:val="auto"/>
          <w:szCs w:val="21"/>
          <w:highlight w:val="none"/>
        </w:rPr>
        <w:t>日期：      年     月     日                           日期：     年     月       日</w:t>
      </w:r>
    </w:p>
    <w:p>
      <w:pPr>
        <w:spacing w:line="360" w:lineRule="auto"/>
        <w:rPr>
          <w:color w:val="auto"/>
          <w:szCs w:val="21"/>
          <w:highlight w:val="none"/>
        </w:rPr>
      </w:pPr>
      <w:r>
        <w:rPr>
          <w:rFonts w:hint="eastAsia"/>
          <w:color w:val="auto"/>
          <w:szCs w:val="21"/>
          <w:highlight w:val="none"/>
        </w:rPr>
        <w:br w:type="page"/>
      </w:r>
    </w:p>
    <w:p>
      <w:pPr>
        <w:pStyle w:val="4"/>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5" w:h="16838"/>
          <w:pgMar w:top="1417" w:right="1134" w:bottom="1417" w:left="1134" w:header="680" w:footer="680" w:gutter="0"/>
          <w:cols w:space="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绍兴市妇幼保健院（绍兴市儿童医院）建设项目净化项目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spacing w:line="360" w:lineRule="auto"/>
        <w:rPr>
          <w:color w:val="auto"/>
          <w:szCs w:val="21"/>
          <w:highlight w:val="none"/>
        </w:rPr>
      </w:pPr>
    </w:p>
    <w:p>
      <w:pPr>
        <w:pStyle w:val="26"/>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b/>
          <w:color w:val="auto"/>
          <w:szCs w:val="21"/>
          <w:highlight w:val="none"/>
        </w:rPr>
      </w:pPr>
    </w:p>
    <w:p>
      <w:pPr>
        <w:pStyle w:val="26"/>
        <w:ind w:firstLine="341"/>
        <w:rPr>
          <w:b/>
          <w:color w:val="auto"/>
          <w:szCs w:val="21"/>
          <w:highlight w:val="none"/>
        </w:rPr>
      </w:pPr>
    </w:p>
    <w:p>
      <w:pPr>
        <w:rPr>
          <w:color w:val="auto"/>
          <w:highlight w:val="none"/>
        </w:rPr>
      </w:pPr>
    </w:p>
    <w:p>
      <w:pPr>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2" w:name="_Toc30226"/>
      <w:r>
        <w:rPr>
          <w:rFonts w:hint="eastAsia" w:ascii="仿宋" w:hAnsi="仿宋" w:eastAsia="仿宋"/>
          <w:b/>
          <w:bCs/>
          <w:color w:val="auto"/>
          <w:szCs w:val="21"/>
          <w:highlight w:val="none"/>
        </w:rPr>
        <w:t>质 量 保 修 书</w:t>
      </w:r>
      <w:bookmarkEnd w:id="442"/>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4"/>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质量保修期为，工程经竣工验收合格并移交业主且</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 xml:space="preserve">使用产品之日起算 </w:t>
      </w:r>
      <w:r>
        <w:rPr>
          <w:rFonts w:ascii="仿宋" w:hAnsi="仿宋" w:eastAsia="仿宋"/>
          <w:color w:val="auto"/>
          <w:szCs w:val="21"/>
          <w:highlight w:val="none"/>
        </w:rPr>
        <w:t xml:space="preserve">    </w:t>
      </w:r>
      <w:r>
        <w:rPr>
          <w:rFonts w:hint="eastAsia" w:ascii="仿宋" w:hAnsi="仿宋" w:eastAsia="仿宋"/>
          <w:color w:val="auto"/>
          <w:szCs w:val="21"/>
          <w:highlight w:val="none"/>
        </w:rPr>
        <w:t xml:space="preserve">个月或 </w:t>
      </w:r>
      <w:r>
        <w:rPr>
          <w:rFonts w:ascii="仿宋" w:hAnsi="仿宋" w:eastAsia="仿宋"/>
          <w:color w:val="auto"/>
          <w:szCs w:val="21"/>
          <w:highlight w:val="none"/>
        </w:rPr>
        <w:t xml:space="preserve">   </w:t>
      </w:r>
      <w:r>
        <w:rPr>
          <w:rFonts w:hint="eastAsia" w:ascii="仿宋" w:hAnsi="仿宋" w:eastAsia="仿宋"/>
          <w:color w:val="auto"/>
          <w:szCs w:val="21"/>
          <w:highlight w:val="none"/>
        </w:rPr>
        <w:t>年（质保期优惠的，在此基础上顺延，优惠期满才视为质量保修期满）。</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10"/>
        <w:rPr>
          <w:color w:val="auto"/>
          <w:highlight w:val="none"/>
        </w:rPr>
      </w:pPr>
      <w:r>
        <w:rPr>
          <w:rFonts w:hint="eastAsia"/>
          <w:color w:val="auto"/>
          <w:highlight w:val="none"/>
        </w:rPr>
        <w:t>甲方对乙方的保修义务对丙方承担连带责任，丙方有权直接在应支付给甲方的款项中扣除乙方应承担的违约金等责任。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4"/>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4"/>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05" w:h="16838"/>
          <w:pgMar w:top="1417" w:right="1134" w:bottom="1417" w:left="1134" w:header="680" w:footer="680" w:gutter="0"/>
          <w:cols w:space="0" w:num="1"/>
        </w:sectPr>
      </w:pPr>
    </w:p>
    <w:p>
      <w:pPr>
        <w:pStyle w:val="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招标人提供由深圳市建筑设计研究总院有限公司（及其医疗专项设计分包单位上海尧伟建设工程有限公司）提供的净化采购及安装工程施工图纸（电子版），请各投</w:t>
      </w:r>
      <w:r>
        <w:rPr>
          <w:rFonts w:hint="eastAsia" w:asciiTheme="minorEastAsia" w:hAnsiTheme="minorEastAsia" w:eastAsiaTheme="minorEastAsia" w:cstheme="minorEastAsia"/>
          <w:color w:val="auto"/>
          <w:sz w:val="24"/>
          <w:szCs w:val="24"/>
          <w:highlight w:val="none"/>
        </w:rPr>
        <w:t>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w:t>
      </w:r>
      <w:r>
        <w:rPr>
          <w:rFonts w:asciiTheme="minorEastAsia" w:hAnsiTheme="minorEastAsia" w:eastAsiaTheme="minorEastAsia" w:cstheme="minorEastAsia"/>
          <w:color w:val="auto"/>
          <w:sz w:val="24"/>
          <w:szCs w:val="24"/>
          <w:highlight w:val="none"/>
          <w:lang w:bidi="ar"/>
        </w:rPr>
        <w:t>控制价文件</w:t>
      </w:r>
      <w:r>
        <w:rPr>
          <w:rFonts w:hint="eastAsia" w:asciiTheme="minorEastAsia" w:hAnsiTheme="minorEastAsia" w:eastAsiaTheme="minorEastAsia" w:cstheme="minorEastAsia"/>
          <w:color w:val="auto"/>
          <w:sz w:val="24"/>
          <w:szCs w:val="24"/>
          <w:highlight w:val="none"/>
          <w:lang w:bidi="ar"/>
        </w:rPr>
        <w:t>中</w:t>
      </w:r>
      <w:r>
        <w:rPr>
          <w:rFonts w:asciiTheme="minorEastAsia" w:hAnsiTheme="minorEastAsia" w:eastAsiaTheme="minorEastAsia" w:cstheme="minorEastAsia"/>
          <w:color w:val="auto"/>
          <w:sz w:val="24"/>
          <w:szCs w:val="24"/>
          <w:highlight w:val="none"/>
          <w:lang w:bidi="ar"/>
        </w:rPr>
        <w:t>领取</w:t>
      </w:r>
      <w:r>
        <w:rPr>
          <w:rFonts w:hint="eastAsia" w:asciiTheme="minorEastAsia" w:hAnsiTheme="minorEastAsia" w:eastAsiaTheme="minorEastAsia" w:cstheme="minorEastAsia"/>
          <w:color w:val="auto"/>
          <w:sz w:val="24"/>
          <w:szCs w:val="24"/>
          <w:highlight w:val="none"/>
          <w:lang w:bidi="ar"/>
        </w:rPr>
        <w:t>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7"/>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spacing w:line="400" w:lineRule="auto"/>
        <w:rPr>
          <w:rFonts w:asciiTheme="minorEastAsia" w:hAnsiTheme="minorEastAsia" w:eastAsiaTheme="minorEastAsia" w:cstheme="minorEastAsia"/>
          <w:color w:val="auto"/>
          <w:sz w:val="24"/>
          <w:szCs w:val="24"/>
          <w:highlight w:val="none"/>
        </w:rPr>
      </w:pPr>
      <w:bookmarkStart w:id="443" w:name="_Toc19145"/>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2"/>
        <w:rPr>
          <w:color w:val="auto"/>
          <w:highlight w:val="none"/>
        </w:rPr>
      </w:pPr>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3"/>
    </w:p>
    <w:p>
      <w:pPr>
        <w:pStyle w:val="3"/>
        <w:jc w:val="left"/>
        <w:rPr>
          <w:rStyle w:val="73"/>
          <w:rFonts w:ascii="宋体" w:hAnsi="宋体"/>
          <w:color w:val="auto"/>
          <w:sz w:val="30"/>
          <w:szCs w:val="30"/>
          <w:highlight w:val="none"/>
        </w:rPr>
      </w:pPr>
      <w:bookmarkStart w:id="444" w:name="_Hlk77772165"/>
      <w:r>
        <w:rPr>
          <w:rStyle w:val="73"/>
          <w:rFonts w:hint="eastAsia" w:ascii="宋体" w:hAnsi="宋体"/>
          <w:color w:val="auto"/>
          <w:sz w:val="30"/>
          <w:szCs w:val="30"/>
          <w:highlight w:val="none"/>
        </w:rPr>
        <w:t>总体技术标准要求和招标界面</w:t>
      </w:r>
    </w:p>
    <w:bookmarkEnd w:id="444"/>
    <w:p>
      <w:pPr>
        <w:numPr>
          <w:ilvl w:val="0"/>
          <w:numId w:val="6"/>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总体原则是：洁污分明，配套设施完善，功能与设施先进完备。</w:t>
      </w:r>
    </w:p>
    <w:p>
      <w:pPr>
        <w:numPr>
          <w:ilvl w:val="0"/>
          <w:numId w:val="6"/>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范围内施工工艺、设备及材料的选择都应具有先进性，满足现代化医院的使用要求。设备及工艺的安排应达到低噪音、高洁净、新风量充足、保证环保的要求，具有先进性、高可靠性、实用性、经济性与合理性、有舒适宁静的室内环境。全部技术指标，包括设备、材料、包装、运输、安装、调试、维修等各项目技术参数，必须符合本招标文件及国家规范的相关要求。包括但不限于下列规范：</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《综合医院建筑设计规范》</w:t>
      </w:r>
      <w:r>
        <w:rPr>
          <w:rFonts w:asciiTheme="minorEastAsia" w:hAnsiTheme="minorEastAsia" w:eastAsiaTheme="minorEastAsia" w:cstheme="minorEastAsia"/>
          <w:color w:val="auto"/>
          <w:szCs w:val="21"/>
          <w:highlight w:val="none"/>
        </w:rPr>
        <w:t>GB51039-2014</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《医院洁净手术部建筑技术规范》</w:t>
      </w:r>
      <w:r>
        <w:rPr>
          <w:rFonts w:asciiTheme="minorEastAsia" w:hAnsiTheme="minorEastAsia" w:eastAsiaTheme="minorEastAsia" w:cstheme="minorEastAsia"/>
          <w:color w:val="auto"/>
          <w:szCs w:val="21"/>
          <w:highlight w:val="none"/>
        </w:rPr>
        <w:t>GB50333-2013</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《建筑设计防火规范》</w:t>
      </w:r>
      <w:r>
        <w:rPr>
          <w:rFonts w:asciiTheme="minorEastAsia" w:hAnsiTheme="minorEastAsia" w:eastAsiaTheme="minorEastAsia" w:cstheme="minorEastAsia"/>
          <w:color w:val="auto"/>
          <w:szCs w:val="21"/>
          <w:highlight w:val="none"/>
        </w:rPr>
        <w:t>GB50016-2014(2018版)</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《建筑内部装修设计防火规范》</w:t>
      </w:r>
      <w:r>
        <w:rPr>
          <w:rFonts w:asciiTheme="minorEastAsia" w:hAnsiTheme="minorEastAsia" w:eastAsiaTheme="minorEastAsia" w:cstheme="minorEastAsia"/>
          <w:color w:val="auto"/>
          <w:szCs w:val="21"/>
          <w:highlight w:val="none"/>
        </w:rPr>
        <w:t>GB50222-2017</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《洁净室施工及验收规范》</w:t>
      </w:r>
      <w:r>
        <w:rPr>
          <w:rFonts w:asciiTheme="minorEastAsia" w:hAnsiTheme="minorEastAsia" w:eastAsiaTheme="minorEastAsia" w:cstheme="minorEastAsia"/>
          <w:color w:val="auto"/>
          <w:szCs w:val="21"/>
          <w:highlight w:val="none"/>
        </w:rPr>
        <w:t>GB50591-2010</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《医院消毒供应中心</w:t>
      </w:r>
      <w:r>
        <w:rPr>
          <w:rFonts w:asciiTheme="minorEastAsia" w:hAnsiTheme="minorEastAsia" w:eastAsiaTheme="minorEastAsia" w:cstheme="minorEastAsia"/>
          <w:color w:val="auto"/>
          <w:szCs w:val="21"/>
          <w:highlight w:val="none"/>
        </w:rPr>
        <w:t xml:space="preserve">  </w:t>
      </w:r>
      <w:r>
        <w:rPr>
          <w:rFonts w:hint="eastAsia" w:asciiTheme="minorEastAsia" w:hAnsiTheme="minorEastAsia" w:eastAsiaTheme="minorEastAsia" w:cstheme="minorEastAsia"/>
          <w:color w:val="auto"/>
          <w:szCs w:val="21"/>
          <w:highlight w:val="none"/>
        </w:rPr>
        <w:t>第</w:t>
      </w:r>
      <w:r>
        <w:rPr>
          <w:rFonts w:asciiTheme="minorEastAsia" w:hAnsiTheme="minorEastAsia" w:eastAsiaTheme="minorEastAsia" w:cstheme="minorEastAsia"/>
          <w:color w:val="auto"/>
          <w:szCs w:val="21"/>
          <w:highlight w:val="none"/>
        </w:rPr>
        <w:t>1部分管理规范》WS_310.1--2016</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《静脉用药集中调配质量管理规范》（卫办医发〔</w:t>
      </w:r>
      <w:r>
        <w:rPr>
          <w:rFonts w:asciiTheme="minorEastAsia" w:hAnsiTheme="minorEastAsia" w:eastAsiaTheme="minorEastAsia" w:cstheme="minorEastAsia"/>
          <w:color w:val="auto"/>
          <w:szCs w:val="21"/>
          <w:highlight w:val="none"/>
        </w:rPr>
        <w:t>2010〕62号）</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《生物安全实验室建筑技术规范》</w:t>
      </w:r>
      <w:r>
        <w:rPr>
          <w:rFonts w:asciiTheme="minorEastAsia" w:hAnsiTheme="minorEastAsia" w:eastAsiaTheme="minorEastAsia" w:cstheme="minorEastAsia"/>
          <w:color w:val="auto"/>
          <w:szCs w:val="21"/>
          <w:highlight w:val="none"/>
        </w:rPr>
        <w:t xml:space="preserve"> GB 50346-2011 </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《传染病医院建筑设计规范》</w:t>
      </w:r>
      <w:r>
        <w:rPr>
          <w:color w:val="auto"/>
          <w:highlight w:val="none"/>
        </w:rPr>
        <w:fldChar w:fldCharType="begin"/>
      </w:r>
      <w:r>
        <w:rPr>
          <w:color w:val="auto"/>
          <w:highlight w:val="none"/>
        </w:rPr>
        <w:instrText xml:space="preserve"> HYPERLINK "https://bbs.co188.com/thread-9140623-1-1.html" \o "求《传染病医院建筑设计规范》GB50849-2014" </w:instrText>
      </w:r>
      <w:r>
        <w:rPr>
          <w:color w:val="auto"/>
          <w:highlight w:val="none"/>
        </w:rPr>
        <w:fldChar w:fldCharType="separate"/>
      </w:r>
      <w:r>
        <w:rPr>
          <w:rFonts w:asciiTheme="minorEastAsia" w:hAnsiTheme="minorEastAsia" w:eastAsiaTheme="minorEastAsia" w:cstheme="minorEastAsia"/>
          <w:color w:val="auto"/>
          <w:szCs w:val="21"/>
          <w:highlight w:val="none"/>
        </w:rPr>
        <w:t>GB50849-2014</w:t>
      </w:r>
      <w:r>
        <w:rPr>
          <w:rFonts w:asciiTheme="minorEastAsia" w:hAnsiTheme="minorEastAsia" w:eastAsiaTheme="minorEastAsia" w:cstheme="minorEastAsia"/>
          <w:color w:val="auto"/>
          <w:szCs w:val="21"/>
          <w:highlight w:val="none"/>
        </w:rPr>
        <w:fldChar w:fldCharType="end"/>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《医院负压隔离病房环境控制要求》</w:t>
      </w:r>
      <w:r>
        <w:rPr>
          <w:rFonts w:asciiTheme="minorEastAsia" w:hAnsiTheme="minorEastAsia" w:eastAsiaTheme="minorEastAsia" w:cstheme="minorEastAsia"/>
          <w:color w:val="auto"/>
          <w:szCs w:val="21"/>
          <w:highlight w:val="none"/>
        </w:rPr>
        <w:t>GB/T35428-2017</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《医院隔离技术规范</w:t>
      </w:r>
      <w:r>
        <w:rPr>
          <w:rFonts w:asciiTheme="minorEastAsia" w:hAnsiTheme="minorEastAsia" w:eastAsiaTheme="minorEastAsia" w:cstheme="minorEastAsia"/>
          <w:color w:val="auto"/>
          <w:szCs w:val="21"/>
          <w:highlight w:val="none"/>
        </w:rPr>
        <w:t xml:space="preserve"> 》WST 311-2009 </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《医院空气净化管理规范》</w:t>
      </w:r>
      <w:r>
        <w:rPr>
          <w:rFonts w:asciiTheme="minorEastAsia" w:hAnsiTheme="minorEastAsia" w:eastAsiaTheme="minorEastAsia" w:cstheme="minorEastAsia"/>
          <w:color w:val="auto"/>
          <w:szCs w:val="21"/>
          <w:highlight w:val="none"/>
        </w:rPr>
        <w:t>WST 368-2012</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《洁净厂房设计规范》</w:t>
      </w:r>
      <w:r>
        <w:rPr>
          <w:rFonts w:asciiTheme="minorEastAsia" w:hAnsiTheme="minorEastAsia" w:eastAsiaTheme="minorEastAsia" w:cstheme="minorEastAsia"/>
          <w:color w:val="auto"/>
          <w:szCs w:val="21"/>
          <w:highlight w:val="none"/>
        </w:rPr>
        <w:t>GB50073-2013</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《民用建筑供热通风与空气调节设计规范》</w:t>
      </w:r>
      <w:r>
        <w:rPr>
          <w:rFonts w:asciiTheme="minorEastAsia" w:hAnsiTheme="minorEastAsia" w:eastAsiaTheme="minorEastAsia" w:cstheme="minorEastAsia"/>
          <w:color w:val="auto"/>
          <w:szCs w:val="21"/>
          <w:highlight w:val="none"/>
        </w:rPr>
        <w:t>GB50736-2012</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《通风与空调工程施工质量验收规范》</w:t>
      </w:r>
      <w:r>
        <w:rPr>
          <w:rFonts w:asciiTheme="minorEastAsia" w:hAnsiTheme="minorEastAsia" w:eastAsiaTheme="minorEastAsia" w:cstheme="minorEastAsia"/>
          <w:color w:val="auto"/>
          <w:szCs w:val="21"/>
          <w:highlight w:val="none"/>
        </w:rPr>
        <w:t>GB50243-2016</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《建筑给水排水及采暖工程施工质量验收规范》</w:t>
      </w:r>
      <w:r>
        <w:rPr>
          <w:rFonts w:asciiTheme="minorEastAsia" w:hAnsiTheme="minorEastAsia" w:eastAsiaTheme="minorEastAsia" w:cstheme="minorEastAsia"/>
          <w:color w:val="auto"/>
          <w:szCs w:val="21"/>
          <w:highlight w:val="none"/>
        </w:rPr>
        <w:t>GB50242-2002</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《民用建筑电气设计规范》</w:t>
      </w:r>
      <w:r>
        <w:rPr>
          <w:rFonts w:asciiTheme="minorEastAsia" w:hAnsiTheme="minorEastAsia" w:eastAsiaTheme="minorEastAsia" w:cstheme="minorEastAsia"/>
          <w:color w:val="auto"/>
          <w:szCs w:val="21"/>
          <w:highlight w:val="none"/>
        </w:rPr>
        <w:t>JGJ/T16-2008</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《建筑照明设计标准》</w:t>
      </w:r>
      <w:r>
        <w:rPr>
          <w:rFonts w:asciiTheme="minorEastAsia" w:hAnsiTheme="minorEastAsia" w:eastAsiaTheme="minorEastAsia" w:cstheme="minorEastAsia"/>
          <w:color w:val="auto"/>
          <w:szCs w:val="21"/>
          <w:highlight w:val="none"/>
        </w:rPr>
        <w:t>GB50034-2013</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《电力工程电缆设计规范》</w:t>
      </w:r>
      <w:r>
        <w:rPr>
          <w:rFonts w:asciiTheme="minorEastAsia" w:hAnsiTheme="minorEastAsia" w:eastAsiaTheme="minorEastAsia" w:cstheme="minorEastAsia"/>
          <w:color w:val="auto"/>
          <w:szCs w:val="21"/>
          <w:highlight w:val="none"/>
        </w:rPr>
        <w:t xml:space="preserve">GB50217-2016   </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《建筑给水排水设计标准》</w:t>
      </w:r>
      <w:r>
        <w:rPr>
          <w:rFonts w:asciiTheme="minorEastAsia" w:hAnsiTheme="minorEastAsia" w:eastAsiaTheme="minorEastAsia" w:cstheme="minorEastAsia"/>
          <w:color w:val="auto"/>
          <w:szCs w:val="21"/>
          <w:highlight w:val="none"/>
        </w:rPr>
        <w:t>GB50015-2019</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《临床实验室生物安全指南》</w:t>
      </w:r>
      <w:r>
        <w:rPr>
          <w:rFonts w:asciiTheme="minorEastAsia" w:hAnsiTheme="minorEastAsia" w:eastAsiaTheme="minorEastAsia" w:cstheme="minorEastAsia"/>
          <w:color w:val="auto"/>
          <w:szCs w:val="21"/>
          <w:highlight w:val="none"/>
        </w:rPr>
        <w:t>WS/T 442-2014</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《建筑材料及制品燃烧性能分级》</w:t>
      </w:r>
      <w:r>
        <w:rPr>
          <w:rFonts w:asciiTheme="minorEastAsia" w:hAnsiTheme="minorEastAsia" w:eastAsiaTheme="minorEastAsia" w:cstheme="minorEastAsia"/>
          <w:color w:val="auto"/>
          <w:szCs w:val="21"/>
          <w:highlight w:val="none"/>
        </w:rPr>
        <w:t>GB8624-2012</w:t>
      </w:r>
    </w:p>
    <w:p>
      <w:pPr>
        <w:numPr>
          <w:ilvl w:val="0"/>
          <w:numId w:val="7"/>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《建筑装饰装修工程施工质量验收规范》</w:t>
      </w:r>
      <w:r>
        <w:rPr>
          <w:rFonts w:asciiTheme="minorEastAsia" w:hAnsiTheme="minorEastAsia" w:eastAsiaTheme="minorEastAsia" w:cstheme="minorEastAsia"/>
          <w:color w:val="auto"/>
          <w:szCs w:val="21"/>
          <w:highlight w:val="none"/>
        </w:rPr>
        <w:t>GB50210-2018</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其它与本工程相关的技术规范。</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如果国家有新的行业标准公布，则按新标准执行。</w:t>
      </w:r>
    </w:p>
    <w:p>
      <w:pPr>
        <w:numPr>
          <w:ilvl w:val="0"/>
          <w:numId w:val="6"/>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w:t>
      </w:r>
      <w:r>
        <w:rPr>
          <w:rFonts w:hint="eastAsia" w:asciiTheme="minorEastAsia" w:hAnsiTheme="minorEastAsia" w:eastAsiaTheme="minorEastAsia" w:cstheme="minorEastAsia"/>
          <w:color w:val="auto"/>
          <w:kern w:val="58"/>
          <w:szCs w:val="21"/>
          <w:highlight w:val="none"/>
        </w:rPr>
        <w:t>界面：</w:t>
      </w:r>
    </w:p>
    <w:p>
      <w:pPr>
        <w:pStyle w:val="5"/>
        <w:numPr>
          <w:ilvl w:val="0"/>
          <w:numId w:val="8"/>
        </w:numPr>
        <w:spacing w:before="0" w:after="0" w:line="360" w:lineRule="auto"/>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装饰部分</w:t>
      </w:r>
    </w:p>
    <w:p>
      <w:pPr>
        <w:pStyle w:val="10"/>
        <w:numPr>
          <w:ilvl w:val="0"/>
          <w:numId w:val="9"/>
        </w:numPr>
        <w:spacing w:line="360" w:lineRule="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总承包单位负责净化工程范围施工至粉刷层；但净化区域范围的墙体饰面、顶棚饰面、地坪饰面以及相应房间的设备、门窗（除防火门以外）均</w:t>
      </w:r>
      <w:r>
        <w:rPr>
          <w:rFonts w:hint="eastAsia" w:asciiTheme="minorEastAsia" w:hAnsiTheme="minorEastAsia" w:eastAsiaTheme="minorEastAsia" w:cstheme="minorEastAsia"/>
          <w:bCs/>
          <w:color w:val="auto"/>
          <w:sz w:val="21"/>
          <w:szCs w:val="21"/>
          <w:highlight w:val="none"/>
          <w:lang w:val="zh-CN"/>
        </w:rPr>
        <w:t>在本次招标范围</w:t>
      </w:r>
      <w:r>
        <w:rPr>
          <w:rFonts w:hint="eastAsia" w:asciiTheme="minorEastAsia" w:hAnsiTheme="minorEastAsia" w:eastAsiaTheme="minorEastAsia" w:cstheme="minorEastAsia"/>
          <w:color w:val="auto"/>
          <w:sz w:val="21"/>
          <w:szCs w:val="21"/>
          <w:highlight w:val="none"/>
        </w:rPr>
        <w:t>内</w:t>
      </w:r>
      <w:r>
        <w:rPr>
          <w:rFonts w:hint="eastAsia" w:asciiTheme="minorEastAsia" w:hAnsiTheme="minorEastAsia" w:eastAsiaTheme="minorEastAsia" w:cstheme="minorEastAsia"/>
          <w:bCs/>
          <w:color w:val="auto"/>
          <w:sz w:val="21"/>
          <w:szCs w:val="21"/>
          <w:highlight w:val="none"/>
          <w:lang w:val="zh-CN"/>
        </w:rPr>
        <w:t>。</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建筑装饰应遵循不产尘、不积尘、耐腐蚀、防潮防霉、容易清洁和符合防火要求的总原则。净化区范围内与空气直接接触的外露材料不得使用木材和石膏。</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招标范围线以内的窗帘盒、窗台板、输液导轨在本次招标范围</w:t>
      </w:r>
      <w:r>
        <w:rPr>
          <w:rFonts w:hint="eastAsia" w:asciiTheme="minorEastAsia" w:hAnsiTheme="minorEastAsia" w:eastAsiaTheme="minorEastAsia" w:cstheme="minorEastAsia"/>
          <w:color w:val="auto"/>
          <w:szCs w:val="21"/>
          <w:highlight w:val="none"/>
        </w:rPr>
        <w:t>内</w:t>
      </w:r>
      <w:r>
        <w:rPr>
          <w:rFonts w:hint="eastAsia" w:asciiTheme="minorEastAsia" w:hAnsiTheme="minorEastAsia" w:eastAsiaTheme="minorEastAsia" w:cstheme="minorEastAsia"/>
          <w:bCs/>
          <w:color w:val="auto"/>
          <w:szCs w:val="21"/>
          <w:highlight w:val="none"/>
          <w:lang w:val="zh-CN"/>
        </w:rPr>
        <w:t>。</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招标方负责招标范围内的土建墙体砌筑、土建墙体找平压光、楼层地面地坪找平压光，以上完成后交中标方施工。</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与招标方交界面门洞由招标方统一收口，中标方服从招标方进度安排。</w:t>
      </w:r>
    </w:p>
    <w:p>
      <w:pPr>
        <w:numPr>
          <w:ilvl w:val="0"/>
          <w:numId w:val="9"/>
        </w:numPr>
        <w:spacing w:line="360" w:lineRule="auto"/>
        <w:rPr>
          <w:rFonts w:asciiTheme="minorEastAsia" w:hAnsiTheme="minorEastAsia" w:eastAsiaTheme="minorEastAsia" w:cstheme="minorEastAsia"/>
          <w:bCs/>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招标范围内的固定家具（如护士站、发放台面、地柜、家具装饰柜等）、可移动家具、病床、移动设备、窗帘及导轨、床帘导轨等由招标方自行采购。</w:t>
      </w:r>
    </w:p>
    <w:p>
      <w:pPr>
        <w:numPr>
          <w:ilvl w:val="0"/>
          <w:numId w:val="9"/>
        </w:numPr>
        <w:spacing w:line="360" w:lineRule="auto"/>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bCs/>
          <w:color w:val="auto"/>
          <w:szCs w:val="21"/>
          <w:highlight w:val="none"/>
          <w:lang w:val="zh-CN"/>
        </w:rPr>
        <w:t>大楼幕墙安全护栏不在本次招标范围内，由招标方负责。</w:t>
      </w:r>
    </w:p>
    <w:p>
      <w:pPr>
        <w:pStyle w:val="5"/>
        <w:numPr>
          <w:ilvl w:val="0"/>
          <w:numId w:val="8"/>
        </w:numPr>
        <w:spacing w:before="0" w:after="0" w:line="360" w:lineRule="auto"/>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空调部分</w:t>
      </w:r>
    </w:p>
    <w:p>
      <w:pPr>
        <w:numPr>
          <w:ilvl w:val="0"/>
          <w:numId w:val="10"/>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空调设备：含空调机组设备、加湿设备、风管式电加热箱、风机盘管、排风机等</w:t>
      </w:r>
      <w:r>
        <w:rPr>
          <w:rFonts w:hint="eastAsia" w:asciiTheme="minorEastAsia" w:hAnsiTheme="minorEastAsia" w:eastAsiaTheme="minorEastAsia" w:cstheme="minorEastAsia"/>
          <w:bCs/>
          <w:color w:val="auto"/>
          <w:szCs w:val="21"/>
          <w:highlight w:val="none"/>
          <w:lang w:val="zh-CN"/>
        </w:rPr>
        <w:t>。</w:t>
      </w:r>
    </w:p>
    <w:p>
      <w:pPr>
        <w:numPr>
          <w:ilvl w:val="0"/>
          <w:numId w:val="10"/>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空调风系统：含净化风管及附件、风管保温、风阀、软接、风口等</w:t>
      </w:r>
      <w:r>
        <w:rPr>
          <w:rFonts w:hint="eastAsia" w:asciiTheme="minorEastAsia" w:hAnsiTheme="minorEastAsia" w:eastAsiaTheme="minorEastAsia" w:cstheme="minorEastAsia"/>
          <w:bCs/>
          <w:color w:val="auto"/>
          <w:szCs w:val="21"/>
          <w:highlight w:val="none"/>
          <w:lang w:val="zh-CN"/>
        </w:rPr>
        <w:t>。</w:t>
      </w:r>
    </w:p>
    <w:p>
      <w:pPr>
        <w:numPr>
          <w:ilvl w:val="0"/>
          <w:numId w:val="10"/>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冷热源：本次设计区域除儿科负压病房冷热源由大楼统一提供外</w:t>
      </w:r>
      <w:r>
        <w:rPr>
          <w:rFonts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rPr>
        <w:t>其余区域全年冷热源采用独立冷热源，含在本次招标范围内</w:t>
      </w:r>
      <w:r>
        <w:rPr>
          <w:rFonts w:hint="eastAsia" w:asciiTheme="minorEastAsia" w:hAnsiTheme="minorEastAsia" w:eastAsiaTheme="minorEastAsia" w:cstheme="minorEastAsia"/>
          <w:bCs/>
          <w:color w:val="auto"/>
          <w:szCs w:val="21"/>
          <w:highlight w:val="none"/>
          <w:lang w:val="zh-CN"/>
        </w:rPr>
        <w:t>。</w:t>
      </w:r>
    </w:p>
    <w:p>
      <w:pPr>
        <w:pStyle w:val="10"/>
        <w:numPr>
          <w:ilvl w:val="0"/>
          <w:numId w:val="10"/>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sz w:val="21"/>
          <w:szCs w:val="21"/>
          <w:highlight w:val="none"/>
        </w:rPr>
        <w:t>与总包暖通专业：净化区域的空调在本次招标范围内，具体如下：①空调水系统由净化单位完成至大楼预留冷热水管和加湿管道接口的图示断点处（含接口的预留阀门），断点处之前的冷热水和加湿主管等由总包暖通单位完成；②空调风系统由净化单位完成至大楼通风主管的图示断点处，断点处之前的大楼通风主管等由总包暖通单位完成</w:t>
      </w:r>
      <w:r>
        <w:rPr>
          <w:rFonts w:hint="eastAsia" w:asciiTheme="minorEastAsia" w:hAnsiTheme="minorEastAsia" w:eastAsiaTheme="minorEastAsia" w:cstheme="minorEastAsia"/>
          <w:bCs/>
          <w:color w:val="auto"/>
          <w:sz w:val="21"/>
          <w:szCs w:val="21"/>
          <w:highlight w:val="none"/>
          <w:lang w:val="zh-CN"/>
        </w:rPr>
        <w:t>。</w:t>
      </w:r>
    </w:p>
    <w:p>
      <w:pPr>
        <w:pStyle w:val="10"/>
        <w:numPr>
          <w:ilvl w:val="0"/>
          <w:numId w:val="10"/>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kern w:val="58"/>
          <w:sz w:val="21"/>
          <w:szCs w:val="21"/>
          <w:highlight w:val="none"/>
        </w:rPr>
        <w:t>图纸已设计的玻璃钢风机、</w:t>
      </w:r>
      <w:r>
        <w:rPr>
          <w:rFonts w:asciiTheme="minorEastAsia" w:hAnsiTheme="minorEastAsia" w:eastAsiaTheme="minorEastAsia" w:cstheme="minorEastAsia"/>
          <w:color w:val="auto"/>
          <w:kern w:val="58"/>
          <w:sz w:val="21"/>
          <w:szCs w:val="21"/>
          <w:highlight w:val="none"/>
        </w:rPr>
        <w:t>PP风管及其部件均在本次招标范围内。</w:t>
      </w:r>
    </w:p>
    <w:p>
      <w:pPr>
        <w:pStyle w:val="10"/>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t xml:space="preserve"> 3.</w:t>
      </w:r>
      <w:r>
        <w:rPr>
          <w:rFonts w:hint="eastAsia" w:asciiTheme="minorEastAsia" w:hAnsiTheme="minorEastAsia" w:eastAsiaTheme="minorEastAsia" w:cstheme="minorEastAsia"/>
          <w:color w:val="auto"/>
          <w:sz w:val="21"/>
          <w:szCs w:val="21"/>
          <w:highlight w:val="none"/>
        </w:rPr>
        <w:t>强电部分</w:t>
      </w:r>
    </w:p>
    <w:p>
      <w:pPr>
        <w:pStyle w:val="10"/>
        <w:numPr>
          <w:ilvl w:val="0"/>
          <w:numId w:val="11"/>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kern w:val="58"/>
          <w:sz w:val="21"/>
          <w:szCs w:val="21"/>
          <w:highlight w:val="none"/>
        </w:rPr>
        <w:t>总承包单位负责从低压配电柜到洁净区域一级箱内上端头管线施工；但其余</w:t>
      </w:r>
      <w:r>
        <w:rPr>
          <w:rFonts w:hint="eastAsia" w:asciiTheme="minorEastAsia" w:hAnsiTheme="minorEastAsia" w:eastAsiaTheme="minorEastAsia" w:cstheme="minorEastAsia"/>
          <w:bCs/>
          <w:color w:val="auto"/>
          <w:sz w:val="21"/>
          <w:szCs w:val="21"/>
          <w:highlight w:val="none"/>
          <w:lang w:val="zh-CN"/>
        </w:rPr>
        <w:t>净化</w:t>
      </w:r>
      <w:r>
        <w:rPr>
          <w:rFonts w:hint="eastAsia" w:asciiTheme="minorEastAsia" w:hAnsiTheme="minorEastAsia" w:eastAsiaTheme="minorEastAsia" w:cstheme="minorEastAsia"/>
          <w:color w:val="auto"/>
          <w:kern w:val="58"/>
          <w:sz w:val="21"/>
          <w:szCs w:val="21"/>
          <w:highlight w:val="none"/>
        </w:rPr>
        <w:t>区域所属的配套配电柜（含双路切换功能及各净化区配电箱）和控制柜（含控制系统、软件、硬件）及相应的桥架、管线、</w:t>
      </w:r>
      <w:r>
        <w:rPr>
          <w:rFonts w:hint="eastAsia" w:asciiTheme="minorEastAsia" w:hAnsiTheme="minorEastAsia" w:eastAsiaTheme="minorEastAsia" w:cstheme="minorEastAsia"/>
          <w:color w:val="auto"/>
          <w:sz w:val="21"/>
          <w:szCs w:val="21"/>
          <w:highlight w:val="none"/>
        </w:rPr>
        <w:t>照明、插座等均</w:t>
      </w:r>
      <w:r>
        <w:rPr>
          <w:rFonts w:hint="eastAsia" w:asciiTheme="minorEastAsia" w:hAnsiTheme="minorEastAsia" w:eastAsiaTheme="minorEastAsia" w:cstheme="minorEastAsia"/>
          <w:bCs/>
          <w:color w:val="auto"/>
          <w:sz w:val="21"/>
          <w:szCs w:val="21"/>
          <w:highlight w:val="none"/>
          <w:lang w:val="zh-CN"/>
        </w:rPr>
        <w:t>在本次招标范围</w:t>
      </w:r>
      <w:r>
        <w:rPr>
          <w:rFonts w:hint="eastAsia" w:asciiTheme="minorEastAsia" w:hAnsiTheme="minorEastAsia" w:eastAsiaTheme="minorEastAsia" w:cstheme="minorEastAsia"/>
          <w:color w:val="auto"/>
          <w:sz w:val="21"/>
          <w:szCs w:val="21"/>
          <w:highlight w:val="none"/>
        </w:rPr>
        <w:t>（疏散指示灯、应急照明灯、设备层的照明、插座配电除外）</w:t>
      </w:r>
      <w:r>
        <w:rPr>
          <w:rFonts w:hint="eastAsia" w:asciiTheme="minorEastAsia" w:hAnsiTheme="minorEastAsia" w:eastAsiaTheme="minorEastAsia" w:cstheme="minorEastAsia"/>
          <w:bCs/>
          <w:color w:val="auto"/>
          <w:sz w:val="21"/>
          <w:szCs w:val="21"/>
          <w:highlight w:val="none"/>
          <w:lang w:val="zh-CN"/>
        </w:rPr>
        <w:t>。</w:t>
      </w:r>
    </w:p>
    <w:p>
      <w:pPr>
        <w:numPr>
          <w:ilvl w:val="0"/>
          <w:numId w:val="11"/>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lang w:val="zh-CN"/>
        </w:rPr>
        <w:t>净化</w:t>
      </w:r>
      <w:r>
        <w:rPr>
          <w:rFonts w:hint="eastAsia" w:asciiTheme="minorEastAsia" w:hAnsiTheme="minorEastAsia" w:eastAsiaTheme="minorEastAsia" w:cstheme="minorEastAsia"/>
          <w:color w:val="auto"/>
          <w:kern w:val="58"/>
          <w:szCs w:val="21"/>
          <w:highlight w:val="none"/>
        </w:rPr>
        <w:t>和非</w:t>
      </w:r>
      <w:r>
        <w:rPr>
          <w:rFonts w:hint="eastAsia" w:asciiTheme="minorEastAsia" w:hAnsiTheme="minorEastAsia" w:eastAsiaTheme="minorEastAsia" w:cstheme="minorEastAsia"/>
          <w:bCs/>
          <w:color w:val="auto"/>
          <w:szCs w:val="21"/>
          <w:highlight w:val="none"/>
          <w:lang w:val="zh-CN"/>
        </w:rPr>
        <w:t>净化</w:t>
      </w:r>
      <w:r>
        <w:rPr>
          <w:rFonts w:hint="eastAsia" w:asciiTheme="minorEastAsia" w:hAnsiTheme="minorEastAsia" w:eastAsiaTheme="minorEastAsia" w:cstheme="minorEastAsia"/>
          <w:color w:val="auto"/>
          <w:kern w:val="58"/>
          <w:szCs w:val="21"/>
          <w:highlight w:val="none"/>
        </w:rPr>
        <w:t>区域的手术室、</w:t>
      </w:r>
      <w:r>
        <w:rPr>
          <w:rFonts w:asciiTheme="minorEastAsia" w:hAnsiTheme="minorEastAsia" w:eastAsiaTheme="minorEastAsia" w:cstheme="minorEastAsia"/>
          <w:color w:val="auto"/>
          <w:kern w:val="58"/>
          <w:szCs w:val="21"/>
          <w:highlight w:val="none"/>
        </w:rPr>
        <w:t>ICU、抢救室的医院2类医疗场所内的所有医疗隔离电源IT系统装置均</w:t>
      </w:r>
      <w:r>
        <w:rPr>
          <w:rFonts w:hint="eastAsia" w:asciiTheme="minorEastAsia" w:hAnsiTheme="minorEastAsia" w:eastAsiaTheme="minorEastAsia" w:cstheme="minorEastAsia"/>
          <w:bCs/>
          <w:color w:val="auto"/>
          <w:szCs w:val="21"/>
          <w:highlight w:val="none"/>
          <w:lang w:val="zh-CN"/>
        </w:rPr>
        <w:t>在本次招标范围</w:t>
      </w:r>
      <w:r>
        <w:rPr>
          <w:rFonts w:hint="eastAsia" w:asciiTheme="minorEastAsia" w:hAnsiTheme="minorEastAsia" w:eastAsiaTheme="minorEastAsia" w:cstheme="minorEastAsia"/>
          <w:color w:val="auto"/>
          <w:szCs w:val="21"/>
          <w:highlight w:val="none"/>
        </w:rPr>
        <w:t>内</w:t>
      </w:r>
      <w:r>
        <w:rPr>
          <w:rFonts w:hint="eastAsia" w:asciiTheme="minorEastAsia" w:hAnsiTheme="minorEastAsia" w:eastAsiaTheme="minorEastAsia" w:cstheme="minorEastAsia"/>
          <w:color w:val="auto"/>
          <w:kern w:val="58"/>
          <w:szCs w:val="21"/>
          <w:highlight w:val="none"/>
        </w:rPr>
        <w:t>。</w:t>
      </w:r>
    </w:p>
    <w:p>
      <w:pPr>
        <w:pStyle w:val="5"/>
        <w:numPr>
          <w:ilvl w:val="0"/>
          <w:numId w:val="12"/>
        </w:numPr>
        <w:spacing w:before="0" w:after="0" w:line="360" w:lineRule="auto"/>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弱电部分</w:t>
      </w:r>
    </w:p>
    <w:p>
      <w:pPr>
        <w:numPr>
          <w:ilvl w:val="0"/>
          <w:numId w:val="13"/>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各科室净化区域内的背景音乐、网络、电话、呼叫、监控、门禁、空调自控等弱电系统的采购及安装在本次招标范围内；但医院设备网、远程电脑监控、弱电间设备由智能化专业单位施工，非净化区的弱电系统不在本次招标范围内</w:t>
      </w:r>
      <w:r>
        <w:rPr>
          <w:rFonts w:hint="eastAsia" w:asciiTheme="minorEastAsia" w:hAnsiTheme="minorEastAsia" w:eastAsiaTheme="minorEastAsia" w:cstheme="minorEastAsia"/>
          <w:bCs/>
          <w:color w:val="auto"/>
          <w:szCs w:val="21"/>
          <w:highlight w:val="none"/>
          <w:lang w:val="zh-CN"/>
        </w:rPr>
        <w:t>。</w:t>
      </w:r>
    </w:p>
    <w:p>
      <w:pPr>
        <w:numPr>
          <w:ilvl w:val="0"/>
          <w:numId w:val="13"/>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手术部配置</w:t>
      </w:r>
      <w:r>
        <w:rPr>
          <w:rFonts w:asciiTheme="minorEastAsia" w:hAnsiTheme="minorEastAsia" w:eastAsiaTheme="minorEastAsia" w:cstheme="minorEastAsia"/>
          <w:color w:val="auto"/>
          <w:szCs w:val="21"/>
          <w:highlight w:val="none"/>
        </w:rPr>
        <w:t>1间数字化系统。相关软件、硬件的采购及施工在本次招标范围内</w:t>
      </w:r>
      <w:r>
        <w:rPr>
          <w:rFonts w:hint="eastAsia" w:asciiTheme="minorEastAsia" w:hAnsiTheme="minorEastAsia" w:eastAsiaTheme="minorEastAsia" w:cstheme="minorEastAsia"/>
          <w:bCs/>
          <w:color w:val="auto"/>
          <w:szCs w:val="21"/>
          <w:highlight w:val="none"/>
          <w:lang w:val="zh-CN"/>
        </w:rPr>
        <w:t>。</w:t>
      </w:r>
    </w:p>
    <w:p>
      <w:pPr>
        <w:numPr>
          <w:ilvl w:val="0"/>
          <w:numId w:val="13"/>
        </w:numPr>
        <w:spacing w:line="360" w:lineRule="auto"/>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病理科净化区域内设置的智能空气质量检测，相关设备、管线、实验台的采购及施工在本次招标范围内。</w:t>
      </w:r>
    </w:p>
    <w:p>
      <w:pPr>
        <w:pStyle w:val="5"/>
        <w:numPr>
          <w:ilvl w:val="0"/>
          <w:numId w:val="12"/>
        </w:numPr>
        <w:spacing w:before="0" w:after="0" w:line="360" w:lineRule="auto"/>
        <w:rPr>
          <w:rFonts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rPr>
        <w:t>给排水部分</w:t>
      </w:r>
    </w:p>
    <w:p>
      <w:pPr>
        <w:pStyle w:val="10"/>
        <w:numPr>
          <w:ilvl w:val="0"/>
          <w:numId w:val="14"/>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sz w:val="21"/>
          <w:szCs w:val="21"/>
          <w:highlight w:val="none"/>
        </w:rPr>
        <w:t>总承包单位负责给排水立管敷设，并在同层立管预留给排水接口。</w:t>
      </w:r>
      <w:r>
        <w:rPr>
          <w:rFonts w:hint="eastAsia" w:asciiTheme="minorEastAsia" w:hAnsiTheme="minorEastAsia" w:eastAsiaTheme="minorEastAsia" w:cstheme="minorEastAsia"/>
          <w:color w:val="auto"/>
          <w:kern w:val="58"/>
          <w:sz w:val="21"/>
          <w:szCs w:val="21"/>
          <w:highlight w:val="none"/>
        </w:rPr>
        <w:t>净化给水图纸范围内的冷热水支管从</w:t>
      </w:r>
      <w:r>
        <w:rPr>
          <w:rFonts w:hint="eastAsia" w:asciiTheme="minorEastAsia" w:hAnsiTheme="minorEastAsia" w:eastAsiaTheme="minorEastAsia" w:cstheme="minorEastAsia"/>
          <w:color w:val="auto"/>
          <w:sz w:val="21"/>
          <w:szCs w:val="21"/>
          <w:highlight w:val="none"/>
        </w:rPr>
        <w:t>同层立管预留给水接口</w:t>
      </w:r>
      <w:r>
        <w:rPr>
          <w:rFonts w:hint="eastAsia" w:asciiTheme="minorEastAsia" w:hAnsiTheme="minorEastAsia" w:eastAsiaTheme="minorEastAsia" w:cstheme="minorEastAsia"/>
          <w:color w:val="auto"/>
          <w:kern w:val="58"/>
          <w:sz w:val="21"/>
          <w:szCs w:val="21"/>
          <w:highlight w:val="none"/>
        </w:rPr>
        <w:t>开始至卫生洁具及（刷手池、污洗池）设备末端在本次招标范围内；排水支管及地漏在本次招标范围内。</w:t>
      </w:r>
    </w:p>
    <w:p>
      <w:pPr>
        <w:pStyle w:val="10"/>
        <w:ind w:firstLine="420" w:firstLineChars="200"/>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kern w:val="58"/>
          <w:sz w:val="21"/>
          <w:szCs w:val="21"/>
          <w:highlight w:val="none"/>
          <w:lang w:val="en-US" w:eastAsia="zh-CN"/>
        </w:rPr>
        <w:t>6</w:t>
      </w:r>
      <w:r>
        <w:rPr>
          <w:rFonts w:asciiTheme="minorEastAsia" w:hAnsiTheme="minorEastAsia" w:eastAsiaTheme="minorEastAsia" w:cstheme="minorEastAsia"/>
          <w:color w:val="auto"/>
          <w:kern w:val="58"/>
          <w:sz w:val="21"/>
          <w:szCs w:val="21"/>
          <w:highlight w:val="none"/>
        </w:rPr>
        <w:t>.</w:t>
      </w:r>
      <w:r>
        <w:rPr>
          <w:rFonts w:hint="eastAsia" w:asciiTheme="minorEastAsia" w:hAnsiTheme="minorEastAsia" w:eastAsiaTheme="minorEastAsia" w:cstheme="minorEastAsia"/>
          <w:color w:val="auto"/>
          <w:kern w:val="58"/>
          <w:sz w:val="21"/>
          <w:szCs w:val="21"/>
          <w:highlight w:val="none"/>
        </w:rPr>
        <w:t>与总承包等其他专业</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土建墙体砌筑、粉刷及加固、地面找平、空调机房的搭建及装修（净化空调机房、新风机房、排风机房等</w:t>
      </w:r>
      <w:r>
        <w:rPr>
          <w:rFonts w:hint="eastAsia" w:asciiTheme="minorEastAsia" w:hAnsiTheme="minorEastAsia" w:eastAsiaTheme="minorEastAsia" w:cstheme="minorEastAsia"/>
          <w:color w:val="auto"/>
          <w:szCs w:val="21"/>
          <w:highlight w:val="none"/>
        </w:rPr>
        <w:t>的装饰装修、地面找平及地面防水</w:t>
      </w:r>
      <w:r>
        <w:rPr>
          <w:rFonts w:hint="eastAsia" w:asciiTheme="minorEastAsia" w:hAnsiTheme="minorEastAsia" w:eastAsiaTheme="minorEastAsia" w:cstheme="minorEastAsia"/>
          <w:bCs/>
          <w:color w:val="auto"/>
          <w:szCs w:val="21"/>
          <w:highlight w:val="none"/>
        </w:rPr>
        <w:t>）、外围结构、所有电梯、电梯厅、楼梯间、前室、等候大厅、各种管井、强电井、弱电井、外窗、办公家具等工程不在招标范围内</w:t>
      </w:r>
      <w:r>
        <w:rPr>
          <w:rFonts w:hint="eastAsia" w:asciiTheme="minorEastAsia" w:hAnsiTheme="minorEastAsia" w:eastAsiaTheme="minorEastAsia" w:cstheme="minorEastAsia"/>
          <w:bCs/>
          <w:color w:val="auto"/>
          <w:szCs w:val="21"/>
          <w:highlight w:val="none"/>
          <w:lang w:val="zh-CN"/>
        </w:rPr>
        <w:t>。</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消防系统（消火栓、消防喷淋管道、消防报警、防火隔断、防火门、疏散标志</w:t>
      </w:r>
      <w:r>
        <w:rPr>
          <w:rFonts w:asciiTheme="minorEastAsia" w:hAnsiTheme="minorEastAsia" w:eastAsiaTheme="minorEastAsia" w:cstheme="minorEastAsia"/>
          <w:bCs/>
          <w:color w:val="auto"/>
          <w:szCs w:val="21"/>
          <w:highlight w:val="none"/>
        </w:rPr>
        <w:t>/照明、消防排烟、应急照明等）的设计及施工不属此次招标范围。本次招标各科室的消防建审及验收由招标方牵头，中标方配合消防专业图审及验收</w:t>
      </w:r>
      <w:r>
        <w:rPr>
          <w:rFonts w:hint="eastAsia" w:asciiTheme="minorEastAsia" w:hAnsiTheme="minorEastAsia" w:eastAsiaTheme="minorEastAsia" w:cstheme="minorEastAsia"/>
          <w:bCs/>
          <w:color w:val="auto"/>
          <w:szCs w:val="21"/>
          <w:highlight w:val="none"/>
          <w:lang w:val="zh-CN"/>
        </w:rPr>
        <w:t>。</w:t>
      </w:r>
    </w:p>
    <w:p>
      <w:pPr>
        <w:pStyle w:val="10"/>
        <w:numPr>
          <w:ilvl w:val="0"/>
          <w:numId w:val="15"/>
        </w:numPr>
        <w:spacing w:line="360" w:lineRule="auto"/>
        <w:rPr>
          <w:rFonts w:asciiTheme="minorEastAsia" w:hAnsiTheme="minorEastAsia" w:eastAsiaTheme="minorEastAsia" w:cstheme="minorEastAsia"/>
          <w:color w:val="auto"/>
          <w:kern w:val="58"/>
          <w:sz w:val="21"/>
          <w:szCs w:val="21"/>
          <w:highlight w:val="none"/>
        </w:rPr>
      </w:pPr>
      <w:r>
        <w:rPr>
          <w:rFonts w:hint="eastAsia" w:asciiTheme="minorEastAsia" w:hAnsiTheme="minorEastAsia" w:eastAsiaTheme="minorEastAsia" w:cstheme="minorEastAsia"/>
          <w:color w:val="auto"/>
          <w:kern w:val="58"/>
          <w:sz w:val="21"/>
          <w:szCs w:val="21"/>
          <w:highlight w:val="none"/>
        </w:rPr>
        <w:t>抗震支架由总承包深化设计并施工完成，不在本次招标范围</w:t>
      </w:r>
      <w:r>
        <w:rPr>
          <w:rFonts w:hint="eastAsia" w:asciiTheme="minorEastAsia" w:hAnsiTheme="minorEastAsia" w:eastAsiaTheme="minorEastAsia" w:cstheme="minorEastAsia"/>
          <w:bCs/>
          <w:color w:val="auto"/>
          <w:sz w:val="21"/>
          <w:szCs w:val="21"/>
          <w:highlight w:val="none"/>
          <w:lang w:val="zh-CN"/>
        </w:rPr>
        <w:t>。</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总包与净化专项均有图纸设计的：按净化专项图纸由净化专项单位完成并计入本次招标范围，总包取消；总包与净化专项均无图纸设计的：若在净化区域或需达到医疗专项功能要求的则由净化专项单位完成，若与医疗专项无关的则由总包单位完成。</w:t>
      </w:r>
    </w:p>
    <w:p>
      <w:pPr>
        <w:numPr>
          <w:ilvl w:val="0"/>
          <w:numId w:val="15"/>
        </w:numPr>
        <w:spacing w:line="360" w:lineRule="auto"/>
        <w:rPr>
          <w:color w:val="auto"/>
          <w:highlight w:val="none"/>
        </w:rPr>
      </w:pPr>
      <w:r>
        <w:rPr>
          <w:rFonts w:hint="eastAsia" w:ascii="宋体" w:hAnsi="宋体" w:cs="宋体"/>
          <w:bCs/>
          <w:color w:val="auto"/>
          <w:szCs w:val="21"/>
          <w:highlight w:val="none"/>
        </w:rPr>
        <w:t>以上各科室的办公区区域均不在本次招标范围内。</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施工时应与土建、给排水、暖通、电力、装修等专业密切配合，做好管线、电缆桥架穿楼板等项工作等，涉及管线开槽、沟槽填平等费用均由中标单位负责。</w:t>
      </w:r>
    </w:p>
    <w:p>
      <w:pPr>
        <w:numPr>
          <w:ilvl w:val="0"/>
          <w:numId w:val="15"/>
        </w:numPr>
        <w:spacing w:line="360" w:lineRule="auto"/>
        <w:rPr>
          <w:rFonts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在工程的实施过程中，与水、电、暖通专业的设备接线应对照各专业的施工图进行，原则上，各专业的抄收表在本专业的回路上，不得在同一条抄收回路上混接水、电、气表。</w:t>
      </w:r>
    </w:p>
    <w:p>
      <w:pPr>
        <w:pStyle w:val="3"/>
        <w:jc w:val="left"/>
        <w:rPr>
          <w:rFonts w:ascii="宋体" w:hAnsi="宋体"/>
          <w:color w:val="auto"/>
          <w:sz w:val="28"/>
          <w:szCs w:val="28"/>
          <w:highlight w:val="none"/>
        </w:rPr>
      </w:pPr>
      <w:r>
        <w:rPr>
          <w:rFonts w:hint="eastAsia" w:ascii="宋体" w:hAnsi="宋体"/>
          <w:color w:val="auto"/>
          <w:sz w:val="28"/>
          <w:szCs w:val="28"/>
          <w:highlight w:val="none"/>
        </w:rPr>
        <w:t>第一节 手术部、隔离待产分娩病房、产房手术室技术要求</w:t>
      </w:r>
    </w:p>
    <w:p>
      <w:pPr>
        <w:pStyle w:val="6"/>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装饰系统技术要求</w:t>
      </w:r>
    </w:p>
    <w:p>
      <w:pPr>
        <w:pStyle w:val="6"/>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手术部基本配置：</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每间手术室基本装备（综合手术部、产房手术室、DSA）</w:t>
      </w:r>
    </w:p>
    <w:tbl>
      <w:tblPr>
        <w:tblStyle w:val="27"/>
        <w:tblW w:w="9019"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1"/>
        <w:gridCol w:w="1888"/>
        <w:gridCol w:w="1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配 置 要 求</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装备名称</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7" w:hRule="atLeast"/>
        </w:trPr>
        <w:tc>
          <w:tcPr>
            <w:tcW w:w="6121" w:type="dxa"/>
            <w:vAlign w:val="center"/>
          </w:tcPr>
          <w:p>
            <w:pPr>
              <w:spacing w:line="360" w:lineRule="auto"/>
              <w:rPr>
                <w:color w:val="auto"/>
                <w:highlight w:val="none"/>
              </w:rPr>
            </w:pPr>
            <w:r>
              <w:rPr>
                <w:rFonts w:hint="eastAsia"/>
                <w:color w:val="auto"/>
                <w:highlight w:val="none"/>
              </w:rPr>
              <w:t>系统采用最新安卓系统版本、图型动态画面显示，图型界面任意放大、缩小，自由拖拽、可点击、可刷屏。</w:t>
            </w:r>
          </w:p>
          <w:p>
            <w:pPr>
              <w:spacing w:line="360" w:lineRule="auto"/>
              <w:rPr>
                <w:color w:val="auto"/>
                <w:highlight w:val="none"/>
              </w:rPr>
            </w:pPr>
            <w:r>
              <w:rPr>
                <w:rFonts w:hint="eastAsia"/>
                <w:color w:val="auto"/>
                <w:highlight w:val="none"/>
              </w:rPr>
              <w:t>含手术计时、麻醉计时、北京时间、空调监测、IT 电源监测、气体报警、电话/群呼、背景音乐、自选音乐、灯光照明控制及消防报警指示等功能。</w:t>
            </w:r>
          </w:p>
          <w:p>
            <w:pPr>
              <w:rPr>
                <w:color w:val="auto"/>
                <w:highlight w:val="none"/>
              </w:rPr>
            </w:pPr>
          </w:p>
          <w:p>
            <w:pPr>
              <w:rPr>
                <w:color w:val="auto"/>
                <w:highlight w:val="none"/>
              </w:rPr>
            </w:pPr>
          </w:p>
          <w:p>
            <w:pPr>
              <w:rPr>
                <w:color w:val="auto"/>
                <w:highlight w:val="none"/>
              </w:rPr>
            </w:pPr>
          </w:p>
          <w:p>
            <w:pPr>
              <w:rPr>
                <w:color w:val="auto"/>
                <w:highlight w:val="none"/>
              </w:rPr>
            </w:pPr>
          </w:p>
          <w:p>
            <w:pPr>
              <w:spacing w:line="360" w:lineRule="auto"/>
              <w:rPr>
                <w:color w:val="auto"/>
                <w:highlight w:val="none"/>
              </w:rPr>
            </w:pPr>
            <w:r>
              <w:rPr>
                <w:rFonts w:hint="eastAsia"/>
                <w:color w:val="auto"/>
                <w:highlight w:val="none"/>
              </w:rPr>
              <w:t>全镜面触摸屏、无边框安装、导轨式输出。</w:t>
            </w:r>
          </w:p>
          <w:p>
            <w:pPr>
              <w:spacing w:line="360" w:lineRule="auto"/>
              <w:rPr>
                <w:color w:val="auto"/>
                <w:highlight w:val="none"/>
              </w:rPr>
            </w:pPr>
            <w:r>
              <w:rPr>
                <w:rFonts w:hint="eastAsia"/>
                <w:color w:val="auto"/>
                <w:highlight w:val="none"/>
              </w:rPr>
              <w:t>标准网络接口、RS485 通讯接口。</w:t>
            </w:r>
          </w:p>
          <w:p>
            <w:pPr>
              <w:pStyle w:val="10"/>
              <w:rPr>
                <w:color w:val="auto"/>
                <w:highlight w:val="none"/>
              </w:rPr>
            </w:pPr>
            <w:r>
              <w:rPr>
                <w:rFonts w:hint="eastAsia"/>
                <w:color w:val="auto"/>
                <w:highlight w:val="none"/>
              </w:rPr>
              <w:t>显示屏尺寸≥29寸及分辨率≥</w:t>
            </w:r>
            <w:r>
              <w:rPr>
                <w:rFonts w:hint="eastAsia" w:ascii="宋体" w:hAnsi="宋体" w:cs="宋体"/>
                <w:color w:val="auto"/>
                <w:highlight w:val="none"/>
              </w:rPr>
              <w:t>1920*1080</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手术室多功能液晶显示触膜屏</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整体喷涂，上部吊柜为玻璃开门，地柜为不锈钢平开门。</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内嵌式组合柜</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1组/间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仅DSA手术室配置，其余手术室不配置。</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导管柜 </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电脑柜</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电子观片灯</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 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详见图纸。</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保温柜</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共15套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详见图纸。</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保冷柜</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共15套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输液导轨</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其中3组为4个220V10A+1个6类网络插孔+2个接地端子；1组为3个220V10A+1个380V16A+1个6类网络插孔+2个接地端子，每组带底盒及面盖，每间手术室配置铜质地面插座1个。</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组合电源插座箱</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4组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不锈钢材料。</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气体面盘箱</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每间手术室设置1套。（配套后期无影灯中标单位产品）</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无影灯底座、锚栓</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吊塔底座数量及位置根据设备采购中标厂家深化图纸安装。（配套后期无影灯中标单位产品）</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吊塔底座、锚栓</w:t>
            </w:r>
          </w:p>
        </w:tc>
        <w:tc>
          <w:tcPr>
            <w:tcW w:w="1010" w:type="dxa"/>
            <w:vAlign w:val="center"/>
          </w:tcPr>
          <w:p>
            <w:pPr>
              <w:spacing w:line="360" w:lineRule="auto"/>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设置在手术室前、后门口。</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微压计</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2套/间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6121"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可收放式，与中央控制面板整合到一起。</w:t>
            </w:r>
          </w:p>
        </w:tc>
        <w:tc>
          <w:tcPr>
            <w:tcW w:w="1888"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书写台</w:t>
            </w:r>
          </w:p>
        </w:tc>
        <w:tc>
          <w:tcPr>
            <w:tcW w:w="1010" w:type="dxa"/>
            <w:vAlign w:val="center"/>
          </w:tcPr>
          <w:p>
            <w:pPr>
              <w:spacing w:line="360" w:lineRule="auto"/>
              <w:rPr>
                <w:rFonts w:ascii="宋体" w:hAnsi="宋体" w:cs="宋体"/>
                <w:color w:val="auto"/>
                <w:szCs w:val="21"/>
                <w:highlight w:val="none"/>
              </w:rPr>
            </w:pPr>
            <w:r>
              <w:rPr>
                <w:rFonts w:hint="eastAsia" w:ascii="宋体" w:hAnsi="宋体" w:cs="宋体"/>
                <w:color w:val="auto"/>
                <w:szCs w:val="21"/>
                <w:highlight w:val="none"/>
              </w:rPr>
              <w:t>1套</w:t>
            </w:r>
          </w:p>
        </w:tc>
      </w:tr>
    </w:tbl>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手术室自动门上方应设“手术中”显示灯。</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嵌入墙内的设备，应与墙面齐平，缝隙涂胶。</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电话通讯系统：方便各手术部之间及与护士站的联系，强化科室智能化管理。</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嵌入式观片灯选配按上表，应设置在术者对面墙上。</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药品柜、器械柜、麻醉柜应嵌入墙内方便的位置。</w:t>
      </w:r>
    </w:p>
    <w:p>
      <w:pPr>
        <w:numPr>
          <w:ilvl w:val="0"/>
          <w:numId w:val="18"/>
        </w:numPr>
        <w:spacing w:line="360" w:lineRule="auto"/>
        <w:rPr>
          <w:rFonts w:ascii="宋体" w:hAnsi="宋体" w:cs="宋体"/>
          <w:color w:val="auto"/>
          <w:szCs w:val="21"/>
          <w:highlight w:val="none"/>
        </w:rPr>
      </w:pPr>
      <w:r>
        <w:rPr>
          <w:rFonts w:hint="eastAsia" w:ascii="宋体" w:hAnsi="宋体" w:cs="宋体"/>
          <w:color w:val="auto"/>
          <w:szCs w:val="21"/>
          <w:highlight w:val="none"/>
        </w:rPr>
        <w:t>手术室内不允许设置单个插座，必须使用插座箱。</w:t>
      </w:r>
    </w:p>
    <w:p>
      <w:pPr>
        <w:pStyle w:val="6"/>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墙面：</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手术室（包含DSA、隔离待产、产房手术室）墙体采用50*30*1.5镀锌方管龙骨+12mm厚防潮石膏板基层，面层选用1.2mm厚耐清洗、耐碰撞、阻燃、隔音、保温、防潮、防锈的优质电解钢板，板材全部在工厂预制烤漆成型，施工现场模块化安装，不允许采用现场切割、禁止现场喷涂。板缝采用防霉抗菌硅胶密封；手术室墙面与墙面、墙面与吊顶均采用圆弧（圆弧半径R≥300mm）过渡。</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各科室洁净走廊及换床间、洁净辅房墙面采用轻钢龙骨固定，内衬12mm石膏板，面贴无机预涂板。</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各科室办公区、污物走廊、污物辅房采用75轻钢龙骨，外贴12mm厚石膏板，再刷抗菌涂料。</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各科室卫浴间、污洗间、洁具间等湿区墙面采用原有土建墙体（招标方砌筑）防水处理后面贴优质瓷砖至吊顶以上100mm高度。</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各科室与公共区域交接处墙采用土建墙体（招标方砌筑），内侧墙面由中标方完成，面层材料要求与同一功能房其余墙面面层材料相同。</w:t>
      </w:r>
    </w:p>
    <w:p>
      <w:pPr>
        <w:numPr>
          <w:ilvl w:val="0"/>
          <w:numId w:val="19"/>
        </w:numPr>
        <w:spacing w:line="360" w:lineRule="auto"/>
        <w:rPr>
          <w:rFonts w:ascii="宋体" w:hAnsi="宋体" w:cs="宋体"/>
          <w:color w:val="auto"/>
          <w:szCs w:val="21"/>
          <w:highlight w:val="none"/>
        </w:rPr>
      </w:pPr>
      <w:r>
        <w:rPr>
          <w:rFonts w:hint="eastAsia" w:ascii="宋体" w:hAnsi="宋体" w:cs="宋体"/>
          <w:color w:val="auto"/>
          <w:szCs w:val="21"/>
          <w:highlight w:val="none"/>
        </w:rPr>
        <w:t>机房、UPS 间、汇流排间墙面采用在原土建墙体（招标方砌筑）基础上平整后批腻子刷优质乳胶漆的做法。</w:t>
      </w:r>
    </w:p>
    <w:p>
      <w:pPr>
        <w:pStyle w:val="6"/>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电解钢板技术参数:</w:t>
      </w:r>
    </w:p>
    <w:p>
      <w:pPr>
        <w:numPr>
          <w:ilvl w:val="0"/>
          <w:numId w:val="20"/>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净化电解钢板厚度为1.2mm,经工厂数控弯折成型并做静电喷涂，190度高温烘烤，表面涂层厚度不低于0.02mm，背面贴12mm厚纸面石膏板保温；施工现场模块化安装，板缝采用防霉抗菌硅胶密封。</w:t>
      </w:r>
    </w:p>
    <w:p>
      <w:pPr>
        <w:numPr>
          <w:ilvl w:val="0"/>
          <w:numId w:val="20"/>
        </w:numPr>
        <w:spacing w:line="360" w:lineRule="auto"/>
        <w:rPr>
          <w:rFonts w:ascii="宋体" w:hAnsi="宋体" w:cs="宋体"/>
          <w:bCs/>
          <w:color w:val="auto"/>
          <w:szCs w:val="21"/>
          <w:highlight w:val="none"/>
        </w:rPr>
      </w:pPr>
      <w:r>
        <w:rPr>
          <w:rFonts w:hint="eastAsia" w:ascii="宋体" w:hAnsi="宋体" w:cs="宋体"/>
          <w:color w:val="auto"/>
          <w:szCs w:val="21"/>
          <w:highlight w:val="none"/>
        </w:rPr>
        <w:t>▲</w:t>
      </w:r>
      <w:r>
        <w:rPr>
          <w:rFonts w:hint="eastAsia" w:ascii="宋体" w:hAnsi="宋体" w:cs="宋体"/>
          <w:bCs/>
          <w:color w:val="auto"/>
          <w:szCs w:val="21"/>
          <w:highlight w:val="none"/>
        </w:rPr>
        <w:t>成品净化电解钢板燃烧性能应符合GB 8624-2012不燃级A级要求；炉内温升、持续燃烧时间、质量损失率应符合GB/T 5464-2010的要求；钢板总热值、涂层总热值、整体制品总热值应符合GB/T 14402-2007的要求；合同签订前提供第三方检测机构出具的检验报告。</w:t>
      </w:r>
    </w:p>
    <w:p>
      <w:pPr>
        <w:pStyle w:val="6"/>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地面：</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手术室(含DSA、隔离待产、产房手术室)地面材料均要求采用厚度为2mm。要求具有防静电、防滑、防潮、防火、防霉耐磨、耐腐蚀、易清洗同质透心的PVC卷材。</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手术室洁净走廊、洁净辅房地面材料采用2.0mm厚，具有防静电、防滑、防潮、防火、防霉耐磨、耐腐蚀、易清洗同质透心的PVC卷材，3mm厚PVC专用地面配套水泥自流平基层。</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招标范围内的各科室所有卫生间、淋浴间、污洗间、洁具间等湿区地面经2mm厚聚合物水泥基防水处理后，铺贴优质的防滑地砖，符合环保要求。</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机房、UPS间地面采用水泥砂浆找平。</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卷材之间所有拼缝均采用专用焊条处理成平整无缝，踢脚线采用墙面同材质地材上卷</w:t>
      </w:r>
      <w:r>
        <w:rPr>
          <w:rFonts w:ascii="宋体" w:hAnsi="宋体" w:cs="宋体"/>
          <w:color w:val="auto"/>
          <w:szCs w:val="21"/>
          <w:highlight w:val="none"/>
        </w:rPr>
        <w:t>100mm</w:t>
      </w:r>
      <w:r>
        <w:rPr>
          <w:rFonts w:hint="eastAsia" w:ascii="宋体" w:hAnsi="宋体" w:cs="宋体"/>
          <w:color w:val="auto"/>
          <w:szCs w:val="21"/>
          <w:highlight w:val="none"/>
        </w:rPr>
        <w:t>，与地面采用</w:t>
      </w:r>
      <w:r>
        <w:rPr>
          <w:rFonts w:ascii="宋体" w:hAnsi="宋体" w:cs="宋体"/>
          <w:color w:val="auto"/>
          <w:szCs w:val="21"/>
          <w:highlight w:val="none"/>
        </w:rPr>
        <w:t>R</w:t>
      </w:r>
      <w:r>
        <w:rPr>
          <w:rFonts w:hint="eastAsia" w:ascii="宋体" w:hAnsi="宋体" w:cs="宋体"/>
          <w:color w:val="auto"/>
          <w:szCs w:val="21"/>
          <w:highlight w:val="none"/>
        </w:rPr>
        <w:t>3</w:t>
      </w:r>
      <w:r>
        <w:rPr>
          <w:rFonts w:ascii="宋体" w:hAnsi="宋体" w:cs="宋体"/>
          <w:color w:val="auto"/>
          <w:szCs w:val="21"/>
          <w:highlight w:val="none"/>
        </w:rPr>
        <w:t>0mm</w:t>
      </w:r>
      <w:r>
        <w:rPr>
          <w:rFonts w:hint="eastAsia" w:ascii="宋体" w:hAnsi="宋体" w:cs="宋体"/>
          <w:color w:val="auto"/>
          <w:szCs w:val="21"/>
          <w:highlight w:val="none"/>
        </w:rPr>
        <w:t>圆弧过渡，踢脚线上沿设置成品收口条。</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卷材铺设前必须采用优质自流平及界面处理剂处理。</w:t>
      </w:r>
    </w:p>
    <w:p>
      <w:pPr>
        <w:numPr>
          <w:ilvl w:val="0"/>
          <w:numId w:val="21"/>
        </w:numPr>
        <w:spacing w:line="360" w:lineRule="auto"/>
        <w:rPr>
          <w:rFonts w:ascii="宋体" w:hAnsi="宋体" w:cs="宋体"/>
          <w:color w:val="auto"/>
          <w:szCs w:val="21"/>
          <w:highlight w:val="none"/>
        </w:rPr>
      </w:pPr>
      <w:r>
        <w:rPr>
          <w:rFonts w:hint="eastAsia" w:ascii="宋体" w:hAnsi="宋体" w:cs="宋体"/>
          <w:color w:val="auto"/>
          <w:szCs w:val="21"/>
          <w:highlight w:val="none"/>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6"/>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PVC卷材技术参数:</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类型：厚度2.0mm花纹透底型、无方向性花纹、同质透心PVC卷材</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耐磨等级：根据EN660-2：1999+A1：2003和EN649：2011要求测定:≥T级。</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耐磨性：根据GB/T 4085-2005要求测定≈0.04。</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防火等级：符合GB8624-2012判定：该产品燃烧性能达到难燃B1(B-s1,t0)级。</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有害物质检测：应符合GB18586-2001要求测定，未检出氯乙烯单体、可溶性重金属（铅、镉），挥发物符合要求。</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单位面积重量：符合GB/T11982.1-2015要求测定，</w:t>
      </w:r>
      <w:r>
        <w:rPr>
          <w:rFonts w:ascii="宋体" w:hAnsi="宋体" w:cs="宋体"/>
          <w:color w:val="auto"/>
          <w:szCs w:val="21"/>
          <w:highlight w:val="none"/>
        </w:rPr>
        <w:t>≈</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75kg/㎡。</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焊接强度：应符合EN684-1996，≥620 N/50 mm。</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防滑性：应符合EN14014和EN13893要求，达到技术等级DS。</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TVOC（挥发有机化合物）检测：符合挥发物有机化合物测试要求测定，结果≤10µg/m3 。</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甲醛测试：应符合GB18580-2001要求，未检出。</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防滑等级：符合DIN 51130要求测定，≥R9。</w:t>
      </w:r>
    </w:p>
    <w:p>
      <w:pPr>
        <w:numPr>
          <w:ilvl w:val="0"/>
          <w:numId w:val="22"/>
        </w:numPr>
        <w:spacing w:line="360" w:lineRule="auto"/>
        <w:rPr>
          <w:rFonts w:ascii="宋体" w:hAnsi="宋体" w:cs="宋体"/>
          <w:color w:val="auto"/>
          <w:szCs w:val="21"/>
          <w:highlight w:val="none"/>
        </w:rPr>
      </w:pPr>
      <w:r>
        <w:rPr>
          <w:rFonts w:hint="eastAsia" w:ascii="宋体" w:hAnsi="宋体" w:cs="宋体"/>
          <w:color w:val="auto"/>
          <w:szCs w:val="21"/>
          <w:highlight w:val="none"/>
        </w:rPr>
        <w:t>洁净室认证：满足ISO 14644-1标准，测试等级为ISO Class 3级。</w:t>
      </w:r>
    </w:p>
    <w:p>
      <w:pPr>
        <w:pStyle w:val="6"/>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天花：</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手术室（含产房手术室、DSA、隔离待产）天花：</w:t>
      </w:r>
      <w:r>
        <w:rPr>
          <w:rFonts w:hint="eastAsia"/>
          <w:color w:val="auto"/>
          <w:highlight w:val="none"/>
        </w:rPr>
        <w:t>30*50*1.5</w:t>
      </w:r>
      <w:r>
        <w:rPr>
          <w:rFonts w:hint="eastAsia" w:ascii="宋体" w:hAnsi="宋体" w:cs="宋体"/>
          <w:color w:val="auto"/>
          <w:szCs w:val="21"/>
          <w:highlight w:val="none"/>
        </w:rPr>
        <w:t>镀锌方管龙骨+9.5mm厚防潮石膏板基层，面层选用1.2mm厚耐清洗、耐碰撞、阻燃、隔音、保温、防潮、防锈的优质电解钢板，板材全部在工厂预制烤漆成型，施工现场模块化安装，不允许采用现场切割、禁止现场喷涂。板缝采用进口防霉抗菌硅胶密封；手术室墙面与墙面、墙面与吊顶均采用圆弧（圆弧半径R≥300mm）过渡。</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手术部(含产房手术室、DSA、隔离待产)洁净走廊辅房（除湿区外）吊顶均采用轻钢龙骨封9.5mm石膏板，再贴洁菌板。</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办公区域、污物辅房、污物走廊等区域吊顶材料均采用60轻钢龙骨，外贴9.5mm石膏板，再刷抗菌涂料。</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各科室招标范围内的卫浴间、污洗间、洁具间等所有湿区吊顶均采用0.8mm厚铝扣板。</w:t>
      </w:r>
    </w:p>
    <w:p>
      <w:pPr>
        <w:numPr>
          <w:ilvl w:val="0"/>
          <w:numId w:val="23"/>
        </w:numPr>
        <w:spacing w:line="360" w:lineRule="auto"/>
        <w:rPr>
          <w:rFonts w:ascii="宋体" w:hAnsi="宋体" w:cs="宋体"/>
          <w:color w:val="auto"/>
          <w:szCs w:val="21"/>
          <w:highlight w:val="none"/>
        </w:rPr>
      </w:pPr>
      <w:r>
        <w:rPr>
          <w:rFonts w:hint="eastAsia" w:ascii="宋体" w:hAnsi="宋体" w:cs="宋体"/>
          <w:color w:val="auto"/>
          <w:szCs w:val="21"/>
          <w:highlight w:val="none"/>
        </w:rPr>
        <w:t>当吊顶内吊杆长度大于1.5米，吊顶内应按《建筑装饰装修工程施工质量验收规范》要求设置反支撑。</w:t>
      </w:r>
    </w:p>
    <w:p>
      <w:pPr>
        <w:numPr>
          <w:ilvl w:val="0"/>
          <w:numId w:val="23"/>
        </w:numPr>
        <w:spacing w:line="360" w:lineRule="auto"/>
        <w:rPr>
          <w:rFonts w:ascii="宋体" w:hAnsi="宋体" w:cs="宋体"/>
          <w:b/>
          <w:bCs/>
          <w:strike/>
          <w:color w:val="auto"/>
          <w:szCs w:val="21"/>
          <w:highlight w:val="none"/>
        </w:rPr>
      </w:pPr>
      <w:r>
        <w:rPr>
          <w:rFonts w:hint="eastAsia" w:ascii="宋体" w:hAnsi="宋体" w:cs="宋体"/>
          <w:color w:val="auto"/>
          <w:szCs w:val="21"/>
          <w:highlight w:val="none"/>
        </w:rPr>
        <w:t>手术室吊顶高度宜为3.0m，其他区域吊顶高度宜为2.6m。具体以现场实际条件为准。</w:t>
      </w:r>
    </w:p>
    <w:p>
      <w:pPr>
        <w:pStyle w:val="6"/>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门：</w:t>
      </w:r>
    </w:p>
    <w:p>
      <w:pPr>
        <w:numPr>
          <w:ilvl w:val="0"/>
          <w:numId w:val="24"/>
        </w:numPr>
        <w:spacing w:line="360" w:lineRule="auto"/>
        <w:rPr>
          <w:rFonts w:ascii="宋体" w:hAnsi="宋体" w:cs="宋体"/>
          <w:color w:val="auto"/>
          <w:szCs w:val="21"/>
          <w:highlight w:val="none"/>
        </w:rPr>
      </w:pPr>
      <w:r>
        <w:rPr>
          <w:rFonts w:hint="eastAsia" w:ascii="宋体" w:hAnsi="宋体" w:cs="宋体"/>
          <w:color w:val="auto"/>
          <w:szCs w:val="21"/>
          <w:highlight w:val="none"/>
        </w:rPr>
        <w:t>▲医用自动门：手术室靠洁净走廊侧采用净通过尺寸不小于1500*2100的医用自动门，应具有光控、手控、脚控等多种开启方式，带延时关闭功能，停电时可手动开启，运行速度可作调校，手术室门盖上需有“手术中”指示灯，其中防辐射手术室门盖上应加设“放射中”指示灯。其他自动门尺寸及设置位置见发标图纸。</w:t>
      </w:r>
    </w:p>
    <w:p>
      <w:pPr>
        <w:numPr>
          <w:ilvl w:val="0"/>
          <w:numId w:val="24"/>
        </w:numPr>
        <w:spacing w:line="360" w:lineRule="auto"/>
        <w:rPr>
          <w:rFonts w:ascii="宋体" w:hAnsi="宋体" w:cs="宋体"/>
          <w:color w:val="auto"/>
          <w:szCs w:val="21"/>
          <w:highlight w:val="none"/>
        </w:rPr>
      </w:pPr>
      <w:r>
        <w:rPr>
          <w:rFonts w:hint="eastAsia" w:ascii="宋体" w:hAnsi="宋体" w:cs="宋体"/>
          <w:color w:val="auto"/>
          <w:szCs w:val="21"/>
          <w:highlight w:val="none"/>
        </w:rPr>
        <w:t>自动门门机：</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开门可调停留时间；</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安全性能：遇阻反弹力可调；</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可承受最大门重：2×120KG；</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有消防联动功能接口；</w:t>
      </w:r>
    </w:p>
    <w:p>
      <w:pPr>
        <w:numPr>
          <w:ilvl w:val="0"/>
          <w:numId w:val="2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 xml:space="preserve">可外接门禁； </w:t>
      </w:r>
    </w:p>
    <w:p>
      <w:pPr>
        <w:numPr>
          <w:ilvl w:val="0"/>
          <w:numId w:val="24"/>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各科室与其他场所或部位分隔（公共区域交接处)墙上必须设置的门应采用乙级防火门，由招标方负责采购、施工，中标方提供相关配合。</w:t>
      </w:r>
    </w:p>
    <w:p>
      <w:pPr>
        <w:numPr>
          <w:ilvl w:val="0"/>
          <w:numId w:val="24"/>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各科室与其他场所或部位分隔（公共区域交接处)墙上必须设置的窗应采用乙级防火窗，由招标方负责采购、施工，中标方提供相关配合。</w:t>
      </w:r>
    </w:p>
    <w:p>
      <w:pPr>
        <w:pStyle w:val="6"/>
        <w:numPr>
          <w:ilvl w:val="0"/>
          <w:numId w:val="17"/>
        </w:numPr>
        <w:adjustRightInd w:val="0"/>
        <w:snapToGrid w:val="0"/>
        <w:spacing w:line="360" w:lineRule="auto"/>
        <w:ind w:firstLine="420" w:firstLineChars="200"/>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无机预涂板</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规格：6mm厚无机预涂板，要求采用性能优异、适合洁净区使用的产品，具有抗菌、耐污染、易清洗、消毒、耐药品侵蚀性能，材料尺寸稳定、耐久性好，防火性能符合相关规范，抗撞击性能好。</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燃烧性能：材料燃烧性能需达到A1级。</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耐火极限：≥2小时。</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产品硬度需达到≥4H。</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附着力需达到≥1.0MPa</w:t>
      </w:r>
    </w:p>
    <w:p>
      <w:pPr>
        <w:numPr>
          <w:ilvl w:val="0"/>
          <w:numId w:val="26"/>
        </w:numPr>
        <w:tabs>
          <w:tab w:val="left" w:pos="220"/>
        </w:tabs>
        <w:spacing w:line="360" w:lineRule="auto"/>
        <w:ind w:firstLine="400"/>
        <w:rPr>
          <w:rFonts w:ascii="宋体" w:hAnsi="宋体" w:cs="宋体"/>
          <w:color w:val="auto"/>
          <w:szCs w:val="21"/>
          <w:highlight w:val="none"/>
          <w:lang w:eastAsia="zh-TW"/>
        </w:rPr>
      </w:pPr>
      <w:r>
        <w:rPr>
          <w:rFonts w:hint="eastAsia" w:ascii="宋体" w:hAnsi="宋体" w:cs="宋体"/>
          <w:color w:val="auto"/>
          <w:szCs w:val="21"/>
          <w:highlight w:val="none"/>
          <w:lang w:eastAsia="zh-TW"/>
        </w:rPr>
        <w:t>稳定的色泽性：防紫外性能和面板颜色的稳定性能需达到AAMA2605标准。</w:t>
      </w:r>
    </w:p>
    <w:p>
      <w:pPr>
        <w:pStyle w:val="5"/>
        <w:rPr>
          <w:color w:val="auto"/>
          <w:highlight w:val="none"/>
        </w:rPr>
      </w:pPr>
    </w:p>
    <w:p>
      <w:pPr>
        <w:pStyle w:val="6"/>
        <w:numPr>
          <w:ilvl w:val="0"/>
          <w:numId w:val="1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其他：</w:t>
      </w:r>
    </w:p>
    <w:p>
      <w:pPr>
        <w:numPr>
          <w:ilvl w:val="0"/>
          <w:numId w:val="26"/>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各科室Ⅲ级洁净辅助用房可设外窗，但必须是双层密闭窗。</w:t>
      </w:r>
    </w:p>
    <w:p>
      <w:pPr>
        <w:numPr>
          <w:ilvl w:val="0"/>
          <w:numId w:val="26"/>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传递窗或传递柜的尺寸、数量，参见发标图纸。</w:t>
      </w:r>
    </w:p>
    <w:p>
      <w:pPr>
        <w:numPr>
          <w:ilvl w:val="0"/>
          <w:numId w:val="26"/>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招标范围内的外窗处，墙面为乳胶漆或PVC墙布时，窗台采用20mm厚人造石窗台板；墙面为瓷砖时，窗台及窗侧采用瓷砖铺贴+铝合金配套小圆弧型材过渡；其余墙面窗台及窗侧均采用1.2mm厚电解钢板收口。</w:t>
      </w:r>
    </w:p>
    <w:p>
      <w:pPr>
        <w:numPr>
          <w:ilvl w:val="0"/>
          <w:numId w:val="26"/>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本项目所有招标区域内电梯出口、管井门、消防栓、防火门处，均由中标方根据其房间功能及不同的装饰面材进行不同收口及加固做法，具体如下：当室内装饰面材为电解钢板时，招标区域内电梯出口、管井检修门、消防栓、防火门收口均采用电解钢板；当室内装饰面材为无机预涂板时，则以上区域收口均采用无机预涂板饰面，不锈钢包边；当室内装饰面材为彩钢板时，则以上区域收口均采用彩钢板饰面，铝角包边。</w:t>
      </w:r>
    </w:p>
    <w:p>
      <w:pPr>
        <w:pStyle w:val="6"/>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净化空调及自动化控制系统工程技术要求 </w:t>
      </w:r>
    </w:p>
    <w:p>
      <w:pPr>
        <w:pStyle w:val="6"/>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空调系统配置要求：</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净化区域的空调系统采用带高效过滤器的送风装置的送风形式。</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净化空调机组的空调水设计为四管制系统，由风冷热泵提供全年所需的冷水和热水。</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每间手术室外均设置微压计，微压计位置安装在易于观察的位置。</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净化空调机组采用变频机组，通过自控进行变频控制，保证每间房间和新风机组的风量达到要求。</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各手术部、有异味产生、有污物的房间均采用机械排风装置，保证室内空气质量，维持室内正压或负压控制。</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洁净用房的排风口百叶片应选用竖向可调叶片，并应设置中效过滤器。</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净化空调系统至少设置三级空气过滤，各级过滤器应采用一次抛弃型。末级过滤器使用风量不宜大于其额定风量的70%。</w:t>
      </w:r>
    </w:p>
    <w:p>
      <w:pPr>
        <w:numPr>
          <w:ilvl w:val="0"/>
          <w:numId w:val="28"/>
        </w:numPr>
        <w:spacing w:line="360" w:lineRule="auto"/>
        <w:rPr>
          <w:rFonts w:ascii="宋体" w:hAnsi="宋体" w:cs="宋体"/>
          <w:color w:val="auto"/>
          <w:szCs w:val="21"/>
          <w:highlight w:val="none"/>
        </w:rPr>
      </w:pPr>
      <w:r>
        <w:rPr>
          <w:rFonts w:hint="eastAsia" w:ascii="宋体" w:hAnsi="宋体" w:cs="宋体"/>
          <w:color w:val="auto"/>
          <w:szCs w:val="21"/>
          <w:highlight w:val="none"/>
        </w:rPr>
        <w:t>应采用防雨性能良好的新风口，新风管路上应设过滤器、密闭风阀。</w:t>
      </w:r>
    </w:p>
    <w:p>
      <w:pPr>
        <w:numPr>
          <w:ilvl w:val="0"/>
          <w:numId w:val="28"/>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Ⅰ级手术室采用一拖一，Ⅱ级手术室采用一拖一，Ⅲ级手术室采用一拖二。Ⅲ级正负压手术室采用一台净化循环机组，送风静压箱送风，两侧下回风口回风的上送下回气流组织；其余的走廊及其辅房采用四台循环机组，高效送风口送风，上/下回风口回风的上送上/下回气流组织；手术部净化机组新风由三台净化新风机组集中处理后送入循环机组内。</w:t>
      </w:r>
    </w:p>
    <w:p>
      <w:pPr>
        <w:pStyle w:val="6"/>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净化空调自动化控制系统设计要求</w:t>
      </w:r>
    </w:p>
    <w:p>
      <w:pPr>
        <w:numPr>
          <w:ilvl w:val="0"/>
          <w:numId w:val="29"/>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整体要求：采用著名品牌多功能控制器、温、湿度传感器，压差开关、风阀执行器、电动比例积分三通调节阀、变频器等对系统的风量及温湿度进行控制。</w:t>
      </w:r>
    </w:p>
    <w:p>
      <w:pPr>
        <w:numPr>
          <w:ilvl w:val="0"/>
          <w:numId w:val="29"/>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净化循环机组（含自取新风机组）每个系统设置一个单联空调控制面板，用于手术室的机组控制面板集成于手术室情报面板中。集中净化新风机组不设置控制面板，由循环机组联动控制。净化空调控制系统的控制必需满足机房本地控制和手术室控制的功能需求。</w:t>
      </w:r>
    </w:p>
    <w:p>
      <w:pPr>
        <w:numPr>
          <w:ilvl w:val="0"/>
          <w:numId w:val="29"/>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手术室内空调控制面板应可以实现以下的控制功能：</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机组启、停；</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温度的设定；</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室内温、湿度的显示；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机组值班状态指示；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机组运行指示；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机组故障指示；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室内外压差显示；</w:t>
      </w:r>
    </w:p>
    <w:p>
      <w:pPr>
        <w:pStyle w:val="49"/>
        <w:numPr>
          <w:ilvl w:val="0"/>
          <w:numId w:val="30"/>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带通讯模块，提供通用协议，信息可供外部调用。</w:t>
      </w:r>
    </w:p>
    <w:p>
      <w:pPr>
        <w:numPr>
          <w:ilvl w:val="0"/>
          <w:numId w:val="29"/>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机房控制柜内还应可以实现以下的控制功能：</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室内控制面板实现的全部功能；</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风机运行频率显示；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中效过滤网堵塞报警、缺风保护报警、风机运行情况及过载报警、手术室排风机运行状态显示、加湿器运行状态和故障显示等；</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手、自动风量调频切换；</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冷热水调节阀、加湿器和电加热器工作状态；</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试灯和功能切换；</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各种控制参数（室内温、湿度；变频器频率等）的设定和修改。</w:t>
      </w:r>
    </w:p>
    <w:p>
      <w:pPr>
        <w:pStyle w:val="6"/>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空调机组技术参数：</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要求机组整体配备优良，质量好结构合理，性能良好稳定性高。机组箱体应采用可拆装的框架结构。机组框架最低要求为铝合金材质，可采用防冷桥效果更好的强化玻璃纤维（</w:t>
      </w:r>
      <w:r>
        <w:rPr>
          <w:rFonts w:ascii="宋体" w:hAnsi="宋体" w:cs="宋体"/>
          <w:bCs/>
          <w:color w:val="auto"/>
          <w:szCs w:val="21"/>
          <w:highlight w:val="none"/>
        </w:rPr>
        <w:t>GFK）材质。在±1000pa压力条件下，机组变形量≤2.3mm/m，机组强度达到欧洲最高标准D1级别。机组采用内外板双层结构，内、外层钢板均应耐腐蚀，抗氧化，采用最低要求为镀锌铝合金，可采用更优异的镀锌钢板+静电粉末喷涂材质，单层钢板厚度不小于0.5mm。中间保温层为硬质聚氨酯（PU）直接发泡，厚度≥50mm</w:t>
      </w:r>
      <w:r>
        <w:rPr>
          <w:rFonts w:hint="eastAsia" w:ascii="宋体" w:hAnsi="宋体" w:cs="宋体"/>
          <w:bCs/>
          <w:color w:val="auto"/>
          <w:szCs w:val="21"/>
          <w:highlight w:val="none"/>
        </w:rPr>
        <w:t>。</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为保证换热器的性能，制造商有完整的换热器生产线，要求所有表冷器在组装前逐台进行检漏试验，试验压力不小于2.5MP，以保证换热性能及使用寿命。</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箱体的框架、箱板均应有良好的保温性能，其传热系数不大于0.9w/(㎡*K)，达到欧洲高标准T2级。</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机组的保温护板与框架之间、各功能段之间在拼装时，应采用不含硅的密封胶密封，具有区别于常规含硅密封胶的性能，不易老化变形，以保证整个机组的密封性。箱体的漏风率在1500pa条件下控制在不超过0.15%，在1000pa条件下控制在不超过0.09%，在-400pa条件下漏风量≤0.1 L/(s*m²)，达到欧洲高标准L1级；在700pa条件下漏风量≤0.12 L/(s*m²)，达到欧洲高标准L1级。</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洁净空调机组在+400pa条件下过滤器旁通漏风量≤0.3%，达到欧洲高标准F9级；在-400pa条件下过滤器旁通漏风量≤0.42%，达到欧洲高标准F9级；。</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医用洁净空调机组的接水盘采用抗菌型不锈钢材质，具有对大肠杆菌和金黄色葡萄菌的抗菌性能，投标书中应提供相关证明文件并加盖公章。</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生产制造商新风机组需配置单元式无极调节的深度除湿装置，且本制造商应有经过国家认可的，具有单元式空调能效标识能源效率检测实验室认证的焓差实验室。。</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新风机组配置直接蒸发式深度除湿装置，供货商必须同时具有洁净空气调节机组和风冷单元式空调机组的生产许可证； </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为保证机组与自控系统配合完美，运行稳定，空调生产商应有生产自动控制系统的能力，自控系统不得采用OEM产品。</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洁净空气处理机组应通过抗菌试验测试，其中空调机组内侧箱板具有对大肠埃希氏菌和金黄色葡萄球菌的抗菌性能，投标书中应提供相关证明文件并加盖公章。</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组合式净化空调机组稳定运行≥4小时无凝露现象。</w:t>
      </w:r>
    </w:p>
    <w:p>
      <w:pPr>
        <w:numPr>
          <w:ilvl w:val="0"/>
          <w:numId w:val="3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空调机组结构用密封胶具有区别于常规含硅密封胶的性能，不易老化变形，以保证整个机组的密封性。</w:t>
      </w:r>
    </w:p>
    <w:p>
      <w:pPr>
        <w:pStyle w:val="6"/>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风冷热泵技术参数：</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冷量：进水温度 12℃，出水温度 7℃,室外温度:　15~48℃； </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热量：进水温度 40℃，出水温度 45℃，室外温度:-15~24℃；</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工作电压为 380V/3N~/50Hz。</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风冷模块机组应为专门适应洁净手术部全年空调负荷，一般要求制冷适应范围比较广（制冷环境0～45 ℃），在室外温度较低的过渡季时机组能稳定运行制冷工况。</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模块机具有辅助融霜电磁阀，解决系统低温制热时化霜低压抽空隐患，改善机组运行寿命。 </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冷凝器换热管采用内螺纹铜管，亲水铝箔，冷凝管穿过散热翅片并和散热翅片连接，若干根毛细管远离分布头的端部进入集液管后分别对应插入支管中，不积液不气堵且 能够使空调系统保持低功耗。 </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要求使用的设备必须为高效节能的机组， 整机能效比（含压缩机、冷凝风机的耗能）不得小于 3.2。</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压缩机要求高效节能，采用高效全封闭式涡旋压缩机，噪声小、抗液击 能力强、易损件少、使用寿命长。</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为方便机组制冷量调节，要求设备必须配备多个独立的制冷回路，单模块制冷回路不得低于 2 个，单模块压缩机配备数量不得少于 2 台。以实现多回路阶梯式能量调节，保证可有级或无级调节冷热量负载，使机组制冷（热）量与实际所需相匹配，从而提高压缩机工作效率、降低能耗；</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机组蒸发器采用高效壳管式结构， 具有较强的抗冻性，对水质要求不高。</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制冷剂采用R410A环保型冷媒，不破环臭氧层，不得使用R22制冷剂。</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自动化程度高，功能齐全，能实现程序管理、定时控制、水泵管理、全功能故障报警、故障自我诊断、智能除霜、高低压力保护、断水延时保护、防冻保护、 过载过热保护、缺相和相序保护、均衡运行、现场，远距离停机、冬天防冻结运行、多模块分时启动等多重功能；</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控制屏采用三级密码保护，防止程序和设定参数被误操作或随意更改；</w:t>
      </w:r>
    </w:p>
    <w:p>
      <w:pPr>
        <w:numPr>
          <w:ilvl w:val="0"/>
          <w:numId w:val="3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为适应净化系统负荷变化较大的特点，要求机组选用电子膨胀阀，以快速适应并按环境温度的变化进行制冷剂流量的调整，使控制更加精准。</w:t>
      </w:r>
    </w:p>
    <w:p>
      <w:pPr>
        <w:pStyle w:val="6"/>
        <w:numPr>
          <w:ilvl w:val="0"/>
          <w:numId w:val="2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橡塑保温棉技术参数</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表观密度：50-60kg/m³；</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燃烧性能：难燃B1级（GB8624-2012）;</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燃烧产烟毒性：准安全ZA3级合格；</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氧指数：≥38；湿阻因子≥16000；</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0℃时，导热系数≤0.032W/（m℃）；</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橡塑保温材料具有防霉抗菌功能；</w:t>
      </w:r>
    </w:p>
    <w:p>
      <w:pPr>
        <w:numPr>
          <w:ilvl w:val="0"/>
          <w:numId w:val="34"/>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单质硫（mg/kg）≤10；</w:t>
      </w:r>
    </w:p>
    <w:p>
      <w:pPr>
        <w:pStyle w:val="6"/>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强电系统工程技术要求</w:t>
      </w:r>
    </w:p>
    <w:p>
      <w:pPr>
        <w:pStyle w:val="6"/>
        <w:numPr>
          <w:ilvl w:val="0"/>
          <w:numId w:val="35"/>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系统设计要求</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招标方将双电源线引至</w:t>
      </w:r>
      <w:r>
        <w:rPr>
          <w:rFonts w:hint="eastAsia"/>
          <w:color w:val="auto"/>
          <w:highlight w:val="none"/>
        </w:rPr>
        <w:t>综合手术部、DSA、隔离待产、产房手术室</w:t>
      </w:r>
      <w:r>
        <w:rPr>
          <w:rFonts w:hint="eastAsia" w:ascii="宋体" w:hAnsi="宋体" w:cs="宋体"/>
          <w:color w:val="auto"/>
          <w:szCs w:val="21"/>
          <w:highlight w:val="none"/>
        </w:rPr>
        <w:t>及空调机房外双电源切换总配电箱内，配电箱及其之后所有的桥架、线管、电源线、照明、插座等工程全部由中标方采购、安装。</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手术室内用电应与辅房用电分开，每个手术室内干线必须单独敷设。</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每间手术室配电负荷不应小于10KVA。</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照明应采用医用LED平板灯，满足洁净环境气密性要求禁用普通灯带代替，灯带必须布置在送风口之外。</w:t>
      </w:r>
    </w:p>
    <w:p>
      <w:pPr>
        <w:numPr>
          <w:ilvl w:val="0"/>
          <w:numId w:val="36"/>
        </w:numPr>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手术室设计平均照度应在350LX以上，治疗区域设计平均照度应在300LX以上，其余辅房及走廊平均照度应在</w:t>
      </w:r>
      <w:r>
        <w:rPr>
          <w:rFonts w:ascii="宋体" w:hAnsi="宋体" w:cs="宋体"/>
          <w:color w:val="auto"/>
          <w:szCs w:val="21"/>
          <w:highlight w:val="none"/>
        </w:rPr>
        <w:t>1</w:t>
      </w:r>
      <w:r>
        <w:rPr>
          <w:rFonts w:hint="eastAsia" w:ascii="宋体" w:hAnsi="宋体" w:cs="宋体"/>
          <w:color w:val="auto"/>
          <w:szCs w:val="21"/>
          <w:highlight w:val="none"/>
        </w:rPr>
        <w:t>0</w:t>
      </w:r>
      <w:r>
        <w:rPr>
          <w:rFonts w:ascii="宋体" w:hAnsi="宋体" w:cs="宋体"/>
          <w:color w:val="auto"/>
          <w:szCs w:val="21"/>
          <w:highlight w:val="none"/>
        </w:rPr>
        <w:t>0</w:t>
      </w:r>
      <w:r>
        <w:rPr>
          <w:rFonts w:hint="eastAsia" w:ascii="宋体" w:hAnsi="宋体" w:cs="宋体"/>
          <w:color w:val="auto"/>
          <w:szCs w:val="21"/>
          <w:highlight w:val="none"/>
        </w:rPr>
        <w:t>LX以上。</w:t>
      </w:r>
    </w:p>
    <w:p>
      <w:pPr>
        <w:numPr>
          <w:ilvl w:val="0"/>
          <w:numId w:val="36"/>
        </w:numPr>
        <w:adjustRightInd w:val="0"/>
        <w:snapToGrid w:val="0"/>
        <w:spacing w:line="360" w:lineRule="auto"/>
        <w:rPr>
          <w:rFonts w:ascii="宋体" w:hAnsi="宋体" w:cs="宋体"/>
          <w:color w:val="auto"/>
          <w:szCs w:val="21"/>
          <w:highlight w:val="none"/>
          <w:u w:val="single"/>
        </w:rPr>
      </w:pPr>
      <w:r>
        <w:rPr>
          <w:rFonts w:hint="eastAsia" w:ascii="宋体" w:hAnsi="宋体" w:cs="宋体"/>
          <w:color w:val="auto"/>
          <w:szCs w:val="21"/>
          <w:highlight w:val="none"/>
        </w:rPr>
        <w:t>手术部洁净区照明由洁净气密型灯组成。</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每间手术室和复苏室灯盘根据规范要求设置紧急照明系统。</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洁净手术室的总配电箱，应设于非洁净区。每个洁净手术室应设有一个独立专用配电箱，配电箱应设在该手术室的外侧墙内。</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控制装备显示面板应与手术室内墙面齐平严密。</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洁净手术室应设置安全保护接地系统和等电位接地系统。</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每间手术室（包含产房手术室、DSA、隔离待产、I</w:t>
      </w:r>
      <w:r>
        <w:rPr>
          <w:rFonts w:ascii="宋体" w:hAnsi="宋体" w:cs="宋体"/>
          <w:color w:val="auto"/>
          <w:szCs w:val="21"/>
          <w:highlight w:val="none"/>
        </w:rPr>
        <w:t>CU</w:t>
      </w:r>
      <w:r>
        <w:rPr>
          <w:rFonts w:hint="eastAsia" w:ascii="宋体" w:hAnsi="宋体" w:cs="宋体"/>
          <w:color w:val="auto"/>
          <w:szCs w:val="21"/>
          <w:highlight w:val="none"/>
        </w:rPr>
        <w:t>、抢救室）设置医疗隔离IT电源装置，包括隔离变压器、绝缘监视仪、电流互感器、外接报警显示和测试单元等。</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综合手术室、产房手术室、DSA、隔离待产等按科室设置总的UPS，持续供电时间不小于</w:t>
      </w:r>
      <w:r>
        <w:rPr>
          <w:rFonts w:ascii="宋体" w:hAnsi="宋体" w:cs="宋体"/>
          <w:color w:val="auto"/>
          <w:szCs w:val="21"/>
          <w:highlight w:val="none"/>
        </w:rPr>
        <w:t>30min(</w:t>
      </w:r>
      <w:r>
        <w:rPr>
          <w:rFonts w:hint="eastAsia" w:ascii="宋体" w:hAnsi="宋体" w:cs="宋体"/>
          <w:color w:val="auto"/>
          <w:szCs w:val="21"/>
          <w:highlight w:val="none"/>
        </w:rPr>
        <w:t>可扩容）；要求每间手术室不小于10KVA，麻醉准备间、苏醒室每床不小于2.5KVA设置，UPS放置于同层或净化机房设备层。</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电缆采用无卤低烟阻燃交联聚乙烯绝缘聚烯烃护套铜芯电力电缆。</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电缆、电线应采用金属管及金属桥架敷设。</w:t>
      </w:r>
    </w:p>
    <w:p>
      <w:pPr>
        <w:numPr>
          <w:ilvl w:val="0"/>
          <w:numId w:val="3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电缆、电线、桥架、套管等材料选材及敷设要符合设计规范标准。</w:t>
      </w:r>
    </w:p>
    <w:p>
      <w:pPr>
        <w:pStyle w:val="6"/>
        <w:numPr>
          <w:ilvl w:val="0"/>
          <w:numId w:val="35"/>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隔离变压器技术参数</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医用IT隔离电源系统，符合中华人民共和国国标GB16895.24（IEC60364-7-710）《建筑物电气装置第7-710部分 对特殊装置或场所的要求-医疗场所》的相关标准。</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w:t>
      </w:r>
      <w:r>
        <w:rPr>
          <w:rFonts w:hint="eastAsia"/>
          <w:color w:val="auto"/>
          <w:highlight w:val="none"/>
        </w:rPr>
        <w:t>IT 隔离电源系统设置在抢救室、手术室及 ICU 病房，系统包括</w:t>
      </w:r>
      <w:r>
        <w:rPr>
          <w:rFonts w:hint="eastAsia" w:ascii="宋体" w:hAnsi="宋体" w:cs="宋体"/>
          <w:bCs/>
          <w:color w:val="auto"/>
          <w:szCs w:val="21"/>
          <w:highlight w:val="none"/>
        </w:rPr>
        <w:t>单相220V</w:t>
      </w:r>
      <w:r>
        <w:rPr>
          <w:rFonts w:hint="eastAsia"/>
          <w:color w:val="auto"/>
          <w:highlight w:val="none"/>
        </w:rPr>
        <w:t>隔离变压器(抢救室设置26套 5KVA，手术室设置21套 8KVA， ICU病房设置19套10KVA)、</w:t>
      </w:r>
      <w:r>
        <w:rPr>
          <w:rFonts w:hint="eastAsia" w:ascii="宋体" w:hAnsi="宋体" w:cs="宋体"/>
          <w:bCs/>
          <w:color w:val="auto"/>
          <w:szCs w:val="21"/>
          <w:highlight w:val="none"/>
        </w:rPr>
        <w:t>绝缘监视仪、电流互感器、外接报警显示和控制单元，须有绝缘阻值（绝缘阻值最小60KΩ报警）、过负荷、超温实时监控、断线及其它自身故障监控等功能。</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医用单相隔离变压器应符合IEC61558-2-15/GB19212.16-2005《医疗场所供电用隔离变压器的特殊要求》标准。变压器应具有医用变压器的专用标识。</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绝缘监视仪应符合IEC61557-8和IEC60364-7-710标准，并采用先进的电子测量技术进行检测，以提高本系统抗干扰能力和测量精度，实时且精确监视直流回路的IT电网各项参数及系统状态。</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外接报警显示和控制单元可实时指示故障类型，发出声光报警，并可手动命令监护仪自检。</w:t>
      </w:r>
    </w:p>
    <w:p>
      <w:pPr>
        <w:numPr>
          <w:ilvl w:val="0"/>
          <w:numId w:val="37"/>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配置高精度的变比为50/0.05A电流互感器。</w:t>
      </w:r>
    </w:p>
    <w:p>
      <w:pPr>
        <w:pStyle w:val="10"/>
        <w:rPr>
          <w:rFonts w:ascii="宋体" w:hAns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、UPS技术参数</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380V/220V输入，220V输出；</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一体化设计,厚度不能超过40CM,夹墙靠墙安装,全正面维护；</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从两侧进冷风,上部排风散热；</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内置隔离变压器工频主机；</w:t>
      </w:r>
    </w:p>
    <w:p>
      <w:pPr>
        <w:numPr>
          <w:ilvl w:val="0"/>
          <w:numId w:val="38"/>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后备延时</w:t>
      </w:r>
      <w:r>
        <w:rPr>
          <w:rFonts w:ascii="宋体" w:hAnsi="宋体" w:cs="宋体"/>
          <w:bCs/>
          <w:color w:val="auto"/>
          <w:szCs w:val="21"/>
          <w:highlight w:val="none"/>
        </w:rPr>
        <w:t>30</w:t>
      </w:r>
      <w:r>
        <w:rPr>
          <w:rFonts w:hint="eastAsia" w:ascii="宋体" w:hAnsi="宋体" w:cs="宋体"/>
          <w:bCs/>
          <w:color w:val="auto"/>
          <w:szCs w:val="21"/>
          <w:highlight w:val="none"/>
        </w:rPr>
        <w:t>分钟满载（可扩容）；</w:t>
      </w:r>
    </w:p>
    <w:p>
      <w:pPr>
        <w:numPr>
          <w:ilvl w:val="0"/>
          <w:numId w:val="38"/>
        </w:numPr>
        <w:spacing w:line="360" w:lineRule="auto"/>
        <w:rPr>
          <w:rFonts w:ascii="宋体" w:hAnsi="宋体" w:cs="宋体"/>
          <w:bCs/>
          <w:color w:val="auto"/>
          <w:kern w:val="2"/>
          <w:szCs w:val="21"/>
          <w:highlight w:val="none"/>
        </w:rPr>
      </w:pPr>
      <w:r>
        <w:rPr>
          <w:rFonts w:hint="eastAsia" w:ascii="宋体" w:hAnsi="宋体" w:cs="宋体"/>
          <w:bCs/>
          <w:color w:val="auto"/>
          <w:szCs w:val="21"/>
          <w:highlight w:val="none"/>
        </w:rPr>
        <w:t>合同签订前提供原厂售后服务承诺书，每半年做电池性能检测，并出具检测报告；</w:t>
      </w:r>
    </w:p>
    <w:p>
      <w:pPr>
        <w:pStyle w:val="6"/>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弱电系统工程技术要求</w:t>
      </w:r>
    </w:p>
    <w:p>
      <w:pPr>
        <w:pStyle w:val="6"/>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4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手术部（包含隔离待产、DSA、产房手术室）净化区域配置电话、网络系统、有线电视系统、呼叫系统、监控系统、可视门禁系统、背景音乐系统、数字化系统。其余弱电系统均不在本次招标范围内。</w:t>
      </w:r>
    </w:p>
    <w:p>
      <w:pPr>
        <w:numPr>
          <w:ilvl w:val="0"/>
          <w:numId w:val="4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所有设备及管线的招标、敷设均应符合国家电气、消防施工等相关技术规范要求。要求所有弱电的主机设备布局合理，整齐，美观，大方。</w:t>
      </w:r>
    </w:p>
    <w:p>
      <w:pPr>
        <w:pStyle w:val="6"/>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背景音乐系统（消防信号优先接入功能）</w:t>
      </w:r>
    </w:p>
    <w:p>
      <w:pPr>
        <w:numPr>
          <w:ilvl w:val="0"/>
          <w:numId w:val="41"/>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手术部（包含DSA、产房手术室）净化区域均设置背景音乐系统，广播布线分区设置，公共广播系统平时播放引导广播及背景音乐，预留消防强切接口，在火灾时由消防控制主机强制切换到火灾应急广播状态。</w:t>
      </w:r>
    </w:p>
    <w:p>
      <w:pPr>
        <w:numPr>
          <w:ilvl w:val="0"/>
          <w:numId w:val="41"/>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主机设置于各科室的护士站或办公室（以发标平面图布置位置为准），各区域按需设置背景音乐喇叭及音量控制开关,系统设音源播放器及话筒(详见系统图)，可实现广播找人。扬声器在有吊顶处嵌入安装,广播线路穿金属线槽，出线槽用钢管在顶板内敷设。</w:t>
      </w:r>
    </w:p>
    <w:p>
      <w:pPr>
        <w:pStyle w:val="6"/>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电话、网络系统</w:t>
      </w:r>
    </w:p>
    <w:p>
      <w:pPr>
        <w:numPr>
          <w:ilvl w:val="0"/>
          <w:numId w:val="4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手术部（包含隔离待产、DSA、产房手术室）净化区域均设置免提对讲电话：各手术室的对讲电话集成在情报面板上、其布线均预留至护士站（含控电话交换机）。</w:t>
      </w:r>
    </w:p>
    <w:p>
      <w:pPr>
        <w:numPr>
          <w:ilvl w:val="0"/>
          <w:numId w:val="4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产房手术室）净化区域内的各护士站和功能房间按功能需求设置电话、网络插座，每间手术室的电源插座箱各设1网络插座，每一个吊塔设2路网线插座（吊塔网络插座由吊塔厂商自带）、吊塔网线预留长度3m；具体点位以平面布置图设置的为准。</w:t>
      </w:r>
    </w:p>
    <w:p>
      <w:pPr>
        <w:numPr>
          <w:ilvl w:val="0"/>
          <w:numId w:val="4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所有电话、网络线路引至弱电井内、预留长度4米，由招标方接入大楼信息系统。</w:t>
      </w:r>
    </w:p>
    <w:p>
      <w:pPr>
        <w:pStyle w:val="6"/>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监控系统（监控系统需与大楼品牌统一，若后期变更品牌不追加费用）</w:t>
      </w:r>
    </w:p>
    <w:p>
      <w:pPr>
        <w:numPr>
          <w:ilvl w:val="0"/>
          <w:numId w:val="43"/>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监控点设置：手术部（包含DSA、产房手术室）净化区域内</w:t>
      </w:r>
      <w:r>
        <w:rPr>
          <w:rFonts w:hint="eastAsia"/>
          <w:color w:val="auto"/>
          <w:highlight w:val="none"/>
        </w:rPr>
        <w:t>均</w:t>
      </w:r>
      <w:r>
        <w:rPr>
          <w:rFonts w:hint="eastAsia" w:ascii="宋体" w:hAnsi="宋体" w:cs="宋体"/>
          <w:color w:val="auto"/>
          <w:szCs w:val="21"/>
          <w:highlight w:val="none"/>
        </w:rPr>
        <w:t>设置网络监控系统，系统主机设置各科室的护士站(具体以发标平面图布置位置为准)，所有图像都传送到系统主机，可实现多地点、多画面实时监控。</w:t>
      </w:r>
    </w:p>
    <w:p>
      <w:pPr>
        <w:numPr>
          <w:ilvl w:val="0"/>
          <w:numId w:val="43"/>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监控设备：各区域监控主机包括操作键盘，彩色监视器，硬盘录像机(带硬盘)，具体配置详见系统图。 </w:t>
      </w:r>
    </w:p>
    <w:p>
      <w:pPr>
        <w:numPr>
          <w:ilvl w:val="0"/>
          <w:numId w:val="43"/>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系统功能：系统通过数码网络硬盘录像机进行集中控制和处理，视频图像通过监视器显示，系统可实现记录图像的回放、检索等，同时监控画面可任意切换，任意分割、任意组合排列。</w:t>
      </w:r>
    </w:p>
    <w:p>
      <w:pPr>
        <w:pStyle w:val="6"/>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可视门禁系统（门禁系统需与大楼品牌统一，若后期变更品牌不追加费用）</w:t>
      </w:r>
    </w:p>
    <w:p>
      <w:pPr>
        <w:numPr>
          <w:ilvl w:val="0"/>
          <w:numId w:val="44"/>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DSA、产房手术室）净化区域内的医护、病患总入口、污物出口处设置门禁系统门口机，高值耗材库房配置刷卡门禁门口机；系统主机室内机设置各科室的护士站（具体以发标平面图布置的位置为准）。系统可实现门铃呼叫主机、刷卡、密码输入等方式。</w:t>
      </w:r>
    </w:p>
    <w:p>
      <w:pPr>
        <w:numPr>
          <w:ilvl w:val="0"/>
          <w:numId w:val="44"/>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系统由门禁控制器、读卡器、IC卡、电子门锁组成及开门按钮。门禁控制器在吊顶内距吊顶0.2米安装，读卡器、电子门锁结合门的形式安装，读卡器安装高度为1.5米。</w:t>
      </w:r>
    </w:p>
    <w:p>
      <w:pPr>
        <w:numPr>
          <w:ilvl w:val="0"/>
          <w:numId w:val="44"/>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通信及线路要求：门口机与室内机间采用TCP/IP协议，采用六类屏蔽网线STP.CAT6.4p。 </w:t>
      </w:r>
    </w:p>
    <w:p>
      <w:pPr>
        <w:pStyle w:val="6"/>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呼叫系统</w:t>
      </w:r>
    </w:p>
    <w:p>
      <w:pPr>
        <w:numPr>
          <w:ilvl w:val="0"/>
          <w:numId w:val="4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手术部（包含隔离待产、DSA、PICU负压病房、MICU负压病房）净化区域内的设置一套呼叫系统，主机设置于护士站(具体以发标平面图布置位置为准)，麻醉准备间、复苏室、分娩室等区域按需求设置呼叫分机。</w:t>
      </w:r>
    </w:p>
    <w:p>
      <w:pPr>
        <w:numPr>
          <w:ilvl w:val="0"/>
          <w:numId w:val="4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系统采用总线制设置方式，配置带手柄呼叫按钮、方便使用，实现专门用于医护人员与病床病人之间的双向呼叫。</w:t>
      </w:r>
    </w:p>
    <w:p>
      <w:pPr>
        <w:pStyle w:val="6"/>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有线电视系统</w:t>
      </w:r>
    </w:p>
    <w:p>
      <w:pPr>
        <w:numPr>
          <w:ilvl w:val="0"/>
          <w:numId w:val="4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手术部（包含隔离待产、DSA、产房手术室）净化区域内在护工休息室、值班室、会议室或、公室内各设置 1 路供有线电视插座。</w:t>
      </w:r>
    </w:p>
    <w:p>
      <w:pPr>
        <w:pStyle w:val="6"/>
        <w:numPr>
          <w:ilvl w:val="0"/>
          <w:numId w:val="39"/>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数字化系统</w:t>
      </w:r>
    </w:p>
    <w:p>
      <w:pPr>
        <w:adjustRightInd w:val="0"/>
        <w:snapToGrid w:val="0"/>
        <w:spacing w:line="360" w:lineRule="auto"/>
        <w:ind w:left="400"/>
        <w:rPr>
          <w:rFonts w:ascii="宋体" w:hAnsi="宋体" w:cs="宋体"/>
          <w:color w:val="auto"/>
          <w:szCs w:val="21"/>
          <w:highlight w:val="none"/>
        </w:rPr>
      </w:pPr>
      <w:r>
        <w:rPr>
          <w:rFonts w:hint="eastAsia" w:ascii="宋体" w:hAnsi="宋体" w:cs="宋体"/>
          <w:color w:val="auto"/>
          <w:szCs w:val="21"/>
          <w:highlight w:val="none"/>
        </w:rPr>
        <w:t>手术部设置1间数字化手术室，系统的硬件及软件系统在本次招标范围内，由净化中标方采购、安装。</w:t>
      </w:r>
    </w:p>
    <w:p>
      <w:pPr>
        <w:adjustRightInd w:val="0"/>
        <w:snapToGrid w:val="0"/>
        <w:spacing w:line="360" w:lineRule="auto"/>
        <w:ind w:left="400"/>
        <w:rPr>
          <w:rFonts w:ascii="宋体" w:hAnsi="宋体" w:cs="宋体"/>
          <w:color w:val="auto"/>
          <w:szCs w:val="21"/>
          <w:highlight w:val="none"/>
        </w:rPr>
      </w:pPr>
      <w:r>
        <w:rPr>
          <w:rFonts w:hint="eastAsia" w:ascii="宋体" w:hAnsi="宋体" w:cs="宋体"/>
          <w:color w:val="auto"/>
          <w:szCs w:val="21"/>
          <w:highlight w:val="none"/>
        </w:rPr>
        <w:t>数字化手术室技术要求：</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实现对手术室内手术相关影音及数据的集中管控，满足用户对于手术室内影像路由、切换、显示、影像资料本地存储、集中存储等需求。结合其他模块，同时满足手术室内影音信号对外传输，实现院内手术转播、院外手术转播的需求。</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影像处理能力不低于4K级别，并能兼容SD、HD、FHD级别，兼容2D和3D格式。</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模块化设计，可以安装不少于10个不同影像、声音、控制、电源、医疗设备控制等模块，便于系统未来升级和扩展。</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影像整合输入输出通道不少于16进16出，提供影像画中画功能，便于医生在同一画面观看不同影像，提高手术安全性。影像整合输入输出通道提供不少于4进4出的音频加嵌和解嵌功能，确保传输至手术室外的影音完全同步。</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接收不少于2个无线麦克风语音信号，提供不少于2个头戴式无线麦克风，具备一键式配对功能，实现手术录像时语音标注、手术转播时语音交流。最多可以连接超过8个吸顶音箱，满足各种面积手术室内扩声需求。</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可实现对手术室内影像进行存储，支持外接硬盘即插即录，影像录制为 MP4 格式，分别率不低于1920*1080。</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支持文字图片叠加功能，可在视频录像上直接叠加手术信息、医院徽标等文字和图案，保护医院知识产权。</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提供不少于2个连接手术室内外影音信号，实现对会议室、示教室最高质量标准的手术转播，分辨率不低于4K。</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可通过院内网络，与网络转播模块连接，实现与示教室、会议室手术转播，分辨率不低于1920*1080。</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吸顶音箱模块，采用天花板内嵌式设计，不影响手术室层流，而且更美观实现背景音乐播放、手术转播语音交流。</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全景摄像机模块 ，提供带云台方向控制的高清摄像机，能够将手术间的状况实时进行呈现，同时通过控制整合，在手术室的操作界面。视频输出具备3G-SDI和HDMI两路以上接口，可同时输出≥1920x1080分辨率全高清画面信号；最大光学变焦≥20倍、数字变焦≥12倍；具备RS232，RS485，红外三种遥控方式，可同时控制摄像机运动。</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配套内嵌式安装机柜，与墙面完全齐平，不影响手术室层流净化；提供良好通风散热条件，保障核心设备稳定运行。</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内嵌式护士工作站，符合手术室内感控需求，并且实现对手术室核心平台控制和操作，带触控功能用户控制屏幕，尺寸不少于21.5寸，数量不低于2个。可扩展整合连接医疗设备控制模块，控制内窥镜系统、第三方手术灯、术野摄像机、手术床、高频电刀。通过1个启动键，可启动核心平台和其他相关辅助设备。提供不少于2个控制按钮，可以切换至医疗设备控制模块和医院信息化工作站。提供不少于2个USB高速传输接口，连接移动硬盘、外接鼠标等设备。</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配置≥27寸医用级全高清监视器，分辨率不低于1920 x 1080，宽高比16：9。双屏显示功能，包括画中画、画外画模式等。</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配置4K显示器模块，实现手术间内画面的大尺寸（≥55寸）显示，支持内嵌式安装；安装在手术室墙壁上，供手术室内外成员观看，实现信息共享、示教和转播功能，分辨率3840*2160。</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手术区域手术录像的集中存储服务器。用户可在院内有效范围内，利用帐号和密码访问，进行在线查阅、下载或者删除手术录像的操作，所有影像输入输出接口支持视音频同步传输功能，影像整合能力不低于4K级别，并能兼容SD、HD、FHD级别。</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创造适合微创手术的蓝色灯光氛围，为LED平板蓝色手术室净化灯具，尺寸不大于150*1200*10mm，在手术室顶棚上均匀布置吸顶安装。</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配置光纤转播-影音双向模块，提供院内单模光纤，实现手术室与报告厅、示教室影音信号无损无延时双向交流，影像传输能力最高能够到达4K级别。提供2个信号预览屏幕模块，手术室与报告厅、示教室画面实时进行相互预览。提供视频信号分配功能，提供不少于2个视频信号环出功能，提供网络光纤接入功能，通过不少于2根单模光纤实现与手术室之前的网络互通。</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提供音频信号嵌入功能，将音频信号解嵌为立体声或者平衡音频信号输出至本地扩声设备。</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LED双母灯带显示器支臂，子母灯同一直径d:600≤d≤750mm，以利于层流净化，灯泡使用寿命: ≥50000小时；照明亮度: ≥160000 Lux,亮度调节范围:15%-100%；灯内配备高清摄像功能，高清摄像头不伸出灯罩表面，小巧不易损坏，不安装在灯头正中，以保证术中360度无死角拍摄，灯头内无线摄像传输。</w:t>
      </w:r>
    </w:p>
    <w:p>
      <w:pPr>
        <w:numPr>
          <w:ilvl w:val="0"/>
          <w:numId w:val="4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示教室配置要求：完成与医院儿科住院楼5层的临床技能中心多媒体教室、行政楼2层阶梯会议室的对接，含相关设备和安装。</w:t>
      </w:r>
    </w:p>
    <w:p>
      <w:pPr>
        <w:pStyle w:val="6"/>
        <w:numPr>
          <w:ilvl w:val="0"/>
          <w:numId w:val="16"/>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给排水系统工程技术要求</w:t>
      </w:r>
    </w:p>
    <w:p>
      <w:pPr>
        <w:numPr>
          <w:ilvl w:val="0"/>
          <w:numId w:val="4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手术室（包含DSA、隔离待产、产房手术室）净化区域内所有洁具及给排水系统楼层支管在本次招标范围内：招标方负责在同层水管井或科室内预留0.3～0.4Mpa的生活冷热水阀门接口，招标方负责提供50℃的循环热水，并按照中标方用水点要求负责招标范围</w:t>
      </w:r>
      <w:r>
        <w:rPr>
          <w:rFonts w:hint="eastAsia" w:ascii="宋体" w:hAnsi="宋体" w:cs="宋体"/>
          <w:color w:val="auto"/>
          <w:sz w:val="24"/>
          <w:highlight w:val="none"/>
        </w:rPr>
        <w:t>内</w:t>
      </w:r>
      <w:r>
        <w:rPr>
          <w:rFonts w:hint="eastAsia" w:ascii="宋体" w:hAnsi="宋体" w:cs="宋体"/>
          <w:color w:val="auto"/>
          <w:szCs w:val="21"/>
          <w:highlight w:val="none"/>
        </w:rPr>
        <w:t>给水管道系统； 招标方负责排水立管敷设，并预留接驳口，其后招标范围内洁具的采购及安装、洁具与排水立管的连接均由净化中标方负责。</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 xml:space="preserve">手术室（包含DSA、隔离待产、产房手术室）净化区域内的冷水、热水管道采用给水薄壁不锈钢管（埋墙暗敷给水管采用覆膜不锈钢管），焊接。 </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纯水、软水、蒸汽管道为304L不锈钢管道，焊接连接。</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生活污、废水排水管道采用柔性铸铁管，不锈钢卡箍连接；供应室高温废水排水管采用无缝钢管，焊接连接。</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卫生洁具应采用不易积存污物且易于清扫；洗手盆、污洗池均应设置冷、热水；数量及位置见发标平面图纸。</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净化区内的排水设备，必须在排水口的下部设置高水封装置。</w:t>
      </w:r>
    </w:p>
    <w:p>
      <w:pPr>
        <w:widowControl/>
        <w:adjustRightInd w:val="0"/>
        <w:snapToGrid w:val="0"/>
        <w:spacing w:line="360" w:lineRule="auto"/>
        <w:ind w:left="420"/>
        <w:jc w:val="left"/>
        <w:outlineLvl w:val="1"/>
        <w:rPr>
          <w:rFonts w:ascii="宋体" w:hAnsi="宋体"/>
          <w:b/>
          <w:bCs/>
          <w:color w:val="auto"/>
          <w:sz w:val="28"/>
          <w:szCs w:val="28"/>
          <w:highlight w:val="none"/>
        </w:rPr>
      </w:pPr>
      <w:r>
        <w:rPr>
          <w:rFonts w:hint="eastAsia" w:ascii="宋体" w:hAnsi="宋体"/>
          <w:b/>
          <w:bCs/>
          <w:color w:val="auto"/>
          <w:sz w:val="28"/>
          <w:szCs w:val="28"/>
          <w:highlight w:val="none"/>
        </w:rPr>
        <w:t>第二节 PICU和MICU负压病房技术要求</w:t>
      </w:r>
    </w:p>
    <w:p>
      <w:pPr>
        <w:pStyle w:val="6"/>
        <w:numPr>
          <w:ilvl w:val="0"/>
          <w:numId w:val="50"/>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装饰系统技术要求</w:t>
      </w:r>
    </w:p>
    <w:p>
      <w:pPr>
        <w:pStyle w:val="6"/>
        <w:numPr>
          <w:ilvl w:val="0"/>
          <w:numId w:val="51"/>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墙面：</w:t>
      </w:r>
    </w:p>
    <w:p>
      <w:pPr>
        <w:numPr>
          <w:ilvl w:val="0"/>
          <w:numId w:val="52"/>
        </w:numPr>
        <w:spacing w:line="360" w:lineRule="auto"/>
        <w:rPr>
          <w:rFonts w:ascii="宋体" w:hAnsi="宋体" w:cs="宋体"/>
          <w:color w:val="auto"/>
          <w:szCs w:val="21"/>
          <w:highlight w:val="none"/>
        </w:rPr>
      </w:pPr>
      <w:r>
        <w:rPr>
          <w:rFonts w:hint="eastAsia" w:ascii="宋体" w:hAnsi="宋体" w:cs="宋体"/>
          <w:color w:val="auto"/>
          <w:szCs w:val="21"/>
          <w:highlight w:val="none"/>
        </w:rPr>
        <w:t>负压病房区域所有墙面材料均采用75轻钢龙骨+12mm石膏板+无机预涂板。</w:t>
      </w:r>
    </w:p>
    <w:p>
      <w:pPr>
        <w:pStyle w:val="6"/>
        <w:numPr>
          <w:ilvl w:val="0"/>
          <w:numId w:val="51"/>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地面：</w:t>
      </w:r>
    </w:p>
    <w:p>
      <w:pPr>
        <w:numPr>
          <w:ilvl w:val="0"/>
          <w:numId w:val="53"/>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负压病房区域所有</w:t>
      </w:r>
      <w:r>
        <w:rPr>
          <w:rFonts w:hint="eastAsia" w:ascii="宋体" w:hAnsi="宋体" w:cs="宋体"/>
          <w:bCs/>
          <w:color w:val="auto"/>
          <w:szCs w:val="21"/>
          <w:highlight w:val="none"/>
        </w:rPr>
        <w:t>地面材料采用</w:t>
      </w:r>
      <w:r>
        <w:rPr>
          <w:rFonts w:hint="eastAsia" w:ascii="宋体" w:hAnsi="宋体" w:cs="宋体"/>
          <w:color w:val="auto"/>
          <w:szCs w:val="21"/>
          <w:highlight w:val="none"/>
        </w:rPr>
        <w:t>2.0mm厚，具有防静电、防滑、防潮、防火、防霉耐磨、耐腐蚀、易清洗同质透心的PVC卷材，3mm厚PVC专用地面超强自流平基层。</w:t>
      </w:r>
    </w:p>
    <w:p>
      <w:pPr>
        <w:numPr>
          <w:ilvl w:val="0"/>
          <w:numId w:val="53"/>
        </w:numPr>
        <w:spacing w:line="360" w:lineRule="auto"/>
        <w:rPr>
          <w:rFonts w:ascii="宋体" w:hAnsi="宋体" w:cs="宋体"/>
          <w:color w:val="auto"/>
          <w:szCs w:val="21"/>
          <w:highlight w:val="none"/>
        </w:rPr>
      </w:pPr>
      <w:r>
        <w:rPr>
          <w:rFonts w:hint="eastAsia" w:ascii="宋体" w:hAnsi="宋体" w:cs="宋体"/>
          <w:color w:val="auto"/>
          <w:szCs w:val="21"/>
          <w:highlight w:val="none"/>
        </w:rPr>
        <w:t>卷材铺设前必须采用优质自流平及界面处理剂处理。</w:t>
      </w:r>
    </w:p>
    <w:p>
      <w:pPr>
        <w:numPr>
          <w:ilvl w:val="0"/>
          <w:numId w:val="53"/>
        </w:numPr>
        <w:spacing w:line="360" w:lineRule="auto"/>
        <w:rPr>
          <w:rFonts w:ascii="宋体" w:hAnsi="宋体" w:cs="宋体"/>
          <w:color w:val="auto"/>
          <w:szCs w:val="21"/>
          <w:highlight w:val="none"/>
        </w:rPr>
      </w:pPr>
      <w:r>
        <w:rPr>
          <w:rFonts w:hint="eastAsia" w:ascii="宋体" w:hAnsi="宋体" w:cs="宋体"/>
          <w:color w:val="auto"/>
          <w:szCs w:val="21"/>
          <w:highlight w:val="none"/>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10"/>
        <w:rPr>
          <w:color w:val="auto"/>
          <w:highlight w:val="none"/>
        </w:rPr>
      </w:pPr>
    </w:p>
    <w:p>
      <w:pPr>
        <w:pStyle w:val="6"/>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PVC卷材技术参数:</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类型：厚度2.0mm花纹透底型、无方向性花纹、同质透心PVC卷材</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耐磨等级：根据EN660-2：1999+A1：2003和EN649：2011要求测定:≥T级。</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耐磨性：根据GB/T 4085-2005要求测定≈0.04。</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防火等级：符合GB8624-2012判定：该产品燃烧性能达到难燃B1(B-s1,t0)级。</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有害物质检测：应符合GB18586-2001要求测定，未检出氯乙烯单体、可溶性重金属（铅、镉），挥发物符合要求。</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单位面积重量：符合GB/T11982.1-2015要求测定，</w:t>
      </w:r>
      <w:r>
        <w:rPr>
          <w:rFonts w:ascii="宋体" w:hAnsi="宋体" w:cs="宋体"/>
          <w:color w:val="auto"/>
          <w:szCs w:val="21"/>
          <w:highlight w:val="none"/>
        </w:rPr>
        <w:t>≈</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75kg/㎡。</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焊接强度：应符合EN684-1996，≥620 N/50 mm。</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防滑性：应符合EN14014和EN13893要求，达到技术等级DS。</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TVOC（挥发有机化合物）检测：符合挥发物有机化合物测试要求测定，结果≤10µg/m3 。</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甲醛测试：应符合GB18580-2001要求，未检出。</w:t>
      </w:r>
    </w:p>
    <w:p>
      <w:pPr>
        <w:numPr>
          <w:ilvl w:val="0"/>
          <w:numId w:val="54"/>
        </w:numPr>
        <w:spacing w:line="360" w:lineRule="auto"/>
        <w:ind w:left="420"/>
        <w:rPr>
          <w:color w:val="auto"/>
          <w:highlight w:val="none"/>
        </w:rPr>
      </w:pPr>
      <w:r>
        <w:rPr>
          <w:rFonts w:hint="eastAsia" w:ascii="宋体" w:hAnsi="宋体" w:cs="宋体"/>
          <w:color w:val="auto"/>
          <w:szCs w:val="21"/>
          <w:highlight w:val="none"/>
        </w:rPr>
        <w:t>防滑等级：符合DIN 51130要求测定，≥R9。</w:t>
      </w:r>
    </w:p>
    <w:p>
      <w:pPr>
        <w:numPr>
          <w:ilvl w:val="0"/>
          <w:numId w:val="54"/>
        </w:numPr>
        <w:spacing w:line="360" w:lineRule="auto"/>
        <w:ind w:left="420"/>
        <w:rPr>
          <w:color w:val="auto"/>
          <w:highlight w:val="none"/>
        </w:rPr>
      </w:pPr>
      <w:r>
        <w:rPr>
          <w:rFonts w:hint="eastAsia" w:ascii="宋体" w:hAnsi="宋体" w:cs="宋体"/>
          <w:color w:val="auto"/>
          <w:szCs w:val="21"/>
          <w:highlight w:val="none"/>
        </w:rPr>
        <w:t>洁净室认证：满足ISO 14644-1标准，测试等级为ISO Class 3级</w:t>
      </w:r>
    </w:p>
    <w:p>
      <w:pPr>
        <w:pStyle w:val="6"/>
        <w:numPr>
          <w:ilvl w:val="0"/>
          <w:numId w:val="51"/>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天花：</w:t>
      </w:r>
    </w:p>
    <w:p>
      <w:pPr>
        <w:numPr>
          <w:ilvl w:val="0"/>
          <w:numId w:val="55"/>
        </w:numPr>
        <w:spacing w:line="360" w:lineRule="auto"/>
        <w:rPr>
          <w:rFonts w:ascii="宋体" w:hAnsi="宋体" w:cs="宋体"/>
          <w:color w:val="auto"/>
          <w:szCs w:val="21"/>
          <w:highlight w:val="none"/>
        </w:rPr>
      </w:pPr>
      <w:r>
        <w:rPr>
          <w:rFonts w:hint="eastAsia" w:ascii="宋体" w:hAnsi="宋体" w:cs="宋体"/>
          <w:color w:val="auto"/>
          <w:szCs w:val="21"/>
          <w:highlight w:val="none"/>
        </w:rPr>
        <w:t>负压病房区域所有</w:t>
      </w:r>
      <w:r>
        <w:rPr>
          <w:rFonts w:hint="eastAsia" w:ascii="宋体" w:hAnsi="宋体" w:cs="宋体"/>
          <w:bCs/>
          <w:color w:val="auto"/>
          <w:szCs w:val="21"/>
          <w:highlight w:val="none"/>
        </w:rPr>
        <w:t>地面</w:t>
      </w:r>
      <w:r>
        <w:rPr>
          <w:rFonts w:hint="eastAsia" w:ascii="宋体" w:hAnsi="宋体" w:cs="宋体"/>
          <w:color w:val="auto"/>
          <w:szCs w:val="21"/>
          <w:highlight w:val="none"/>
        </w:rPr>
        <w:t>顶面材料均采用轻钢龙骨+9.5mm石膏板+洁菌板。</w:t>
      </w:r>
    </w:p>
    <w:p>
      <w:pPr>
        <w:numPr>
          <w:ilvl w:val="0"/>
          <w:numId w:val="5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当吊顶内吊杆长度大于1.5米，吊顶内应按《建筑装饰装修工程施工质量验收规范》要求设置反支撑。</w:t>
      </w:r>
    </w:p>
    <w:p>
      <w:pPr>
        <w:pStyle w:val="6"/>
        <w:numPr>
          <w:ilvl w:val="0"/>
          <w:numId w:val="50"/>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净化空调及自动化控制系统工程技术要求 </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负压病房采用自取新风形式，各科室按使用分区和建筑防火分区合理配置空调系统。</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本净化工程的加湿方式为采用电热式加湿器加湿，组合式净化循环空调机组均需配置。</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除特殊要求外，本工程风管采用优质镀锌钢板风管。空调供回水管管径小于DN</w:t>
      </w:r>
      <w:r>
        <w:rPr>
          <w:rFonts w:ascii="宋体" w:hAnsi="宋体" w:cs="宋体"/>
          <w:color w:val="auto"/>
          <w:szCs w:val="21"/>
          <w:highlight w:val="none"/>
        </w:rPr>
        <w:t>80</w:t>
      </w:r>
      <w:r>
        <w:rPr>
          <w:rFonts w:hint="eastAsia" w:ascii="宋体" w:hAnsi="宋体" w:cs="宋体"/>
          <w:color w:val="auto"/>
          <w:szCs w:val="21"/>
          <w:highlight w:val="none"/>
        </w:rPr>
        <w:t>采用热镀锌钢管，螺纹连接；大于等于DN</w:t>
      </w:r>
      <w:r>
        <w:rPr>
          <w:rFonts w:ascii="宋体" w:hAnsi="宋体" w:cs="宋体"/>
          <w:color w:val="auto"/>
          <w:szCs w:val="21"/>
          <w:highlight w:val="none"/>
        </w:rPr>
        <w:t>80</w:t>
      </w:r>
      <w:r>
        <w:rPr>
          <w:rFonts w:hint="eastAsia" w:ascii="宋体" w:hAnsi="宋体" w:cs="宋体"/>
          <w:color w:val="auto"/>
          <w:szCs w:val="21"/>
          <w:highlight w:val="none"/>
        </w:rPr>
        <w:t>采用无缝钢管，焊接。冷凝水管道采用镀锌钢管，螺纹连接。加湿器管道采用镀锌钢管，螺纹连接。</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风管保温采用B1级厚30mm橡塑保温板，室外风管保温采用B1级厚30mm橡塑保温板外加铝箔保护层。</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洁净用房的排风口百叶片应选用竖向可调叶片，并应设置中效过滤器。</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净化空调系统至少设置三级空气过滤，各级过滤器应采用一次抛弃型。末级过滤器使用风量不宜大于其额定风量的70%。</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应采用防雨性能良好的新风口，新风管路上应设过滤器、密闭风阀。</w:t>
      </w:r>
    </w:p>
    <w:p>
      <w:pPr>
        <w:numPr>
          <w:ilvl w:val="0"/>
          <w:numId w:val="5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净化空调机组的空调水设计为四管制系统，非洁净区空调机组、风机盘管采用二管制配置。儿科住院楼三层PICU负压病房、四层MICU负压病房设置独立冷热源。</w:t>
      </w:r>
    </w:p>
    <w:p>
      <w:pPr>
        <w:pStyle w:val="6"/>
        <w:numPr>
          <w:ilvl w:val="0"/>
          <w:numId w:val="50"/>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净化空调自动化控制系统设计要求</w:t>
      </w:r>
    </w:p>
    <w:p>
      <w:pPr>
        <w:numPr>
          <w:ilvl w:val="0"/>
          <w:numId w:val="5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整体要求：采用国际著名品牌多功能控制器、温、湿度传感器，压差开关、风阀执行器、电动比例积分三通调节阀、变频器等对系统的风量及温湿度进行控制。</w:t>
      </w:r>
    </w:p>
    <w:p>
      <w:pPr>
        <w:numPr>
          <w:ilvl w:val="0"/>
          <w:numId w:val="5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ab/>
      </w:r>
      <w:r>
        <w:rPr>
          <w:rFonts w:hint="eastAsia" w:ascii="宋体" w:hAnsi="宋体" w:cs="宋体"/>
          <w:color w:val="auto"/>
          <w:szCs w:val="21"/>
          <w:highlight w:val="none"/>
        </w:rPr>
        <w:t>净化循环机组（含自取新风机组）每个系统设置一个单联空调控制面板。集中净化新风机组不设置控制面板，由循环机组联动控制。净化空调控制系统的控制必需满足机房本地控制和洁净室控制的功能需求。</w:t>
      </w:r>
    </w:p>
    <w:p>
      <w:pPr>
        <w:numPr>
          <w:ilvl w:val="0"/>
          <w:numId w:val="5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室内空调控制面板应可以实现以下的控制功能：</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机组启、停；</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温度的设定；</w:t>
      </w:r>
    </w:p>
    <w:p>
      <w:pPr>
        <w:pStyle w:val="49"/>
        <w:numPr>
          <w:ilvl w:val="0"/>
          <w:numId w:val="31"/>
        </w:numPr>
        <w:spacing w:line="360" w:lineRule="auto"/>
        <w:ind w:firstLineChars="0"/>
        <w:rPr>
          <w:rFonts w:ascii="宋体" w:hAnsi="宋体" w:cs="宋体"/>
          <w:bCs/>
          <w:color w:val="auto"/>
          <w:szCs w:val="21"/>
          <w:highlight w:val="none"/>
        </w:rPr>
      </w:pPr>
      <w:r>
        <w:rPr>
          <w:rFonts w:hint="eastAsia" w:ascii="宋体" w:hAnsi="宋体" w:cs="宋体"/>
          <w:bCs/>
          <w:color w:val="auto"/>
          <w:szCs w:val="21"/>
          <w:highlight w:val="none"/>
        </w:rPr>
        <w:t>室内温、湿度的显示</w:t>
      </w:r>
      <w:r>
        <w:rPr>
          <w:rFonts w:hint="eastAsia" w:ascii="宋体" w:hAnsi="宋体" w:cs="宋体"/>
          <w:bCs/>
          <w:color w:val="auto"/>
          <w:spacing w:val="-10"/>
          <w:szCs w:val="21"/>
          <w:highlight w:val="none"/>
        </w:rPr>
        <w:t>；</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机组值班状态指示；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机组运行指示；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机组故障指示；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pacing w:val="-10"/>
          <w:szCs w:val="21"/>
          <w:highlight w:val="none"/>
        </w:rPr>
        <w:t>室内外压差显示；</w:t>
      </w:r>
    </w:p>
    <w:p>
      <w:pPr>
        <w:pStyle w:val="49"/>
        <w:numPr>
          <w:ilvl w:val="0"/>
          <w:numId w:val="31"/>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带通讯模块，提供通用协议，信息可供外部调用。</w:t>
      </w:r>
    </w:p>
    <w:p>
      <w:pPr>
        <w:numPr>
          <w:ilvl w:val="0"/>
          <w:numId w:val="58"/>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机房控制柜内还应可以实现以下的控制功能：</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室内控制面板实现的全部功能；</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风机运行频率显示；</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中效过滤网堵塞报警、缺风保护报警、风机运行情况及过载报警、洁净室排风机运行状态显示、加湿器运行状态和故障显示等；</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手、自动风量调频切换；</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冷热水调节阀、加湿器和电加热器工作状态；</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试灯和功能切换；</w:t>
      </w:r>
    </w:p>
    <w:p>
      <w:pPr>
        <w:pStyle w:val="49"/>
        <w:numPr>
          <w:ilvl w:val="0"/>
          <w:numId w:val="59"/>
        </w:numPr>
        <w:spacing w:line="360" w:lineRule="auto"/>
        <w:ind w:firstLineChars="0"/>
        <w:rPr>
          <w:rFonts w:ascii="宋体" w:hAnsi="宋体" w:cs="宋体"/>
          <w:color w:val="auto"/>
          <w:szCs w:val="21"/>
          <w:highlight w:val="none"/>
        </w:rPr>
      </w:pPr>
      <w:r>
        <w:rPr>
          <w:rFonts w:hint="eastAsia" w:ascii="宋体" w:hAnsi="宋体" w:cs="宋体"/>
          <w:color w:val="auto"/>
          <w:szCs w:val="21"/>
          <w:highlight w:val="none"/>
        </w:rPr>
        <w:t>各种控制参数（室内温、湿度；变频器频率等）的设定和修改。</w:t>
      </w:r>
    </w:p>
    <w:p>
      <w:pPr>
        <w:pStyle w:val="6"/>
        <w:numPr>
          <w:ilvl w:val="0"/>
          <w:numId w:val="50"/>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强电系统工程技术要求</w:t>
      </w:r>
    </w:p>
    <w:p>
      <w:pPr>
        <w:pStyle w:val="6"/>
        <w:adjustRightInd w:val="0"/>
        <w:snapToGrid w:val="0"/>
        <w:spacing w:before="0" w:after="0" w:line="360" w:lineRule="auto"/>
        <w:ind w:left="420"/>
        <w:rPr>
          <w:rFonts w:ascii="宋体" w:hAnsi="宋体" w:cs="宋体"/>
          <w:color w:val="auto"/>
          <w:sz w:val="21"/>
          <w:szCs w:val="21"/>
          <w:highlight w:val="none"/>
        </w:rPr>
      </w:pPr>
      <w:r>
        <w:rPr>
          <w:rFonts w:hint="eastAsia" w:ascii="宋体" w:hAnsi="宋体" w:cs="宋体"/>
          <w:color w:val="auto"/>
          <w:sz w:val="21"/>
          <w:szCs w:val="21"/>
          <w:highlight w:val="none"/>
        </w:rPr>
        <w:t>1</w:t>
      </w:r>
      <w:r>
        <w:rPr>
          <w:rFonts w:ascii="宋体" w:hAnsi="宋体" w:cs="宋体"/>
          <w:color w:val="auto"/>
          <w:sz w:val="21"/>
          <w:szCs w:val="21"/>
          <w:highlight w:val="none"/>
        </w:rPr>
        <w:t>.</w:t>
      </w:r>
      <w:r>
        <w:rPr>
          <w:rFonts w:hint="eastAsia" w:ascii="宋体" w:hAnsi="宋体" w:cs="宋体"/>
          <w:color w:val="auto"/>
          <w:sz w:val="21"/>
          <w:szCs w:val="21"/>
          <w:highlight w:val="none"/>
        </w:rPr>
        <w:t>系统设计要求</w:t>
      </w:r>
    </w:p>
    <w:p>
      <w:pPr>
        <w:numPr>
          <w:ilvl w:val="0"/>
          <w:numId w:val="60"/>
        </w:numPr>
        <w:spacing w:line="360" w:lineRule="auto"/>
        <w:rPr>
          <w:rFonts w:ascii="宋体" w:hAnsi="宋体" w:cs="宋体"/>
          <w:color w:val="auto"/>
          <w:szCs w:val="21"/>
          <w:highlight w:val="none"/>
        </w:rPr>
      </w:pPr>
      <w:r>
        <w:rPr>
          <w:rFonts w:hint="eastAsia" w:ascii="宋体" w:hAnsi="宋体" w:cs="宋体"/>
          <w:color w:val="auto"/>
          <w:szCs w:val="21"/>
          <w:highlight w:val="none"/>
        </w:rPr>
        <w:t>　招标方将双电源线引至负压病房及空调机房外双电源切换总配电箱内，配电箱及其之后所有的桥架、线管、电源线、照明、插座等工程全部由中标方采购、安装。</w:t>
      </w:r>
    </w:p>
    <w:p>
      <w:pPr>
        <w:numPr>
          <w:ilvl w:val="0"/>
          <w:numId w:val="60"/>
        </w:numPr>
        <w:spacing w:line="360" w:lineRule="auto"/>
        <w:rPr>
          <w:rFonts w:ascii="宋体" w:hAnsi="宋体" w:cs="宋体"/>
          <w:color w:val="auto"/>
          <w:szCs w:val="21"/>
          <w:highlight w:val="none"/>
        </w:rPr>
      </w:pPr>
      <w:r>
        <w:rPr>
          <w:rFonts w:hint="eastAsia" w:ascii="宋体" w:hAnsi="宋体" w:cs="宋体"/>
          <w:color w:val="auto"/>
          <w:szCs w:val="21"/>
          <w:highlight w:val="none"/>
        </w:rPr>
        <w:t>照明应采用医用LED平板灯，满足洁净环境气密性要求禁用普通灯带代替，灯带必须布置在送风口之外。</w:t>
      </w:r>
    </w:p>
    <w:p>
      <w:pPr>
        <w:numPr>
          <w:ilvl w:val="0"/>
          <w:numId w:val="60"/>
        </w:numPr>
        <w:spacing w:line="360" w:lineRule="auto"/>
        <w:rPr>
          <w:rFonts w:ascii="宋体" w:hAnsi="宋体" w:cs="宋体"/>
          <w:color w:val="auto"/>
          <w:szCs w:val="21"/>
          <w:highlight w:val="none"/>
        </w:rPr>
      </w:pPr>
      <w:r>
        <w:rPr>
          <w:rFonts w:hint="eastAsia" w:ascii="宋体" w:hAnsi="宋体" w:cs="宋体"/>
          <w:color w:val="auto"/>
          <w:szCs w:val="21"/>
          <w:highlight w:val="none"/>
        </w:rPr>
        <w:t>负压病房设计平均照度应在300LX以上，其余辅房及走廊平均照度应在100LX以上；</w:t>
      </w:r>
    </w:p>
    <w:p>
      <w:pPr>
        <w:numPr>
          <w:ilvl w:val="0"/>
          <w:numId w:val="6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电缆采用无卤低烟阻燃交联聚乙烯绝缘聚烯烃护套铜芯电力电缆。</w:t>
      </w:r>
    </w:p>
    <w:p>
      <w:pPr>
        <w:numPr>
          <w:ilvl w:val="0"/>
          <w:numId w:val="6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电缆、电线应采用金属管及金属桥架敷设</w:t>
      </w:r>
    </w:p>
    <w:p>
      <w:pPr>
        <w:pStyle w:val="6"/>
        <w:numPr>
          <w:ilvl w:val="0"/>
          <w:numId w:val="61"/>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隔离变压器技术参数</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医用IT隔离电源系统，符合中华人民共和国国标GB16895.24（IEC60364-7-710）《建筑物电气装置第7-710部分 对特殊装置或场所的要求-医疗场所》的相关标准。</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w:t>
      </w:r>
      <w:r>
        <w:rPr>
          <w:rFonts w:hint="eastAsia"/>
          <w:color w:val="auto"/>
          <w:highlight w:val="none"/>
        </w:rPr>
        <w:t>IT 隔离电源系统设置在ICU负压病房，系统包括</w:t>
      </w:r>
      <w:r>
        <w:rPr>
          <w:rFonts w:hint="eastAsia" w:ascii="宋体" w:hAnsi="宋体" w:cs="宋体"/>
          <w:bCs/>
          <w:color w:val="auto"/>
          <w:szCs w:val="21"/>
          <w:highlight w:val="none"/>
        </w:rPr>
        <w:t>单相220V</w:t>
      </w:r>
      <w:r>
        <w:rPr>
          <w:rFonts w:hint="eastAsia"/>
          <w:color w:val="auto"/>
          <w:highlight w:val="none"/>
        </w:rPr>
        <w:t>隔离变压器(PICU负压病房设置1套 8KVA，MICU负压病房设置1套 6.3KVA)、</w:t>
      </w:r>
      <w:r>
        <w:rPr>
          <w:rFonts w:hint="eastAsia" w:ascii="宋体" w:hAnsi="宋体" w:cs="宋体"/>
          <w:bCs/>
          <w:color w:val="auto"/>
          <w:szCs w:val="21"/>
          <w:highlight w:val="none"/>
        </w:rPr>
        <w:t>绝缘监视仪、电流互感器、外接报警显示和控制单元，须有绝缘阻值（绝缘阻值最小60KΩ报警）、过负荷、超温实时监控、断线及其它自身故障监控等功能。</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医用单相隔离变压器应符合IEC61558-2-15/GB19212.16-2005《医疗场所供电用隔离变压器的特殊要求》标准。变压器应具有医用变压器的专用标识。</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绝缘监视仪应符合IEC61557-8和IEC60364-7-710标准，并采用先进的电子测量技术进行检测，以提高本系统抗干扰能力和测量精度，实时且精确监视直流回路的IT电网各项参数及系统状态。</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外接报警显示和控制单元可实时指示故障类型，发出声光报警，并可手动命令监护仪自检。</w:t>
      </w:r>
    </w:p>
    <w:p>
      <w:pPr>
        <w:numPr>
          <w:ilvl w:val="0"/>
          <w:numId w:val="62"/>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配置高精度的变比为50/0.05A电流互感器。</w:t>
      </w:r>
    </w:p>
    <w:p>
      <w:pPr>
        <w:pStyle w:val="10"/>
        <w:rPr>
          <w:rFonts w:ascii="宋体" w:hAnsi="宋体" w:cs="宋体"/>
          <w:b/>
          <w:bCs/>
          <w:color w:val="auto"/>
          <w:szCs w:val="21"/>
          <w:highlight w:val="none"/>
        </w:rPr>
      </w:pPr>
      <w:r>
        <w:rPr>
          <w:rFonts w:ascii="宋体" w:hAnsi="宋体" w:cs="宋体"/>
          <w:b/>
          <w:bCs/>
          <w:color w:val="auto"/>
          <w:szCs w:val="21"/>
          <w:highlight w:val="none"/>
        </w:rPr>
        <w:t>3</w:t>
      </w:r>
      <w:r>
        <w:rPr>
          <w:rFonts w:hint="eastAsia" w:ascii="宋体" w:hAnsi="宋体" w:cs="宋体"/>
          <w:b/>
          <w:bCs/>
          <w:color w:val="auto"/>
          <w:szCs w:val="21"/>
          <w:highlight w:val="none"/>
        </w:rPr>
        <w:t>、UPS技术参数</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380V/220V输入，220V输出；</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一体化设计,厚度不能超过40CM,夹墙靠墙安装,全正面维护；</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从两侧进冷风,上部排风散热；</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内置隔离变压器工频主机；</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后备延时</w:t>
      </w:r>
      <w:r>
        <w:rPr>
          <w:rFonts w:ascii="宋体" w:hAnsi="宋体" w:cs="宋体"/>
          <w:bCs/>
          <w:color w:val="auto"/>
          <w:szCs w:val="21"/>
          <w:highlight w:val="none"/>
        </w:rPr>
        <w:t>30</w:t>
      </w:r>
      <w:r>
        <w:rPr>
          <w:rFonts w:hint="eastAsia" w:ascii="宋体" w:hAnsi="宋体" w:cs="宋体"/>
          <w:bCs/>
          <w:color w:val="auto"/>
          <w:szCs w:val="21"/>
          <w:highlight w:val="none"/>
        </w:rPr>
        <w:t>分钟满载（可扩容）；</w:t>
      </w:r>
    </w:p>
    <w:p>
      <w:pPr>
        <w:numPr>
          <w:ilvl w:val="0"/>
          <w:numId w:val="63"/>
        </w:numPr>
        <w:spacing w:line="360" w:lineRule="auto"/>
        <w:rPr>
          <w:rFonts w:ascii="宋体" w:hAnsi="宋体" w:cs="宋体"/>
          <w:bCs/>
          <w:color w:val="auto"/>
          <w:szCs w:val="21"/>
          <w:highlight w:val="none"/>
        </w:rPr>
      </w:pPr>
      <w:r>
        <w:rPr>
          <w:rFonts w:hint="eastAsia" w:ascii="宋体" w:hAnsi="宋体" w:cs="宋体"/>
          <w:bCs/>
          <w:color w:val="auto"/>
          <w:szCs w:val="21"/>
          <w:highlight w:val="none"/>
        </w:rPr>
        <w:t>合同签订前提供原厂售后服务承诺书，每半年做电池性能检测，并出具检测报告；</w:t>
      </w:r>
    </w:p>
    <w:p>
      <w:pPr>
        <w:pStyle w:val="6"/>
        <w:spacing w:before="0" w:after="0" w:line="360" w:lineRule="auto"/>
        <w:ind w:left="400" w:firstLine="400"/>
        <w:rPr>
          <w:rFonts w:ascii="宋体" w:hAnsi="宋体" w:cs="宋体"/>
          <w:color w:val="auto"/>
          <w:sz w:val="21"/>
          <w:szCs w:val="21"/>
          <w:highlight w:val="none"/>
        </w:rPr>
      </w:pPr>
      <w:r>
        <w:rPr>
          <w:rFonts w:hint="eastAsia" w:ascii="宋体" w:hAnsi="宋体" w:cs="宋体"/>
          <w:color w:val="auto"/>
          <w:sz w:val="21"/>
          <w:szCs w:val="21"/>
          <w:highlight w:val="none"/>
        </w:rPr>
        <w:t>（五）弱电系统工程技术要求</w:t>
      </w:r>
    </w:p>
    <w:p>
      <w:pPr>
        <w:pStyle w:val="6"/>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6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负压病房净化区域配置电话、网络系统、有线电视系统、呼叫系统、监控系统、可视门禁系统、背景音乐系统。其余弱电系统均不在本次招标范围内。</w:t>
      </w:r>
    </w:p>
    <w:p>
      <w:pPr>
        <w:numPr>
          <w:ilvl w:val="0"/>
          <w:numId w:val="6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所有设备及管线的招标、敷设均应符合国家电气、消防施工等相关技术规范要求。要求所有弱电的主机设备布局合理，整齐，美观，大方。</w:t>
      </w:r>
    </w:p>
    <w:p>
      <w:pPr>
        <w:pStyle w:val="6"/>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背景音乐系统</w:t>
      </w:r>
    </w:p>
    <w:p>
      <w:pPr>
        <w:numPr>
          <w:ilvl w:val="0"/>
          <w:numId w:val="6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负压病房净化区域均设置背景音乐系统，广播布线分区设置，公共广播系统平时播放引导广播及背景音乐，预留消防强切接口，在火灾时由消防控制主机强制切换到火灾应急广播状态。</w:t>
      </w:r>
    </w:p>
    <w:p>
      <w:pPr>
        <w:numPr>
          <w:ilvl w:val="0"/>
          <w:numId w:val="6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主机设置于各科室的护士站或办公室（以发标平面图布置位置为准），各区域按需设置背景音乐喇叭及音量控制开关,系统设音源播放器及话筒(详见系统图)，可实现广播找人。扬声器在有吊顶处嵌入安装,广播线路穿金属线槽，出线槽用钢管在顶板内敷设。</w:t>
      </w:r>
    </w:p>
    <w:p>
      <w:pPr>
        <w:pStyle w:val="6"/>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电话、网络系统</w:t>
      </w:r>
    </w:p>
    <w:p>
      <w:pPr>
        <w:numPr>
          <w:ilvl w:val="0"/>
          <w:numId w:val="6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负压病房净化区域均设置免提对讲电话：各病房的对讲电话集成在情报面板上、其布线均预留至护士站（含控电话交换机）。</w:t>
      </w:r>
    </w:p>
    <w:p>
      <w:pPr>
        <w:numPr>
          <w:ilvl w:val="0"/>
          <w:numId w:val="6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内的各护士站和功能房间按功能需求设置电话、网络插座，每间手术室的电源插座箱各设1网络插座，每一个吊塔设2路网线插座（吊塔网络插座由吊塔厂商自带）、吊塔网线预留长度3m；具体点位以平面布置图设置的为准。</w:t>
      </w:r>
    </w:p>
    <w:p>
      <w:pPr>
        <w:numPr>
          <w:ilvl w:val="0"/>
          <w:numId w:val="67"/>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所有电话、网络线路引至弱电井内、预留长度4米，由招标方接入大楼信息系统。</w:t>
      </w:r>
    </w:p>
    <w:p>
      <w:pPr>
        <w:pStyle w:val="6"/>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监控系统</w:t>
      </w:r>
    </w:p>
    <w:p>
      <w:pPr>
        <w:numPr>
          <w:ilvl w:val="0"/>
          <w:numId w:val="68"/>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监控点设置：负压病房净化区域内</w:t>
      </w:r>
      <w:r>
        <w:rPr>
          <w:rFonts w:hint="eastAsia"/>
          <w:color w:val="auto"/>
          <w:highlight w:val="none"/>
        </w:rPr>
        <w:t>均</w:t>
      </w:r>
      <w:r>
        <w:rPr>
          <w:rFonts w:hint="eastAsia" w:ascii="宋体" w:hAnsi="宋体" w:cs="宋体"/>
          <w:color w:val="auto"/>
          <w:szCs w:val="21"/>
          <w:highlight w:val="none"/>
        </w:rPr>
        <w:t>设置网络监控系统，系统主机设置各科室的护士站(具体以发标平面图布置位置为准)，所有图像都传送到系统主机，可实现多地点、多画面实时监控。</w:t>
      </w:r>
    </w:p>
    <w:p>
      <w:pPr>
        <w:numPr>
          <w:ilvl w:val="0"/>
          <w:numId w:val="68"/>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监控设备：各区域监控主机包括操作键盘，彩色监视器，硬盘录像机(带硬盘)，具体配置详见系统图。 </w:t>
      </w:r>
    </w:p>
    <w:p>
      <w:pPr>
        <w:numPr>
          <w:ilvl w:val="0"/>
          <w:numId w:val="68"/>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系统功能：系统通过数码网络硬盘录像机进行集中控制和处理，视频图像通过监视器显示，系统可实现记录图像的回放、检索等，同时监控画面可任意切换，任意分割、任意组合排列。</w:t>
      </w:r>
    </w:p>
    <w:p>
      <w:pPr>
        <w:pStyle w:val="6"/>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可视门禁系统</w:t>
      </w:r>
    </w:p>
    <w:p>
      <w:pPr>
        <w:numPr>
          <w:ilvl w:val="0"/>
          <w:numId w:val="69"/>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内的医护、病患总入口、污物出口处设置门禁系统门口机，高值耗材库房配置刷卡门禁门口机；系统主机室内机设置各科室的护士站（具体以发标平面图布置的位置为准）。系统可实现门铃呼叫主机、刷卡、密码输入等方式。</w:t>
      </w:r>
    </w:p>
    <w:p>
      <w:pPr>
        <w:numPr>
          <w:ilvl w:val="0"/>
          <w:numId w:val="69"/>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系统由门禁控制器、读卡器、IC卡、电子门锁组成及开门按钮。门禁控制器在吊顶内距吊顶0.2米安装，读卡器、电子门锁结合门的形式安装，读卡器安装高度为1.5米。</w:t>
      </w:r>
    </w:p>
    <w:p>
      <w:pPr>
        <w:numPr>
          <w:ilvl w:val="0"/>
          <w:numId w:val="69"/>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通信及线路要求：门口机与室内机间采用TCP/IP协议，采用六类屏蔽网线STP.CAT6.4p。 </w:t>
      </w:r>
    </w:p>
    <w:p>
      <w:pPr>
        <w:pStyle w:val="6"/>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呼叫系统</w:t>
      </w:r>
    </w:p>
    <w:p>
      <w:pPr>
        <w:numPr>
          <w:ilvl w:val="0"/>
          <w:numId w:val="7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负压病房净化区域内的设置一套呼叫系统，主机设置于护士站(具体以发标平面图布置位置为准)，麻醉准备间、复苏室、分娩室等区域按需求设置呼叫分机。</w:t>
      </w:r>
    </w:p>
    <w:p>
      <w:pPr>
        <w:numPr>
          <w:ilvl w:val="0"/>
          <w:numId w:val="70"/>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系统采用总线制设置方式，配置带手柄呼叫按钮、方便使用，实现专门用于医护人员与病床病人之间的双向呼叫。</w:t>
      </w:r>
    </w:p>
    <w:p>
      <w:pPr>
        <w:pStyle w:val="6"/>
        <w:numPr>
          <w:ilvl w:val="0"/>
          <w:numId w:val="64"/>
        </w:numPr>
        <w:tabs>
          <w:tab w:val="left" w:pos="420"/>
        </w:tabs>
        <w:adjustRightInd w:val="0"/>
        <w:snapToGrid w:val="0"/>
        <w:spacing w:before="0" w:after="0" w:line="360" w:lineRule="auto"/>
        <w:ind w:left="840"/>
        <w:rPr>
          <w:rFonts w:ascii="宋体" w:hAnsi="宋体" w:cs="宋体"/>
          <w:color w:val="auto"/>
          <w:sz w:val="21"/>
          <w:szCs w:val="21"/>
          <w:highlight w:val="none"/>
        </w:rPr>
      </w:pPr>
      <w:r>
        <w:rPr>
          <w:rFonts w:hint="eastAsia" w:ascii="宋体" w:hAnsi="宋体" w:cs="宋体"/>
          <w:color w:val="auto"/>
          <w:sz w:val="21"/>
          <w:szCs w:val="21"/>
          <w:highlight w:val="none"/>
        </w:rPr>
        <w:t>有线电视系统</w:t>
      </w:r>
    </w:p>
    <w:p>
      <w:pPr>
        <w:numPr>
          <w:ilvl w:val="0"/>
          <w:numId w:val="46"/>
        </w:numPr>
        <w:adjustRightInd w:val="0"/>
        <w:snapToGrid w:val="0"/>
        <w:spacing w:line="360" w:lineRule="auto"/>
        <w:rPr>
          <w:color w:val="auto"/>
          <w:kern w:val="2"/>
          <w:highlight w:val="none"/>
        </w:rPr>
      </w:pPr>
      <w:r>
        <w:rPr>
          <w:rFonts w:hint="eastAsia" w:ascii="宋体" w:hAnsi="宋体" w:cs="宋体"/>
          <w:color w:val="auto"/>
          <w:szCs w:val="21"/>
          <w:highlight w:val="none"/>
        </w:rPr>
        <w:t>负压病房净化区域内在护工休息室、值班室、会议室或、公室内各设置 1 路供有线电视插座。</w:t>
      </w:r>
    </w:p>
    <w:p>
      <w:pPr>
        <w:pStyle w:val="3"/>
        <w:widowControl/>
        <w:snapToGrid w:val="0"/>
        <w:jc w:val="left"/>
        <w:rPr>
          <w:rFonts w:ascii="宋体" w:hAnsi="宋体"/>
          <w:color w:val="auto"/>
          <w:sz w:val="28"/>
          <w:szCs w:val="28"/>
          <w:highlight w:val="none"/>
        </w:rPr>
      </w:pPr>
      <w:r>
        <w:rPr>
          <w:rFonts w:hint="eastAsia" w:ascii="宋体" w:hAnsi="宋体"/>
          <w:color w:val="auto"/>
          <w:sz w:val="28"/>
          <w:szCs w:val="28"/>
          <w:highlight w:val="none"/>
        </w:rPr>
        <w:t>第三节 中心供应室、静脉配置中心、病理科PCR实验室、遗传科PCR实验室、细胞分子实验室技术要求</w:t>
      </w:r>
    </w:p>
    <w:p>
      <w:pPr>
        <w:pStyle w:val="6"/>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装饰系统技术要求</w:t>
      </w:r>
    </w:p>
    <w:p>
      <w:pPr>
        <w:pStyle w:val="6"/>
        <w:numPr>
          <w:ilvl w:val="0"/>
          <w:numId w:val="72"/>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墙面：</w:t>
      </w:r>
    </w:p>
    <w:p>
      <w:pPr>
        <w:numPr>
          <w:ilvl w:val="0"/>
          <w:numId w:val="73"/>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中心供应室、病理科除湿区外所有墙面材料均采用75轻钢龙骨+12mm石膏板+洁菌板。</w:t>
      </w:r>
    </w:p>
    <w:p>
      <w:pPr>
        <w:numPr>
          <w:ilvl w:val="0"/>
          <w:numId w:val="73"/>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中心供应室湿区墙面材料采用在原有土建墙体（招标方砌筑）使用高分子聚合物水泥基防水涂料防水处理后面贴优质瓷砖至吊顶以上100mm高度。</w:t>
      </w:r>
    </w:p>
    <w:p>
      <w:pPr>
        <w:numPr>
          <w:ilvl w:val="0"/>
          <w:numId w:val="73"/>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静配中心除湿区以外所有墙面材料均采用面层防水、防潮、抗菌、隔热、保温、轻质、抗震、防腐、防蛀、易清洁的50mm厚手工岩棉彩钢板，板材整体模块化安装，防霉抗菌硅胶密封。墙面与墙面、墙面与顶面均采用彩钢板配套成品铝型材圆弧过渡。</w:t>
      </w:r>
    </w:p>
    <w:p>
      <w:pPr>
        <w:numPr>
          <w:ilvl w:val="0"/>
          <w:numId w:val="73"/>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静配中心、实验室（包含PCR实验室、细胞、分子实验室）湿区采用在原有土建墙体（招标方砌筑）使用高分子聚合物水泥基防水涂料防水处理后面贴优质瓷砖至吊顶以上100mm高度。</w:t>
      </w:r>
    </w:p>
    <w:p>
      <w:pPr>
        <w:numPr>
          <w:ilvl w:val="0"/>
          <w:numId w:val="73"/>
        </w:numPr>
        <w:spacing w:line="360" w:lineRule="auto"/>
        <w:ind w:left="0" w:firstLine="400"/>
        <w:rPr>
          <w:rFonts w:ascii="宋体" w:hAnsi="宋体" w:cs="宋体"/>
          <w:color w:val="auto"/>
          <w:szCs w:val="21"/>
          <w:highlight w:val="none"/>
        </w:rPr>
      </w:pPr>
      <w:r>
        <w:rPr>
          <w:rFonts w:hint="eastAsia" w:ascii="宋体" w:hAnsi="宋体" w:cs="宋体"/>
          <w:color w:val="auto"/>
          <w:szCs w:val="21"/>
          <w:highlight w:val="none"/>
        </w:rPr>
        <w:t>中心供应室、实验室（包含PCR实验室、细胞、分子实验室）的净化机房墙面材料采用在原有土建墙体（招标方砌筑）的基础上加200mm隔音棉做隔音处理，高度至上层楼板底。</w:t>
      </w:r>
    </w:p>
    <w:p>
      <w:pPr>
        <w:pStyle w:val="6"/>
        <w:numPr>
          <w:ilvl w:val="0"/>
          <w:numId w:val="72"/>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地面：</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中心供应室、病理科区域内的地面材料采用2.0mm厚，具有防静电、防滑、防潮、防火、防霉耐磨、耐腐蚀、易清洗同质透心的PVC卷材，3mm厚PVC专用地面超强自流平基层。</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静配中心、实验室（包含PCR实验室、细胞、分子实验室）除湿区以外地面材料采用2.0mm厚，具有防静电、防滑、防潮、防火、防霉耐磨、耐腐蚀、易清洗同质透心的PVC卷材。</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静配中心、实验室（包含PCR实验室、细胞、分子实验室）、中心供应室机房地面材料均采用水泥基自流平地面。</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中心供应室湿区、静配中心、实验室（包含PCR实验室、细胞、分子实验室、）、地面采用经2mm厚聚合物水泥基防水处理后，铺贴优质的防滑地砖，符合环保要求。</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所有湿区房间与干区的界面需设置门槛石。</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卷材铺设前必须采用优质自流平及界面处理剂处理。</w:t>
      </w:r>
    </w:p>
    <w:p>
      <w:pPr>
        <w:numPr>
          <w:ilvl w:val="0"/>
          <w:numId w:val="74"/>
        </w:numPr>
        <w:spacing w:line="360" w:lineRule="auto"/>
        <w:rPr>
          <w:rFonts w:ascii="宋体" w:hAnsi="宋体" w:cs="宋体"/>
          <w:color w:val="auto"/>
          <w:szCs w:val="21"/>
          <w:highlight w:val="none"/>
        </w:rPr>
      </w:pPr>
      <w:r>
        <w:rPr>
          <w:rFonts w:hint="eastAsia" w:ascii="宋体" w:hAnsi="宋体" w:cs="宋体"/>
          <w:color w:val="auto"/>
          <w:szCs w:val="21"/>
          <w:highlight w:val="none"/>
        </w:rPr>
        <w:t>招标区域内所有卷材与瓷砖交接处地面，均设置人造大理石门槛，门槛石均高于湿区地面10-20mm，与干区地面完成面齐平，湿区地面瓷砖施工均坡向地漏1%。其中范围线交界处地面门槛石均由招标方统一完成。</w:t>
      </w:r>
    </w:p>
    <w:p>
      <w:pPr>
        <w:pStyle w:val="6"/>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PVC卷材技术参数:</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类型：厚度2.0mm花纹透底型、无方向性花纹、同质透心PVC卷材</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耐磨等级：根据EN660-2：1999+A1：2003和EN649：2011要求测定:≥T级。</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耐磨性：根据GB/T 4085-2005要求测定≈0.04。</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防火等级：符合GB8624-2012判定：该产品燃烧性能达到难燃B1(B-s1,t0)级。</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有害物质检测：应符合GB18586-2001要求测定，未检出氯乙烯单体、可溶性重金属（铅、镉），挥发物符合要求。</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单位面积重量：符合GB/T11982.1-2015要求测定，</w:t>
      </w:r>
      <w:r>
        <w:rPr>
          <w:rFonts w:ascii="宋体" w:hAnsi="宋体" w:cs="宋体"/>
          <w:color w:val="auto"/>
          <w:szCs w:val="21"/>
          <w:highlight w:val="none"/>
        </w:rPr>
        <w:t>≈</w:t>
      </w: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75kg/㎡。</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焊接强度：应符合EN684-1996，≥620 N/50 mm。</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防滑性：应符合EN14014和EN13893要求，达到技术等级DS。</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TVOC（挥发有机化合物）检测：符合挥发物有机化合物测试要求测定，结果≤10µg/m3 。</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同质透心PVC卷材地板VOCs、醛酮化合物检测：28天后排放量通过ISO16000-9：2006/COR1-2007、ISO16000-6：2011、ISO16000-3：2011测试，（苯、甲苯、乙苯、间/对二甲苯、邻二甲苯、苯乙烯、正十一烷、1，4-对二氧笨、TVOC、甲醛、乙醛）测试结果均为：ND，未检出。</w:t>
      </w:r>
    </w:p>
    <w:p>
      <w:pPr>
        <w:numPr>
          <w:ilvl w:val="0"/>
          <w:numId w:val="54"/>
        </w:numPr>
        <w:spacing w:line="360" w:lineRule="auto"/>
        <w:ind w:left="420"/>
        <w:rPr>
          <w:rFonts w:ascii="宋体" w:hAnsi="宋体" w:cs="宋体"/>
          <w:color w:val="auto"/>
          <w:szCs w:val="21"/>
          <w:highlight w:val="none"/>
        </w:rPr>
      </w:pPr>
      <w:r>
        <w:rPr>
          <w:rFonts w:hint="eastAsia" w:ascii="宋体" w:hAnsi="宋体" w:cs="宋体"/>
          <w:color w:val="auto"/>
          <w:szCs w:val="21"/>
          <w:highlight w:val="none"/>
        </w:rPr>
        <w:t>甲醛测试：应符合GB18580-2001要求，未检出。</w:t>
      </w:r>
    </w:p>
    <w:p>
      <w:pPr>
        <w:numPr>
          <w:ilvl w:val="0"/>
          <w:numId w:val="54"/>
        </w:numPr>
        <w:spacing w:line="360" w:lineRule="auto"/>
        <w:ind w:left="420"/>
        <w:rPr>
          <w:color w:val="auto"/>
          <w:highlight w:val="none"/>
        </w:rPr>
      </w:pPr>
      <w:r>
        <w:rPr>
          <w:rFonts w:hint="eastAsia" w:ascii="宋体" w:hAnsi="宋体" w:cs="宋体"/>
          <w:color w:val="auto"/>
          <w:szCs w:val="21"/>
          <w:highlight w:val="none"/>
        </w:rPr>
        <w:t>防滑等级：符合DIN 51130要求测定，≥R9。</w:t>
      </w:r>
    </w:p>
    <w:p>
      <w:pPr>
        <w:numPr>
          <w:ilvl w:val="0"/>
          <w:numId w:val="54"/>
        </w:numPr>
        <w:spacing w:line="360" w:lineRule="auto"/>
        <w:ind w:left="420"/>
        <w:rPr>
          <w:color w:val="auto"/>
          <w:highlight w:val="none"/>
        </w:rPr>
      </w:pPr>
      <w:r>
        <w:rPr>
          <w:rFonts w:hint="eastAsia" w:ascii="宋体" w:hAnsi="宋体" w:cs="宋体"/>
          <w:color w:val="auto"/>
          <w:szCs w:val="21"/>
          <w:highlight w:val="none"/>
        </w:rPr>
        <w:t>洁净室认证：满足ISO 14644-1标准，测试等级为ISO Class 3级</w:t>
      </w:r>
    </w:p>
    <w:p>
      <w:pPr>
        <w:pStyle w:val="10"/>
        <w:rPr>
          <w:color w:val="auto"/>
          <w:highlight w:val="none"/>
        </w:rPr>
      </w:pPr>
    </w:p>
    <w:p>
      <w:pPr>
        <w:pStyle w:val="6"/>
        <w:numPr>
          <w:ilvl w:val="0"/>
          <w:numId w:val="72"/>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天花：</w:t>
      </w:r>
    </w:p>
    <w:p>
      <w:pPr>
        <w:numPr>
          <w:ilvl w:val="0"/>
          <w:numId w:val="75"/>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中心供应室、病理科、静配中心、实验室（包含PCR实验室、细胞、分子实验室）除湿区以外的顶面材料均采用轻钢龙骨+9.5mm石膏板+洁菌板。</w:t>
      </w:r>
    </w:p>
    <w:p>
      <w:pPr>
        <w:numPr>
          <w:ilvl w:val="0"/>
          <w:numId w:val="75"/>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中心供应室、静配中心、实验室（包含PCR实验室、细胞、分子实验室）湿区顶面材料采用专用龙骨+0.8mm厚铝扣板。</w:t>
      </w:r>
    </w:p>
    <w:p>
      <w:pPr>
        <w:numPr>
          <w:ilvl w:val="0"/>
          <w:numId w:val="75"/>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中心供应室、静配中心、实验室（包含PCR实验室、细胞、分子实验室）的吊顶高度以2.6m高为宜（具体以现场实际条件为准），其中实验室核心工作间吊顶不能开设人孔或设备检修孔。</w:t>
      </w:r>
    </w:p>
    <w:p>
      <w:pPr>
        <w:numPr>
          <w:ilvl w:val="0"/>
          <w:numId w:val="75"/>
        </w:numPr>
        <w:spacing w:line="360" w:lineRule="auto"/>
        <w:rPr>
          <w:rFonts w:ascii="宋体" w:hAnsi="宋体" w:cs="宋体"/>
          <w:color w:val="auto"/>
          <w:szCs w:val="21"/>
          <w:highlight w:val="none"/>
        </w:rPr>
      </w:pPr>
      <w:r>
        <w:rPr>
          <w:rFonts w:hint="eastAsia" w:ascii="宋体" w:hAnsi="宋体" w:cs="宋体"/>
          <w:color w:val="auto"/>
          <w:szCs w:val="21"/>
          <w:highlight w:val="none"/>
        </w:rPr>
        <w:t>当吊顶内吊杆长度大于1.5米，吊顶内应按《建筑装饰装修工程施工质量验收规范》要求设置反支撑。</w:t>
      </w:r>
    </w:p>
    <w:p>
      <w:pPr>
        <w:pStyle w:val="6"/>
        <w:numPr>
          <w:ilvl w:val="0"/>
          <w:numId w:val="72"/>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门：</w:t>
      </w:r>
    </w:p>
    <w:p>
      <w:pPr>
        <w:numPr>
          <w:ilvl w:val="0"/>
          <w:numId w:val="76"/>
        </w:numPr>
        <w:spacing w:line="360" w:lineRule="auto"/>
        <w:rPr>
          <w:rFonts w:ascii="宋体" w:hAnsi="宋体" w:cs="宋体"/>
          <w:color w:val="auto"/>
          <w:szCs w:val="21"/>
          <w:highlight w:val="none"/>
        </w:rPr>
      </w:pPr>
      <w:r>
        <w:rPr>
          <w:rFonts w:hint="eastAsia" w:ascii="宋体" w:hAnsi="宋体" w:cs="宋体"/>
          <w:color w:val="auto"/>
          <w:szCs w:val="21"/>
          <w:highlight w:val="none"/>
        </w:rPr>
        <w:t>各科室操作区域（或实验区域）及其辅房均采用医用气密封手动门，具体尺寸见发标图纸。</w:t>
      </w:r>
    </w:p>
    <w:p>
      <w:pPr>
        <w:numPr>
          <w:ilvl w:val="0"/>
          <w:numId w:val="76"/>
        </w:numPr>
        <w:spacing w:line="360" w:lineRule="auto"/>
        <w:rPr>
          <w:rFonts w:ascii="宋体" w:hAnsi="宋体" w:cs="宋体"/>
          <w:color w:val="auto"/>
          <w:szCs w:val="21"/>
          <w:highlight w:val="none"/>
        </w:rPr>
      </w:pPr>
      <w:r>
        <w:rPr>
          <w:rFonts w:hint="eastAsia" w:ascii="宋体" w:hAnsi="宋体" w:cs="宋体"/>
          <w:color w:val="auto"/>
          <w:szCs w:val="21"/>
          <w:highlight w:val="none"/>
        </w:rPr>
        <w:t>各缓冲间门应设电子互锁装置，并具应急解锁功能。实验室（包含PCR实验室、细胞、分子实验室）、实验门均应设闭门器。门头上可加装工作状态指示灯，标明实验室是否有人工作。</w:t>
      </w:r>
    </w:p>
    <w:p>
      <w:pPr>
        <w:numPr>
          <w:ilvl w:val="0"/>
          <w:numId w:val="76"/>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各科室与其他场所或部位分隔（公共区域交接处)墙上必须设置的门应采用乙级防火门，由招标方负责采购、施工，中标方提供相关配合。</w:t>
      </w:r>
    </w:p>
    <w:p>
      <w:pPr>
        <w:numPr>
          <w:ilvl w:val="0"/>
          <w:numId w:val="76"/>
        </w:numPr>
        <w:spacing w:line="360" w:lineRule="auto"/>
        <w:rPr>
          <w:rFonts w:ascii="宋体" w:hAnsi="宋体" w:cs="宋体"/>
          <w:color w:val="auto"/>
          <w:szCs w:val="21"/>
          <w:highlight w:val="none"/>
        </w:rPr>
      </w:pPr>
      <w:r>
        <w:rPr>
          <w:rFonts w:hint="eastAsia" w:ascii="宋体" w:hAnsi="宋体" w:cs="宋体"/>
          <w:color w:val="auto"/>
          <w:szCs w:val="21"/>
          <w:highlight w:val="none"/>
        </w:rPr>
        <w:t>各科室与其他场所或部位分隔（公共区域交接处)墙上必须设置的窗应采用乙级防火窗，由招标方负责采购、施工，中标方提供相关配合。</w:t>
      </w:r>
    </w:p>
    <w:p>
      <w:pPr>
        <w:pStyle w:val="6"/>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净化空调及自动化控制系统工程技术要求 </w:t>
      </w:r>
    </w:p>
    <w:p>
      <w:pPr>
        <w:pStyle w:val="6"/>
        <w:numPr>
          <w:ilvl w:val="0"/>
          <w:numId w:val="7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选用节能环保的空气净化系统和先进的气流组织模式，各净化区应按国家现行相关规范的要求设置其相对邻室的气压，以保持洁净室的级别及无菌净化要求，并使洁净区处于受控状态。</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中心供应室、静配中心、质谱室、实验室（包含PCR实验室、细胞、分子实验室）仅净化区域配置暖通系统，新风自取。</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本净化工程的净化区域内的加湿方式为采用电热式加湿器加湿。</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除特殊要求外，本工程风管采用优质镀锌钢板风管。空调供回水管管径小于DN80采用热镀锌钢管，螺纹连接；大于等于DN80采用无缝钢管，焊接。冷凝水管道采用镀锌钢管，螺纹连接。加湿器管道采用镀锌钢管，螺纹连接。</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净化区域内房间采用机械排风装置，保证室内空气质量，维持室内正压或负压控制。</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中心供应室、静配中心、实验室（包含PCR实验室、细胞、分子实验室、）仅净化区域内房间采用上送下排风形式。其气流组织应为定向流，送风由清洁区流向污染区，均采用高效送风口送风。</w:t>
      </w:r>
    </w:p>
    <w:p>
      <w:pPr>
        <w:numPr>
          <w:ilvl w:val="0"/>
          <w:numId w:val="78"/>
        </w:numPr>
        <w:spacing w:line="360" w:lineRule="auto"/>
        <w:rPr>
          <w:rFonts w:ascii="宋体" w:hAnsi="宋体" w:cs="宋体"/>
          <w:color w:val="auto"/>
          <w:szCs w:val="21"/>
          <w:highlight w:val="none"/>
        </w:rPr>
      </w:pPr>
      <w:r>
        <w:rPr>
          <w:rFonts w:hint="eastAsia" w:ascii="宋体" w:hAnsi="宋体" w:cs="宋体"/>
          <w:color w:val="auto"/>
          <w:szCs w:val="21"/>
          <w:highlight w:val="none"/>
        </w:rPr>
        <w:t>本工程水系统采用四管制定流量系统。范围内的各科室的净化区域的全年冷热源在本次招标范围内，冷热源采用模块化风冷热泵机组，需按照各科室实际冷热需求，合理配置冷热源系统。</w:t>
      </w:r>
    </w:p>
    <w:p>
      <w:pPr>
        <w:numPr>
          <w:ilvl w:val="0"/>
          <w:numId w:val="78"/>
        </w:numPr>
        <w:spacing w:line="360" w:lineRule="auto"/>
        <w:rPr>
          <w:rFonts w:ascii="宋体" w:hAnsi="宋体" w:cs="宋体"/>
          <w:color w:val="auto"/>
          <w:szCs w:val="21"/>
          <w:highlight w:val="none"/>
        </w:rPr>
      </w:pPr>
      <w:r>
        <w:rPr>
          <w:rFonts w:hint="eastAsia"/>
          <w:color w:val="auto"/>
          <w:highlight w:val="none"/>
        </w:rPr>
        <w:t>遗传PCR实验室从1~6区设置压力差，梯度由高到低为5~10KPa压力差；其中测序区要求温度20±2℃，湿度50±10%；缓冲区需要互锁。</w:t>
      </w:r>
    </w:p>
    <w:p>
      <w:pPr>
        <w:pStyle w:val="6"/>
        <w:numPr>
          <w:ilvl w:val="0"/>
          <w:numId w:val="7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净化空调自动化控制系统设计要求</w:t>
      </w:r>
    </w:p>
    <w:p>
      <w:pPr>
        <w:numPr>
          <w:ilvl w:val="0"/>
          <w:numId w:val="79"/>
        </w:numPr>
        <w:spacing w:line="360" w:lineRule="auto"/>
        <w:rPr>
          <w:rFonts w:ascii="宋体" w:hAnsi="宋体" w:cs="宋体"/>
          <w:color w:val="auto"/>
          <w:szCs w:val="21"/>
          <w:highlight w:val="none"/>
        </w:rPr>
      </w:pPr>
      <w:r>
        <w:rPr>
          <w:rFonts w:hint="eastAsia" w:ascii="宋体" w:hAnsi="宋体" w:cs="宋体"/>
          <w:color w:val="auto"/>
          <w:szCs w:val="21"/>
          <w:highlight w:val="none"/>
        </w:rPr>
        <w:t>整体要求：采用国际著名品牌多功能控制器、温、湿度传感器，压差开关、风阀执行器、电动比例积分三通调节阀、变频器等对系统的风量及温湿度进行控制。</w:t>
      </w:r>
    </w:p>
    <w:p>
      <w:pPr>
        <w:numPr>
          <w:ilvl w:val="0"/>
          <w:numId w:val="79"/>
        </w:numPr>
        <w:spacing w:line="360" w:lineRule="auto"/>
        <w:rPr>
          <w:rFonts w:ascii="宋体" w:hAnsi="宋体" w:cs="宋体"/>
          <w:color w:val="auto"/>
          <w:szCs w:val="21"/>
          <w:highlight w:val="none"/>
        </w:rPr>
      </w:pPr>
      <w:r>
        <w:rPr>
          <w:rFonts w:hint="eastAsia" w:ascii="宋体" w:hAnsi="宋体" w:cs="宋体"/>
          <w:color w:val="auto"/>
          <w:szCs w:val="21"/>
          <w:highlight w:val="none"/>
        </w:rPr>
        <w:t>PCR实验室均选用两套净化循环机组（含自取新风机组），每个系统设置一个单联空调控制面板。集中净化新风机组不设置控制面板，由循环机组联动控制。净化空调控制系统的控制必需满足机房本地控制和手术室控制的功能需求。实验室的排风机应与送风机连锁，排风机应先于送风机开启，后于送风机关闭。</w:t>
      </w:r>
    </w:p>
    <w:p>
      <w:pPr>
        <w:numPr>
          <w:ilvl w:val="0"/>
          <w:numId w:val="79"/>
        </w:numPr>
        <w:spacing w:line="360" w:lineRule="auto"/>
        <w:rPr>
          <w:rFonts w:ascii="宋体" w:hAnsi="宋体" w:cs="宋体"/>
          <w:color w:val="auto"/>
          <w:szCs w:val="21"/>
          <w:highlight w:val="none"/>
        </w:rPr>
      </w:pPr>
      <w:r>
        <w:rPr>
          <w:rFonts w:hint="eastAsia" w:ascii="宋体" w:hAnsi="宋体" w:cs="宋体"/>
          <w:color w:val="auto"/>
          <w:szCs w:val="21"/>
          <w:highlight w:val="none"/>
        </w:rPr>
        <w:t>室内空调控制面板应可以实现以下的控制功能：</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机组启、停；</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温度的设定；</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室内温、湿度的显示；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机组值班状态指示；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机组运行指示；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机组故障指示；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室内外压差显示；</w:t>
      </w:r>
    </w:p>
    <w:p>
      <w:pPr>
        <w:numPr>
          <w:ilvl w:val="0"/>
          <w:numId w:val="80"/>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带通讯模块，提供通用协议，信息可供外部调用。</w:t>
      </w:r>
    </w:p>
    <w:p>
      <w:pPr>
        <w:numPr>
          <w:ilvl w:val="0"/>
          <w:numId w:val="79"/>
        </w:numPr>
        <w:spacing w:line="360" w:lineRule="auto"/>
        <w:rPr>
          <w:rFonts w:ascii="宋体" w:hAnsi="宋体" w:cs="宋体"/>
          <w:color w:val="auto"/>
          <w:szCs w:val="21"/>
          <w:highlight w:val="none"/>
        </w:rPr>
      </w:pPr>
      <w:r>
        <w:rPr>
          <w:rFonts w:hint="eastAsia" w:ascii="宋体" w:hAnsi="宋体" w:cs="宋体"/>
          <w:color w:val="auto"/>
          <w:szCs w:val="21"/>
          <w:highlight w:val="none"/>
        </w:rPr>
        <w:t>机房控制柜内还应可以实现以下的控制功能：</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室内控制面板实现的全部功能；</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风机运行频率显示；</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中效过滤网堵塞报警、缺风保护报警、风机运行情况及过载报警、洁净室排风机运行状态显示、加湿器运行状态和故障显示等；</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手、自动风量调频切换；</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冷热水调节阀、加湿器和电加热器工作状态；</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试灯和功能切换；</w:t>
      </w:r>
    </w:p>
    <w:p>
      <w:pPr>
        <w:numPr>
          <w:ilvl w:val="0"/>
          <w:numId w:val="81"/>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各种控制参数（室内温、湿度；变频器频率等）的设定和修改。</w:t>
      </w:r>
    </w:p>
    <w:p>
      <w:pPr>
        <w:pStyle w:val="6"/>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强电系统工程技术要求</w:t>
      </w:r>
    </w:p>
    <w:p>
      <w:pPr>
        <w:spacing w:line="360" w:lineRule="auto"/>
        <w:ind w:left="400"/>
        <w:rPr>
          <w:rFonts w:ascii="宋体" w:hAnsi="宋体" w:cs="宋体"/>
          <w:color w:val="auto"/>
          <w:szCs w:val="21"/>
          <w:highlight w:val="none"/>
        </w:rPr>
      </w:pPr>
      <w:r>
        <w:rPr>
          <w:rFonts w:hint="eastAsia" w:ascii="宋体" w:hAnsi="宋体" w:cs="宋体"/>
          <w:color w:val="auto"/>
          <w:szCs w:val="21"/>
          <w:highlight w:val="none"/>
        </w:rPr>
        <w:t>1　招标方将双电源线引至中心供应室、静配中心、实验室（包含PCR实验室、细胞、分子实验室）及空调机房外双电源切换总配电箱内，配电箱及其之后所有的桥架、线管、电源线、照明、插座等工程全部由中标方采购、安装。</w:t>
      </w:r>
    </w:p>
    <w:p>
      <w:pPr>
        <w:numPr>
          <w:ilvl w:val="0"/>
          <w:numId w:val="82"/>
        </w:numPr>
        <w:spacing w:line="360" w:lineRule="auto"/>
        <w:rPr>
          <w:rFonts w:ascii="宋体" w:hAnsi="宋体" w:cs="宋体"/>
          <w:color w:val="auto"/>
          <w:szCs w:val="21"/>
          <w:highlight w:val="none"/>
        </w:rPr>
      </w:pPr>
      <w:r>
        <w:rPr>
          <w:rFonts w:hint="eastAsia" w:ascii="宋体" w:hAnsi="宋体" w:cs="宋体"/>
          <w:color w:val="auto"/>
          <w:szCs w:val="21"/>
          <w:highlight w:val="none"/>
        </w:rPr>
        <w:t>照明应采用医用LED平板灯，满足洁净环境气密性要求禁用普通灯带代替，灯带必须布置在送风口之外。</w:t>
      </w:r>
    </w:p>
    <w:p>
      <w:pPr>
        <w:numPr>
          <w:ilvl w:val="0"/>
          <w:numId w:val="82"/>
        </w:numPr>
        <w:spacing w:line="360" w:lineRule="auto"/>
        <w:rPr>
          <w:rFonts w:ascii="宋体" w:hAnsi="宋体" w:cs="宋体"/>
          <w:color w:val="auto"/>
          <w:szCs w:val="21"/>
          <w:highlight w:val="none"/>
        </w:rPr>
      </w:pPr>
      <w:r>
        <w:rPr>
          <w:rFonts w:hint="eastAsia" w:ascii="宋体" w:hAnsi="宋体" w:cs="宋体"/>
          <w:color w:val="auto"/>
          <w:szCs w:val="21"/>
          <w:highlight w:val="none"/>
        </w:rPr>
        <w:t>实验区域、供应室工作区域设计平均照度参照规范要求，其余辅房及走廊平均照度应参照规范要求；静配、实验室等实验区域需根据规范求设置等离子空气消毒机。</w:t>
      </w:r>
    </w:p>
    <w:p>
      <w:pPr>
        <w:numPr>
          <w:ilvl w:val="0"/>
          <w:numId w:val="8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电缆采用无卤低烟阻燃交联聚乙烯绝缘聚烯烃护套铜芯电力电缆。</w:t>
      </w:r>
    </w:p>
    <w:p>
      <w:pPr>
        <w:numPr>
          <w:ilvl w:val="0"/>
          <w:numId w:val="82"/>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电缆、电线应采用金属管及金属桥架敷设。</w:t>
      </w:r>
    </w:p>
    <w:p>
      <w:pPr>
        <w:pStyle w:val="6"/>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弱电系统工程技术要求</w:t>
      </w:r>
    </w:p>
    <w:p>
      <w:pPr>
        <w:pStyle w:val="6"/>
        <w:numPr>
          <w:ilvl w:val="0"/>
          <w:numId w:val="83"/>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8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中心供应室、静配中心、实验室（包含PCR实验室、细胞、分子实验室）净化区域配置电话、网络系统、可视门禁系统、其余弱电系统不在本次招标范围内。</w:t>
      </w:r>
    </w:p>
    <w:p>
      <w:pPr>
        <w:numPr>
          <w:ilvl w:val="0"/>
          <w:numId w:val="84"/>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所有设备及管线的招标、敷设均应符合国家电气、消防施工等相关技术规范要求。要求所有弱电的主机设备布局合理，整齐，美观，大方。</w:t>
      </w:r>
    </w:p>
    <w:p>
      <w:pPr>
        <w:pStyle w:val="6"/>
        <w:numPr>
          <w:ilvl w:val="0"/>
          <w:numId w:val="83"/>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电话、网络系统</w:t>
      </w:r>
    </w:p>
    <w:p>
      <w:pPr>
        <w:numPr>
          <w:ilvl w:val="0"/>
          <w:numId w:val="8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中心供应室、静配中心、实验室（包含PCR实验室、细胞、分子实验室）净化区域按功能需求设置电话、网络插座。</w:t>
      </w:r>
    </w:p>
    <w:p>
      <w:pPr>
        <w:numPr>
          <w:ilvl w:val="0"/>
          <w:numId w:val="85"/>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所有电话、网络线路引至弱电井内、预留长度4米，由招标方接入大楼信息系统。</w:t>
      </w:r>
    </w:p>
    <w:p>
      <w:pPr>
        <w:pStyle w:val="6"/>
        <w:numPr>
          <w:ilvl w:val="0"/>
          <w:numId w:val="83"/>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可视门禁系统</w:t>
      </w:r>
    </w:p>
    <w:p>
      <w:pPr>
        <w:numPr>
          <w:ilvl w:val="0"/>
          <w:numId w:val="8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净化区域各主要人员出入口、物品出入口、标本入口处设置门禁系统门口机，系统主机室内机设置于办公室（具体以发标平面图布置的位置为准）。系统可实现门铃呼叫主机、刷卡、密码输入等方式。</w:t>
      </w:r>
    </w:p>
    <w:p>
      <w:pPr>
        <w:numPr>
          <w:ilvl w:val="0"/>
          <w:numId w:val="86"/>
        </w:numPr>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系统由门禁控制器、读卡器、IC卡、电子门锁组成及开门按钮。门禁控制器在吊顶内距吊顶0.2米安装，读卡器、电子门锁结合门的形式安装，读卡器安装高度为1.5米。</w:t>
      </w:r>
    </w:p>
    <w:p>
      <w:pPr>
        <w:numPr>
          <w:ilvl w:val="0"/>
          <w:numId w:val="86"/>
        </w:numPr>
        <w:tabs>
          <w:tab w:val="left" w:pos="510"/>
          <w:tab w:val="left" w:pos="540"/>
        </w:tabs>
        <w:adjustRightInd w:val="0"/>
        <w:snapToGrid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通信及线路要求：门口机与室内机间采用TCP/IP协议，采用六类屏蔽网线STP.CAT6.4p。 </w:t>
      </w:r>
    </w:p>
    <w:p>
      <w:pPr>
        <w:pStyle w:val="6"/>
        <w:adjustRightInd w:val="0"/>
        <w:snapToGrid w:val="0"/>
        <w:spacing w:before="0" w:after="0" w:line="360" w:lineRule="auto"/>
        <w:ind w:left="420"/>
        <w:rPr>
          <w:rFonts w:ascii="宋体" w:hAnsi="宋体" w:cs="宋体"/>
          <w:color w:val="auto"/>
          <w:sz w:val="21"/>
          <w:szCs w:val="21"/>
          <w:highlight w:val="none"/>
        </w:rPr>
      </w:pPr>
      <w:r>
        <w:rPr>
          <w:rFonts w:hint="eastAsia" w:ascii="宋体" w:hAnsi="宋体" w:cs="宋体"/>
          <w:color w:val="auto"/>
          <w:sz w:val="21"/>
          <w:szCs w:val="21"/>
          <w:highlight w:val="none"/>
        </w:rPr>
        <w:t>4</w:t>
      </w:r>
      <w:r>
        <w:rPr>
          <w:rFonts w:ascii="宋体" w:hAnsi="宋体" w:cs="宋体"/>
          <w:color w:val="auto"/>
          <w:sz w:val="21"/>
          <w:szCs w:val="21"/>
          <w:highlight w:val="none"/>
        </w:rPr>
        <w:t>.</w:t>
      </w:r>
      <w:r>
        <w:rPr>
          <w:rFonts w:hint="eastAsia" w:ascii="宋体" w:hAnsi="宋体" w:cs="宋体"/>
          <w:color w:val="auto"/>
          <w:sz w:val="21"/>
          <w:szCs w:val="21"/>
          <w:highlight w:val="none"/>
        </w:rPr>
        <w:t>病理科智能空气质量检测系统</w:t>
      </w:r>
    </w:p>
    <w:p>
      <w:pPr>
        <w:tabs>
          <w:tab w:val="left" w:pos="510"/>
          <w:tab w:val="left" w:pos="540"/>
        </w:tabs>
        <w:adjustRightInd w:val="0"/>
        <w:snapToGrid w:val="0"/>
        <w:spacing w:line="360" w:lineRule="auto"/>
        <w:ind w:left="400"/>
        <w:rPr>
          <w:rFonts w:ascii="宋体" w:hAnsi="宋体" w:cs="宋体"/>
          <w:color w:val="auto"/>
          <w:szCs w:val="21"/>
          <w:highlight w:val="none"/>
        </w:rPr>
      </w:pPr>
      <w:r>
        <w:rPr>
          <w:rFonts w:hint="eastAsia" w:ascii="宋体" w:hAnsi="宋体" w:cs="宋体"/>
          <w:color w:val="auto"/>
          <w:szCs w:val="21"/>
          <w:highlight w:val="none"/>
        </w:rPr>
        <w:t>①空气处理系统：由智能空气质量监测控制中枢（</w:t>
      </w:r>
      <w:r>
        <w:rPr>
          <w:rFonts w:hint="eastAsia" w:ascii="宋体" w:hAnsi="宋体" w:cs="宋体"/>
          <w:color w:val="auto"/>
          <w:szCs w:val="21"/>
          <w:highlight w:val="none"/>
          <w:lang w:bidi="ar"/>
        </w:rPr>
        <w:t>系统中央控制塔</w:t>
      </w:r>
      <w:r>
        <w:rPr>
          <w:rFonts w:hint="eastAsia" w:ascii="宋体" w:hAnsi="宋体" w:cs="宋体"/>
          <w:color w:val="auto"/>
          <w:szCs w:val="21"/>
          <w:highlight w:val="none"/>
        </w:rPr>
        <w:t>）、</w:t>
      </w:r>
      <w:r>
        <w:rPr>
          <w:rFonts w:hint="eastAsia" w:ascii="宋体" w:hAnsi="宋体" w:cs="宋体"/>
          <w:color w:val="auto"/>
          <w:szCs w:val="21"/>
          <w:highlight w:val="none"/>
          <w:lang w:bidi="ar"/>
        </w:rPr>
        <w:t>远程监测报警与质控评价软件模块、</w:t>
      </w:r>
      <w:r>
        <w:rPr>
          <w:rFonts w:hint="eastAsia" w:ascii="宋体" w:hAnsi="宋体" w:cs="宋体"/>
          <w:color w:val="auto"/>
          <w:szCs w:val="21"/>
          <w:highlight w:val="none"/>
        </w:rPr>
        <w:t>离子空气处理主机、</w:t>
      </w:r>
      <w:r>
        <w:rPr>
          <w:rFonts w:hint="eastAsia" w:ascii="宋体" w:hAnsi="宋体" w:cs="宋体"/>
          <w:color w:val="auto"/>
          <w:szCs w:val="21"/>
          <w:highlight w:val="none"/>
          <w:lang w:bidi="ar"/>
        </w:rPr>
        <w:t>层流粒子布气装置、桌面导流连接立柱、桌面导流装置、组合式外排废气处理装置、</w:t>
      </w:r>
      <w:r>
        <w:rPr>
          <w:rFonts w:hint="eastAsia" w:ascii="宋体" w:hAnsi="宋体" w:cs="宋体"/>
          <w:color w:val="auto"/>
          <w:szCs w:val="21"/>
          <w:highlight w:val="none"/>
        </w:rPr>
        <w:t>臭氧检测仪、风速检测仪、voc检测仪（</w:t>
      </w:r>
      <w:r>
        <w:rPr>
          <w:rFonts w:hint="eastAsia" w:ascii="宋体" w:hAnsi="宋体" w:cs="宋体"/>
          <w:color w:val="auto"/>
          <w:szCs w:val="21"/>
          <w:highlight w:val="none"/>
          <w:lang w:bidi="ar"/>
        </w:rPr>
        <w:t>室内空气质量检测柱</w:t>
      </w:r>
      <w:r>
        <w:rPr>
          <w:rFonts w:hint="eastAsia" w:ascii="宋体" w:hAnsi="宋体" w:cs="宋体"/>
          <w:color w:val="auto"/>
          <w:szCs w:val="21"/>
          <w:highlight w:val="none"/>
        </w:rPr>
        <w:t>）、甲醛检测仪（</w:t>
      </w:r>
      <w:r>
        <w:rPr>
          <w:rFonts w:hint="eastAsia" w:ascii="宋体" w:hAnsi="宋体" w:cs="宋体"/>
          <w:color w:val="auto"/>
          <w:szCs w:val="21"/>
          <w:highlight w:val="none"/>
          <w:lang w:bidi="ar"/>
        </w:rPr>
        <w:t>空气质量检测柱）</w:t>
      </w:r>
      <w:r>
        <w:rPr>
          <w:rFonts w:hint="eastAsia" w:ascii="宋体" w:hAnsi="宋体" w:cs="宋体"/>
          <w:color w:val="auto"/>
          <w:szCs w:val="21"/>
          <w:highlight w:val="none"/>
        </w:rPr>
        <w:t>、二甲苯检测仪组成。</w:t>
      </w:r>
    </w:p>
    <w:p>
      <w:pPr>
        <w:adjustRightInd w:val="0"/>
        <w:snapToGrid w:val="0"/>
        <w:spacing w:line="360" w:lineRule="auto"/>
        <w:ind w:left="400"/>
        <w:rPr>
          <w:rFonts w:ascii="宋体" w:hAnsi="宋体" w:cs="宋体"/>
          <w:color w:val="auto"/>
          <w:szCs w:val="21"/>
          <w:highlight w:val="none"/>
          <w:lang w:bidi="ar"/>
        </w:rPr>
      </w:pPr>
      <w:r>
        <w:rPr>
          <w:rFonts w:hint="eastAsia" w:ascii="宋体" w:hAnsi="宋体" w:cs="宋体"/>
          <w:color w:val="auto"/>
          <w:szCs w:val="21"/>
          <w:highlight w:val="none"/>
        </w:rPr>
        <w:t>②配套通风实验设备：由</w:t>
      </w:r>
      <w:r>
        <w:rPr>
          <w:rFonts w:hint="eastAsia" w:ascii="宋体" w:hAnsi="宋体" w:cs="宋体"/>
          <w:color w:val="auto"/>
          <w:szCs w:val="21"/>
          <w:highlight w:val="none"/>
          <w:lang w:bidi="ar"/>
        </w:rPr>
        <w:t>新风型智能化生物安全水气分离式取材工作站台、染色通风柜、自动染色封片一体通风柜、脱水通风柜、安全型不锈钢标本柜、实验室台、边台、水槽组成。</w:t>
      </w:r>
    </w:p>
    <w:p>
      <w:pPr>
        <w:adjustRightInd w:val="0"/>
        <w:snapToGrid w:val="0"/>
        <w:spacing w:line="360" w:lineRule="auto"/>
        <w:ind w:left="400"/>
        <w:rPr>
          <w:rFonts w:ascii="宋体" w:hAnsi="宋体" w:cs="宋体"/>
          <w:color w:val="auto"/>
          <w:szCs w:val="21"/>
          <w:highlight w:val="none"/>
          <w:lang w:bidi="ar"/>
        </w:rPr>
      </w:pPr>
      <w:r>
        <w:rPr>
          <w:rFonts w:hint="eastAsia" w:ascii="宋体" w:hAnsi="宋体" w:cs="宋体"/>
          <w:color w:val="auto"/>
          <w:szCs w:val="21"/>
          <w:highlight w:val="none"/>
          <w:lang w:bidi="ar"/>
        </w:rPr>
        <w:t>③病理科机组包含全新风空气处理机组、离心式排风机组(变频)及通风工程的检测和调试。</w:t>
      </w:r>
    </w:p>
    <w:p>
      <w:pPr>
        <w:pStyle w:val="6"/>
        <w:numPr>
          <w:ilvl w:val="0"/>
          <w:numId w:val="71"/>
        </w:numPr>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给排水系统工程技术要求</w:t>
      </w:r>
    </w:p>
    <w:p>
      <w:pPr>
        <w:pStyle w:val="6"/>
        <w:numPr>
          <w:ilvl w:val="0"/>
          <w:numId w:val="87"/>
        </w:numPr>
        <w:adjustRightInd w:val="0"/>
        <w:snapToGrid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系统设计总体要求：</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中心供应室、静配中心、实验室（包含PCR实验室、细胞、分子实验室）净化区域内所有洁具及给排水系统楼层支管在本次招标范围内：招标方负责在同层水管井或科室内预留0.3～0.4Mpa的生活冷热水阀门接口，招标方负责提供50℃的循环热水，并按照中标方用水点要求负责招标范围内给水管道系统； 招标方负责排水立管敷设，并预留接驳口，其后招标范围内洁具的采购及安装、洁具与排水立管的连接均由净化中标方负责。</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 xml:space="preserve">中心供应室、静配中心、实验室（包含PCR实验室、细胞、分子实验室）净化区域内的冷水、热水管道采用给水薄壁不锈钢管（埋墙暗敷给水管采用覆膜不锈钢管），焊接。 </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纯水、软水、蒸汽管道为304L不锈钢管道，焊接连接。</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检验科、实验室生活污、废水排水管道采用PVC-U管,其余生活污、废水排水管道均采用柔性铸铁管，不锈钢卡箍连接；供应室高温废水排水管采用无缝钢管，焊接连接。</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卫生洁具应采用不易积存污物且易于清扫；洗手盆、污洗池均应设置冷、热水；数量及位置见发标平面图纸。</w:t>
      </w:r>
    </w:p>
    <w:p>
      <w:pPr>
        <w:numPr>
          <w:ilvl w:val="0"/>
          <w:numId w:val="49"/>
        </w:numPr>
        <w:adjustRightInd w:val="0"/>
        <w:snapToGrid w:val="0"/>
        <w:spacing w:line="360" w:lineRule="auto"/>
        <w:ind w:left="26"/>
        <w:rPr>
          <w:rFonts w:ascii="宋体" w:hAnsi="宋体" w:cs="宋体"/>
          <w:color w:val="auto"/>
          <w:szCs w:val="21"/>
          <w:highlight w:val="none"/>
        </w:rPr>
      </w:pPr>
      <w:r>
        <w:rPr>
          <w:rFonts w:hint="eastAsia" w:ascii="宋体" w:hAnsi="宋体" w:cs="宋体"/>
          <w:color w:val="auto"/>
          <w:szCs w:val="21"/>
          <w:highlight w:val="none"/>
        </w:rPr>
        <w:t>净化区内的排水设备，必须在排水口的下部设置高水封装置。</w:t>
      </w:r>
    </w:p>
    <w:p>
      <w:pPr>
        <w:pStyle w:val="10"/>
        <w:numPr>
          <w:ilvl w:val="0"/>
          <w:numId w:val="49"/>
        </w:numPr>
        <w:adjustRightInd w:val="0"/>
        <w:snapToGrid w:val="0"/>
        <w:spacing w:line="360" w:lineRule="auto"/>
        <w:ind w:left="26"/>
        <w:rPr>
          <w:color w:val="auto"/>
          <w:kern w:val="2"/>
          <w:highlight w:val="none"/>
        </w:rPr>
      </w:pPr>
      <w:r>
        <w:rPr>
          <w:rFonts w:hint="eastAsia"/>
          <w:color w:val="auto"/>
          <w:kern w:val="2"/>
          <w:highlight w:val="none"/>
        </w:rPr>
        <w:t>中心供应室高温灭菌排水需要独立排放。</w:t>
      </w:r>
    </w:p>
    <w:p>
      <w:pPr>
        <w:pStyle w:val="75"/>
        <w:widowControl/>
        <w:snapToGrid w:val="0"/>
        <w:spacing w:line="360" w:lineRule="auto"/>
        <w:ind w:firstLine="0" w:firstLineChars="0"/>
        <w:outlineLvl w:val="1"/>
        <w:rPr>
          <w:b/>
          <w:bCs/>
          <w:color w:val="auto"/>
          <w:sz w:val="24"/>
          <w:szCs w:val="24"/>
          <w:highlight w:val="none"/>
        </w:rPr>
      </w:pPr>
      <w:r>
        <w:rPr>
          <w:rFonts w:hint="eastAsia"/>
          <w:b/>
          <w:bCs/>
          <w:color w:val="auto"/>
          <w:sz w:val="24"/>
          <w:szCs w:val="24"/>
          <w:highlight w:val="none"/>
        </w:rPr>
        <w:t>第四节 售后服务要求（本次招标范围内的所有项目均需提供三年质保期）</w:t>
      </w:r>
    </w:p>
    <w:p>
      <w:pPr>
        <w:pStyle w:val="75"/>
        <w:widowControl/>
        <w:numPr>
          <w:ilvl w:val="0"/>
          <w:numId w:val="88"/>
        </w:numPr>
        <w:snapToGrid w:val="0"/>
        <w:spacing w:line="360" w:lineRule="auto"/>
        <w:rPr>
          <w:color w:val="auto"/>
          <w:highlight w:val="none"/>
        </w:rPr>
      </w:pPr>
      <w:r>
        <w:rPr>
          <w:rFonts w:hint="eastAsia"/>
          <w:color w:val="auto"/>
          <w:highlight w:val="none"/>
        </w:rPr>
        <w:t>净化系统质保要求：</w:t>
      </w:r>
    </w:p>
    <w:p>
      <w:pPr>
        <w:pStyle w:val="75"/>
        <w:widowControl/>
        <w:snapToGrid w:val="0"/>
        <w:spacing w:line="360" w:lineRule="auto"/>
        <w:ind w:firstLine="630" w:firstLineChars="300"/>
        <w:rPr>
          <w:color w:val="auto"/>
          <w:highlight w:val="none"/>
        </w:rPr>
      </w:pPr>
      <w:r>
        <w:rPr>
          <w:rFonts w:hint="eastAsia"/>
          <w:color w:val="auto"/>
          <w:highlight w:val="none"/>
        </w:rPr>
        <w:t>质保范围：本次招标范围内的所有净化系统（含易损件）</w:t>
      </w:r>
    </w:p>
    <w:p>
      <w:pPr>
        <w:pStyle w:val="75"/>
        <w:widowControl/>
        <w:snapToGrid w:val="0"/>
        <w:spacing w:line="360" w:lineRule="auto"/>
        <w:ind w:firstLine="630" w:firstLineChars="300"/>
        <w:rPr>
          <w:color w:val="auto"/>
          <w:szCs w:val="22"/>
          <w:highlight w:val="none"/>
        </w:rPr>
      </w:pPr>
      <w:r>
        <w:rPr>
          <w:rFonts w:hint="eastAsia"/>
          <w:color w:val="auto"/>
          <w:highlight w:val="none"/>
        </w:rPr>
        <w:t>（1）每两个月更换初效过滤器，三个月更换中效过滤器，</w:t>
      </w:r>
      <w:r>
        <w:rPr>
          <w:rFonts w:hint="eastAsia"/>
          <w:color w:val="auto"/>
          <w:szCs w:val="22"/>
          <w:highlight w:val="none"/>
        </w:rPr>
        <w:t>每年检测高效过滤器。.以上过滤器发现污染和堵塞及时更换每年提供第三方检测报告，</w:t>
      </w:r>
      <w:r>
        <w:rPr>
          <w:rFonts w:hint="eastAsia" w:ascii="宋体" w:hAnsi="宋体" w:cs="宋体"/>
          <w:color w:val="auto"/>
          <w:sz w:val="24"/>
          <w:szCs w:val="24"/>
          <w:highlight w:val="none"/>
        </w:rPr>
        <w:t>过滤器耗材费、人工费及检测费用</w:t>
      </w:r>
      <w:r>
        <w:rPr>
          <w:rFonts w:hint="eastAsia"/>
          <w:color w:val="auto"/>
          <w:szCs w:val="22"/>
          <w:highlight w:val="none"/>
        </w:rPr>
        <w:t>由中标单位承担，更换的过滤器品牌需与原投标品牌一致；</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（2）每个月定期清洁机组及机房，保持机组外部及机房的干净整洁；</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（3） 保持层流系统正常工作，确保12小时内排除故障。</w:t>
      </w:r>
    </w:p>
    <w:p>
      <w:pPr>
        <w:pStyle w:val="75"/>
        <w:widowControl/>
        <w:snapToGrid w:val="0"/>
        <w:spacing w:line="360" w:lineRule="auto"/>
        <w:ind w:firstLine="630" w:firstLineChars="300"/>
        <w:rPr>
          <w:color w:val="auto"/>
          <w:szCs w:val="22"/>
          <w:highlight w:val="none"/>
        </w:rPr>
      </w:pPr>
      <w:r>
        <w:rPr>
          <w:rFonts w:hint="eastAsia"/>
          <w:color w:val="auto"/>
          <w:szCs w:val="22"/>
          <w:highlight w:val="none"/>
        </w:rPr>
        <w:t>以上所有工作需符合医院空气净化管理规范（WS/T 368-2012 ），并根据要求及时调整更换及维保周期。</w:t>
      </w:r>
    </w:p>
    <w:p>
      <w:pPr>
        <w:pStyle w:val="10"/>
        <w:rPr>
          <w:color w:val="auto"/>
          <w:highlight w:val="none"/>
        </w:rPr>
      </w:pPr>
    </w:p>
    <w:p>
      <w:pPr>
        <w:pStyle w:val="3"/>
        <w:spacing w:line="30" w:lineRule="atLeast"/>
        <w:rPr>
          <w:color w:val="auto"/>
          <w:highlight w:val="none"/>
        </w:rPr>
      </w:pPr>
      <w:r>
        <w:rPr>
          <w:rFonts w:hint="eastAsia"/>
          <w:color w:val="auto"/>
          <w:sz w:val="28"/>
          <w:szCs w:val="28"/>
          <w:highlight w:val="none"/>
        </w:rPr>
        <w:t>第五节 主要设备材料品牌推荐表</w:t>
      </w:r>
    </w:p>
    <w:p>
      <w:pPr>
        <w:pStyle w:val="4"/>
        <w:spacing w:line="30" w:lineRule="atLeast"/>
        <w:ind w:firstLine="422"/>
        <w:rPr>
          <w:strike/>
          <w:color w:val="auto"/>
          <w:highlight w:val="none"/>
        </w:rPr>
      </w:pPr>
    </w:p>
    <w:tbl>
      <w:tblPr>
        <w:tblStyle w:val="27"/>
        <w:tblW w:w="8344"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914"/>
        <w:gridCol w:w="4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设备、材料名称</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一、装饰部分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PVC卷材</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洁福、阿姆斯壮、得嘉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模块化医用电解钢板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加工厂：</w:t>
            </w:r>
            <w:r>
              <w:rPr>
                <w:rFonts w:hint="eastAsia" w:ascii="宋体" w:hAnsi="宋体" w:cs="宋体"/>
                <w:color w:val="auto"/>
                <w:sz w:val="21"/>
                <w:szCs w:val="21"/>
                <w:highlight w:val="none"/>
                <w:lang w:bidi="ar"/>
              </w:rPr>
              <w:t>浩东、智迪锐、铭铉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瓷砖</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马可波罗、亚细亚、东鹏、蒙娜丽莎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铝扣板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乐思龙、林德纳、阿姆斯壮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乳胶漆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华润、立邦、多乐士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麻醉柜、器械柜、药品柜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jc w:val="center"/>
              <w:rPr>
                <w:color w:val="auto"/>
                <w:highlight w:val="none"/>
              </w:rPr>
            </w:pPr>
            <w:r>
              <w:rPr>
                <w:rFonts w:hint="eastAsia" w:ascii="宋体" w:hAnsi="宋体" w:cs="宋体"/>
                <w:color w:val="auto"/>
                <w:szCs w:val="21"/>
                <w:highlight w:val="none"/>
              </w:rPr>
              <w:t>7</w:t>
            </w:r>
            <w:r>
              <w:rPr>
                <w:rFonts w:ascii="宋体" w:hAnsi="宋体" w:cs="宋体"/>
                <w:color w:val="auto"/>
                <w:szCs w:val="21"/>
                <w:highlight w:val="none"/>
              </w:rPr>
              <w:t>.</w:t>
            </w:r>
          </w:p>
        </w:tc>
        <w:tc>
          <w:tcPr>
            <w:tcW w:w="2914" w:type="dxa"/>
            <w:tcBorders>
              <w:top w:val="single" w:color="auto" w:sz="4" w:space="0"/>
              <w:left w:val="single" w:color="auto" w:sz="4" w:space="0"/>
              <w:bottom w:val="single" w:color="auto" w:sz="4" w:space="0"/>
              <w:right w:val="single" w:color="auto" w:sz="4" w:space="0"/>
            </w:tcBorders>
            <w:vAlign w:val="center"/>
          </w:tcPr>
          <w:p>
            <w:pPr>
              <w:rPr>
                <w:color w:val="auto"/>
                <w:highlight w:val="none"/>
              </w:rPr>
            </w:pPr>
            <w:r>
              <w:rPr>
                <w:rFonts w:hint="eastAsia"/>
                <w:color w:val="auto"/>
                <w:highlight w:val="none"/>
              </w:rPr>
              <w:t>洁菌医疗板</w:t>
            </w:r>
          </w:p>
        </w:tc>
        <w:tc>
          <w:tcPr>
            <w:tcW w:w="4130" w:type="dxa"/>
            <w:tcBorders>
              <w:top w:val="single" w:color="auto" w:sz="4" w:space="0"/>
              <w:left w:val="single" w:color="auto" w:sz="4" w:space="0"/>
              <w:bottom w:val="single" w:color="auto" w:sz="4" w:space="0"/>
              <w:right w:val="single" w:color="auto" w:sz="4" w:space="0"/>
            </w:tcBorders>
            <w:vAlign w:val="center"/>
          </w:tcPr>
          <w:p>
            <w:pPr>
              <w:rPr>
                <w:color w:val="auto"/>
                <w:highlight w:val="none"/>
              </w:rPr>
            </w:pPr>
            <w:r>
              <w:rPr>
                <w:rFonts w:hint="eastAsia"/>
                <w:color w:val="auto"/>
                <w:highlight w:val="none"/>
              </w:rPr>
              <w:t>富美家、森旺、威盛亚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自动门电动装置</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松下、欧尼克、纳博克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刷手池</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铭炫、浩东、智迪锐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气密门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钢制平开门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保冷柜、保温柜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福意联、松下、海尔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color w:val="auto"/>
                <w:highlight w:val="none"/>
              </w:rPr>
              <w:t>供应室不锈钢制品</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color w:val="auto"/>
                <w:highlight w:val="none"/>
              </w:rPr>
              <w:t>国产优质(样品需由业主确认)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二、电气部分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电线、电缆</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上上、特变、远东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网线</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美国西蒙、康普、泛达、罗格朗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配电箱柜电器元件</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施耐德、西门子、ABB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隔离变压器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本德尔、ABB、施耐德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UPS</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易事特、施耐德、艾默生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开关、插座</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TCL、罗格朗、公牛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净化气密灯</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佛山照明、君硕、云镜、佳静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手术室数字化系统</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color w:val="auto"/>
                <w:highlight w:val="none"/>
              </w:rPr>
              <w:t>STORZ卡尔史托斯、MAQUET迈柯唯、</w:t>
            </w:r>
            <w:r>
              <w:rPr>
                <w:rFonts w:ascii="Arial" w:hAnsi="Arial" w:cs="Arial"/>
                <w:color w:val="auto"/>
                <w:sz w:val="19"/>
                <w:szCs w:val="19"/>
                <w:highlight w:val="none"/>
                <w:shd w:val="clear" w:color="auto" w:fill="FFFFFF"/>
              </w:rPr>
              <w:t>Stryker</w:t>
            </w:r>
            <w:r>
              <w:rPr>
                <w:rFonts w:hint="eastAsia"/>
                <w:color w:val="auto"/>
                <w:highlight w:val="none"/>
              </w:rPr>
              <w:t>史赛克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214"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三、空调</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净化空调机组/新风机组</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天加、雅士、清华同方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风冷热泵</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天加、雅士、清华同方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风机盘管</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新晃、格力、天加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分体机</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富士通、三菱重工海尔、海信日立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机组控制系统</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等比例积分调节阀</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西门子、霍尼韦尔、江森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28.</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水泵</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上海连成、凯泉、格兰富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29.</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离心式排风机</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上虞贝斯特、上虞科博、上虞专用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30.</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 w:val="20"/>
                <w:szCs w:val="20"/>
                <w:highlight w:val="none"/>
                <w:lang w:bidi="ar"/>
              </w:rPr>
              <w:t>空气外排处理箱</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皇家动力、亿利达、科禄格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31.</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橡塑保温棉</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阿乐斯福乐斯（德国）、阿斯克（浙江）、杜肯福耐斯（美国）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32.</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加湿器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卡乐、康迪、思探得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33.</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高效送风口</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34.</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送风天花</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铭铉、智迪锐、浩东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35.</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高效过滤器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康斐尔、美埃、AAF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36.</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生物安全柜</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苏净安泰、山东新华、青岛海尔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37.</w:t>
            </w:r>
          </w:p>
        </w:tc>
        <w:tc>
          <w:tcPr>
            <w:tcW w:w="291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阀门</w:t>
            </w:r>
          </w:p>
        </w:tc>
        <w:tc>
          <w:tcPr>
            <w:tcW w:w="4130"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color w:val="auto"/>
                <w:szCs w:val="21"/>
                <w:highlight w:val="none"/>
              </w:rPr>
            </w:pPr>
            <w:r>
              <w:rPr>
                <w:rFonts w:hint="eastAsia" w:ascii="宋体" w:hAnsi="宋体" w:cs="宋体"/>
                <w:color w:val="auto"/>
                <w:szCs w:val="21"/>
                <w:highlight w:val="none"/>
              </w:rPr>
              <w:t>良工、精工、上阀</w:t>
            </w:r>
          </w:p>
        </w:tc>
      </w:tr>
    </w:tbl>
    <w:p>
      <w:pPr>
        <w:pStyle w:val="5"/>
        <w:spacing w:line="360" w:lineRule="auto"/>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说明：此品牌选择表仅作为投标方报价的参考，投标方可以提供不低于表格中品牌档次的其他品牌产品。所提供的所有设备材料品牌与型号，均需通过甲方同意。</w:t>
      </w:r>
    </w:p>
    <w:p>
      <w:pPr>
        <w:rPr>
          <w:rFonts w:ascii="宋体" w:hAnsi="宋体"/>
          <w:color w:val="auto"/>
          <w:highlight w:val="none"/>
        </w:rPr>
      </w:pPr>
    </w:p>
    <w:p>
      <w:pPr>
        <w:spacing w:line="360" w:lineRule="auto"/>
        <w:outlineLvl w:val="1"/>
        <w:rPr>
          <w:rFonts w:ascii="宋体" w:hAnsi="宋体"/>
          <w:color w:val="auto"/>
          <w:highlight w:val="none"/>
        </w:rPr>
      </w:pPr>
      <w:r>
        <w:rPr>
          <w:rFonts w:hint="eastAsia"/>
          <w:b/>
          <w:bCs/>
          <w:color w:val="auto"/>
          <w:sz w:val="28"/>
          <w:szCs w:val="28"/>
          <w:highlight w:val="none"/>
        </w:rPr>
        <w:t>第六节 图纸（另附）和材料设备清单</w:t>
      </w:r>
    </w:p>
    <w:tbl>
      <w:tblPr>
        <w:tblStyle w:val="27"/>
        <w:tblW w:w="18208" w:type="dxa"/>
        <w:tblInd w:w="93" w:type="dxa"/>
        <w:tblLayout w:type="fixed"/>
        <w:tblCellMar>
          <w:top w:w="0" w:type="dxa"/>
          <w:left w:w="108" w:type="dxa"/>
          <w:bottom w:w="0" w:type="dxa"/>
          <w:right w:w="108" w:type="dxa"/>
        </w:tblCellMar>
      </w:tblPr>
      <w:tblGrid>
        <w:gridCol w:w="9673"/>
        <w:gridCol w:w="8535"/>
      </w:tblGrid>
      <w:tr>
        <w:tblPrEx>
          <w:tblCellMar>
            <w:top w:w="0" w:type="dxa"/>
            <w:left w:w="108" w:type="dxa"/>
            <w:bottom w:w="0" w:type="dxa"/>
            <w:right w:w="108" w:type="dxa"/>
          </w:tblCellMar>
        </w:tblPrEx>
        <w:trPr>
          <w:trHeight w:val="9114" w:hRule="atLeast"/>
        </w:trPr>
        <w:tc>
          <w:tcPr>
            <w:tcW w:w="9673" w:type="dxa"/>
            <w:tcBorders>
              <w:top w:val="nil"/>
              <w:left w:val="nil"/>
              <w:bottom w:val="nil"/>
              <w:right w:val="nil"/>
            </w:tcBorders>
            <w:noWrap/>
            <w:vAlign w:val="center"/>
          </w:tcPr>
          <w:tbl>
            <w:tblPr>
              <w:tblStyle w:val="27"/>
              <w:tblW w:w="9124" w:type="dxa"/>
              <w:jc w:val="center"/>
              <w:tblLayout w:type="fixed"/>
              <w:tblCellMar>
                <w:top w:w="0" w:type="dxa"/>
                <w:left w:w="108" w:type="dxa"/>
                <w:bottom w:w="0" w:type="dxa"/>
                <w:right w:w="108" w:type="dxa"/>
              </w:tblCellMar>
            </w:tblPr>
            <w:tblGrid>
              <w:gridCol w:w="450"/>
              <w:gridCol w:w="789"/>
              <w:gridCol w:w="4357"/>
              <w:gridCol w:w="1073"/>
              <w:gridCol w:w="795"/>
              <w:gridCol w:w="1042"/>
              <w:gridCol w:w="618"/>
            </w:tblGrid>
            <w:tr>
              <w:tblPrEx>
                <w:tblCellMar>
                  <w:top w:w="0" w:type="dxa"/>
                  <w:left w:w="108" w:type="dxa"/>
                  <w:bottom w:w="0" w:type="dxa"/>
                  <w:right w:w="108" w:type="dxa"/>
                </w:tblCellMar>
              </w:tblPrEx>
              <w:trPr>
                <w:trHeight w:val="312" w:hRule="atLeast"/>
                <w:jc w:val="center"/>
              </w:trPr>
              <w:tc>
                <w:tcPr>
                  <w:tcW w:w="4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3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w:t>
                  </w:r>
                  <w:r>
                    <w:rPr>
                      <w:rFonts w:ascii="Arial Narrow" w:hAnsi="Arial Narrow" w:eastAsia="Arial Narrow" w:cs="Arial Narrow"/>
                      <w:b/>
                      <w:bCs/>
                      <w:color w:val="auto"/>
                      <w:sz w:val="20"/>
                      <w:szCs w:val="20"/>
                      <w:highlight w:val="none"/>
                      <w:lang w:bidi="ar"/>
                    </w:rPr>
                    <w:t>/</w:t>
                  </w:r>
                  <w:r>
                    <w:rPr>
                      <w:rFonts w:hint="eastAsia" w:ascii="宋体" w:hAnsi="宋体" w:cs="宋体"/>
                      <w:b/>
                      <w:bCs/>
                      <w:color w:val="auto"/>
                      <w:sz w:val="20"/>
                      <w:szCs w:val="20"/>
                      <w:highlight w:val="none"/>
                      <w:lang w:bidi="ar"/>
                    </w:rPr>
                    <w:t>型号</w:t>
                  </w:r>
                </w:p>
              </w:tc>
              <w:tc>
                <w:tcPr>
                  <w:tcW w:w="10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104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735" w:hRule="atLeast"/>
                <w:jc w:val="center"/>
              </w:trPr>
              <w:tc>
                <w:tcPr>
                  <w:tcW w:w="4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3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4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69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地面工程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卷材地板专用自流平</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1.名称:卷材地板专用自流平</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2.基层:涂刷界面剂一道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3.面层材料种类、厚度:卷材地板专用自流平3mm厚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4.工作内容:清理基层、刷界面剂、调自流平砂浆,铺砂浆,滚压地面。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4156.52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2mm厚的橡胶地材</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1.名称:2mm厚的橡胶地材</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2.面层材料:2mm厚防静电、防滑、防潮、防火、防霉耐磨、耐腐蚀、易清洗同质透心</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3.粘贴剂:2mm厚的橡胶地材专用粘贴剂</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4.工作内容:清理基层、弹线、涂刷粘结剂、贴面层、收口、净面。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诺拉、阿迪科、盟多</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780.33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同透PVC卷材地板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1.名称:同透PVC卷材地板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2.面层材料:2mm厚防滑、防静电、抗菌、防火、耐腐蚀、耐磨的橡胶卷材地板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3.粘贴剂:2mm厚的橡胶卷材</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4.工作内容:清理基层、弹线、涂刷粘结剂、贴面层、收口、净面。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3376.19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聚合物水泥基防水涂料</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1.名称:聚合物水泥基防水涂料</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2.涂膜厚度:2.0厚</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3.保护材料种类:20mm厚水泥砂浆保护层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4.反边高度:四周沿墙上翻300mm高</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5.工作内容:清理基层,调配及涂刷涂料；调运砂浆、抹平、压实。</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金雨伞、星月旺、禹王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74.26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地砖地面</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1.名称:地砖地面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2.结合层厚度、砂浆配合比:1:3干硬性水泥砂浆结合层40mm厚</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3.面层材料、规格:防滑地面砖300*300mm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4.嵌缝材料种类:专用瓷砖密封剂勾缝</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5.工作内容:清理基层、试排弹线、锯板修边、铺抹结合层、铺贴饰面、勾缝、清理净面。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马可波罗、亚细亚、东鹏、蒙娜丽莎</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74.26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Arial Narrow" w:hAnsi="Arial Narrow" w:eastAsia="宋体" w:cs="Arial Narrow"/>
                      <w:color w:val="auto"/>
                      <w:sz w:val="20"/>
                      <w:szCs w:val="20"/>
                      <w:highlight w:val="none"/>
                      <w:lang w:eastAsia="zh-CN"/>
                    </w:rPr>
                  </w:pPr>
                  <w:r>
                    <w:rPr>
                      <w:rFonts w:hint="eastAsia" w:ascii="Arial Narrow" w:hAnsi="Arial Narrow" w:cs="Arial Narrow"/>
                      <w:color w:val="auto"/>
                      <w:sz w:val="20"/>
                      <w:szCs w:val="20"/>
                      <w:highlight w:val="none"/>
                      <w:lang w:val="en-US" w:eastAsia="zh-CN"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卷材踢脚线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1.名称：PVC卷材踢脚线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2.规格：水泥造型R40，100mm高</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3.工作内容：清理基层、安装踢脚线</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273.30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eastAsia" w:ascii="Arial Narrow" w:hAnsi="Arial Narrow" w:eastAsia="宋体" w:cs="Arial Narrow"/>
                      <w:color w:val="auto"/>
                      <w:sz w:val="20"/>
                      <w:szCs w:val="20"/>
                      <w:highlight w:val="none"/>
                      <w:lang w:eastAsia="zh-CN"/>
                    </w:rPr>
                  </w:pPr>
                  <w:r>
                    <w:rPr>
                      <w:rFonts w:hint="eastAsia" w:ascii="Arial Narrow" w:hAnsi="Arial Narrow" w:cs="Arial Narrow"/>
                      <w:color w:val="auto"/>
                      <w:sz w:val="20"/>
                      <w:szCs w:val="20"/>
                      <w:highlight w:val="none"/>
                      <w:lang w:val="en-US" w:eastAsia="zh-CN"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石材零星项目</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1.名称：门槛石</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2.规格：20m厚人造石</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3.工作内容：调运砂浆、锯板磨边、镶贴石材等。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1.54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墙面工程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墙面轻钢龙骨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1.名称：墙面轻钢龙骨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2.规格：75型</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10419.76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9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纸面石膏板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1.名称：双层纸面石膏板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3.工作内容：清理基层、钉或铺贴基层。</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9498.43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5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墙面洁菌板（砖墙为基层）</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1.名称：墙面洁菌板（包含金属收边条）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2.规格：6mm厚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3.工作内容：清理基层、钉或铺贴面层；板缝采用抗菌防霉洁净专用密封胶处理,保证气密性、清理净面等。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富美家、森旺、威盛亚</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5792.21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墙面不锈钢板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1.名称：不锈钢板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3.工作内容：清理基层、钉或铺贴面层；专用粘结剂粘结于硅酸钙板背衬板，12mm石膏板作背板，同自攻螺丝固定到龙骨上，30*50方管龙骨等。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34.56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5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墙面抗菌涂料</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1.名称：墙面抗菌涂料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嘉宝莉、天天晴、厦光漆</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642.30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墙面方钢龙骨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1.名称：墙面方管龙骨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2.规格：30*50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2381.94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医疗电解钢板墙面</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1.名称：墙面医疗电解钢板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2.规格:1.2mm厚；工厂成品医用电解钢板(已采用高温高压进行喷涂抗菌漆）。</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3.工作内容：清理基层、采用专用干挂连接件固定于龙骨上，板缝采用抗菌防霉手术室专用耐候硅胶处理,保证气密性、清理净面等。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1294.42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1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手术室三方框</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1.名称:手术室三方框门套</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2.材质、规格:1.2mm厚医疗电解钢板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3.基层龙骨:50*30*1.2镀锌方管龙骨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4.工作内容：基层清理,定位,弹线,钻眼、安膨胀螺栓、安装龙骨；打胶、粘贴面层、清理净面等。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161.71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58"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医疗电解钢板成品过渡圆弧</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1.名称：医疗电解钢板过渡圆弧</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2.规格：R=300圆弧过渡,圆弧背贴30mm厚橡塑保温板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3.工作内容：定位、划线、成品焊接连接墙板、安装等。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753.25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医疗电解钢板三维节点</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1.名称：医疗电解钢板三维节点</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2.规格：R300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3.工作内容：定位、划线、安装三维节点、修整等。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85.00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墙面涂膜防水</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1.名称：墙面防水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2.规格：聚合物水泥基防水涂料1.5mm 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3.工作内容：清理基层,调配及涂刷涂料。</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金雨伞、星月旺、禹王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255.81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瓷砖墙面</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1.名称:瓷砖墙面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2.安装方式：3mm厚强力胶粉泥粘贴层，揉寄压实；素水泥浆一道；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3.面层材料、规格:墙面砖300*450mm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4.嵌缝材料种类:专用瓷砖密封剂勾缝</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5.工作内容:清理基层、试排弹线、锯板修边、铺抹结合层、铺贴饰面、勾缝、清理净面。</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马可波罗、亚细亚、东鹏、蒙娜丽莎</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255.81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岩棉彩钢板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1.名称：墙面双面玻镁岩棉彩钢板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2.规格：板厚50mm厚,面层钢板厚度0.5mm,内填岩棉100kg/m3，双面5mm玻镁面板（包含金属收边条）。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3.专用钢制天槽地槽固定;</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4.专用镀锌角钢支架与混凝土墙预埋钢板焊牢(或膨胀螺栓固定),固定天槽;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5.地槽与混凝土地面预埋钢板焊牢(或膨胀螺栓固定)。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6.工作内容：放料、下料,切割断料。开门窗洞口,周边塞口,清扫;弹线、安装。</w:t>
                  </w:r>
                </w:p>
              </w:tc>
              <w:tc>
                <w:tcPr>
                  <w:tcW w:w="1073" w:type="dxa"/>
                  <w:tcBorders>
                    <w:top w:val="nil"/>
                    <w:left w:val="nil"/>
                    <w:bottom w:val="nil"/>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294.58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隔音棉墙面</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1.名称：消音板墙面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2.工艺:隔音棉粘贴</w:t>
                  </w:r>
                </w:p>
              </w:tc>
              <w:tc>
                <w:tcPr>
                  <w:tcW w:w="1073" w:type="dxa"/>
                  <w:tcBorders>
                    <w:top w:val="single" w:color="000000" w:sz="4" w:space="0"/>
                    <w:left w:val="single" w:color="000000" w:sz="4" w:space="0"/>
                    <w:bottom w:val="single" w:color="000000" w:sz="4" w:space="0"/>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77.85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顶面工程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顶面轻钢龙骨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1.名称：顶面轻钢龙骨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2.规格：60系列吊顶轻钢龙骨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3181.37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7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纸面石膏板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1.名称：纸面石膏板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2.规格:9.5mm厚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3.工作内容：铺钉面层、钉压条、清理等。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3213.13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顶面洁菌板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1.名称：顶面洁菌板（包含金属收边条）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2.规格：6mm厚</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3.工作内容：清理基层、钉或铺贴面层；板缝采用抗菌防霉洁净专用耐候硅胶处理,保证气密性、清理净面等。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富美家、森旺、威盛亚</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2892.74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顶面方钢龙骨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1.名称：顶面方管龙骨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2.规格：30*50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3.工作内容：基层清理,定位,弹线,钻眼、安膨胀螺栓、安装龙骨。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776.83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吊顶天棚</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1.名称：顶面医用电解钢板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2.规格:1.2mm厚；工厂成品医用电解钢板(已采用高温高压进行喷涂抗菌漆）。</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3.工作内容：清理基层、采用专用干挂连接件固定于龙骨上，板缝采用抗菌防霉手术室专用耐候硅胶处理,保证气密性、清理净面等。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加工厂：浩东、智迪锐、铭铉</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776.83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1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顶面铝合金扣板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1.名称：顶面铝合金扣板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2.龙骨规格：专用龙骨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2.面层规格：600*600*0.8mm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3.工作内容：安装龙骨及横撑附件、加固支撑；安装天棚面层，房间板缝打胶封闭处理。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乐思龙、林德纳、阿姆斯壮</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74.31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顶面抗菌涂料</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1.名称：顶面抗菌涂料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华润、立邦、多乐士</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288.63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顶面医用手工双面玻镁岩棉彩钢板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1.名称：顶面双面玻镁岩棉彩钢板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2.规格：板厚50mm厚,面层钢板厚度0.5mm,内填岩棉100kg/m3,双面5mm玻镁面板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3.工作内容：放料、下料,切割断料。开门窗洞口,周边塞口,清扫;弹线、安装。</w:t>
                  </w:r>
                </w:p>
              </w:tc>
              <w:tc>
                <w:tcPr>
                  <w:tcW w:w="1073" w:type="dxa"/>
                  <w:tcBorders>
                    <w:top w:val="nil"/>
                    <w:left w:val="nil"/>
                    <w:bottom w:val="nil"/>
                    <w:right w:val="nil"/>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126.84 </w:t>
                  </w:r>
                </w:p>
              </w:tc>
              <w:tc>
                <w:tcPr>
                  <w:tcW w:w="61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门窗工程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1.名称：辅房单开手推门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2.代号：DT4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3.规格：1000*2200mm单开,铝合金门框，观察窗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29.00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1.名称：辅房单开手推门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2.代号：PT4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3.规格：1000*2200mm单开,铝合金门框，观察窗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1.名称：辅房单开手推门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2.代号：M0924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3.规格：900*2400mm单开,铝合金门框，观察窗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1.名称：辅房单开手推门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2.代号：M1024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3.规格：1000*2400mm单开,铝合金门框，观察窗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19.00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辅房单开手推门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1.名称：辅房单开手推门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2.代号：M1324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3.规格：1300*2400mm双开,铝合金门框，观察窗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辅房双开手推门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1.名称：辅房单开手推门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2.代号：M1524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3.规格：1500*2400mm双开,铝合金门框，观察窗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辅房双开手推门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1.名称：辅房单开手推门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2.代号：M1824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3.规格：1800*2400mm双开,铝合金门框，观察窗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辅房推拉门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1.名称：辅房推拉门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2.代号：TLM0924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3.规格：900*2400mm单开,铝合金门框，观察窗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辅房双开手推门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1.名称：辅房双开手推门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2.代号：DT8</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3.规格：1500*2200mm双开,铝合金门框，观察窗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10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辅房彩钢板门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1.名称：辅房彩钢板门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2.代号：CGBM4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3.规格：1000*2200mm单开,观察窗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4.工作内容：校正框扇,安装观察窗,装配五金,焊接、框周边塞缝等。要求详见招标文件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欧尼克、格满林、德科</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8.00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11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辅房外挂感应门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1.名称：辅房外挂感应门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2.代号：WAT5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3.规格：1500*2200mm单开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5.工作内容：安装门框、门扇、校正、安装锚固件、刷防腐油、安装自动感应装置、安装五金配件、周边塞缝、清扫、调试等要求详见招标文件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电动装置：松下、欧尼克、纳博克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12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手术室感应门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1.名称：手术室感应门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2.代号：AT6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3.规格：1600*2200mm单开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4.工作内容：安装门框、门扇、校正、安装锚固件、刷防腐油、安装自动感应装置、安装五金配件、周边塞缝、清扫、调试等要求详见招标文件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电动装置：松下、欧尼克、纳博克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7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13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辅房外挂感应门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1.名称：辅房外挂感应门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2.代号：WAT6</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3.规格：1600*2200mm单开（DTM1622)</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5.工作内容：安装门框、门扇、校正、安装锚固件、刷防腐油、安装自动感应装置、安装五金配件、周边塞缝、清扫、调试等要求详见招标文件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电动装置：松下、欧尼克、纳博克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68"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rPr>
                  </w:pPr>
                  <w:r>
                    <w:rPr>
                      <w:rFonts w:hint="default" w:ascii="Arial Narrow" w:hAnsi="Arial Narrow" w:eastAsia="Arial Narrow" w:cs="Arial Narrow"/>
                      <w:i w:val="0"/>
                      <w:iCs w:val="0"/>
                      <w:color w:val="auto"/>
                      <w:kern w:val="0"/>
                      <w:sz w:val="20"/>
                      <w:szCs w:val="20"/>
                      <w:highlight w:val="none"/>
                      <w:u w:val="none"/>
                      <w:lang w:val="en-US" w:eastAsia="zh-CN" w:bidi="ar"/>
                    </w:rPr>
                    <w:t>14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手术室感应门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1.名称：手术室感应门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2.代号：AT1/AT1X</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3.规格：1000*2200mm单开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4.工作内容：安装门框、门扇、校正、安装锚固件、刷防腐油、安装自动感应装置、安装五金配件、周边塞缝、清扫、调试等要求详见招标文件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电动装置：松下、欧尼克、纳博克</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17.00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1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15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不锈钢检修门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1.名称：不锈钢检修门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3.规格：400mm(宽)单开,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4.工作内容：安装门扇、校正、安装锚固件、刷防腐油、安装五金配件、周边塞缝、清扫、调试等要求详见招标文件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欧尼克、华翱、亚泰</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10.00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57"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16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彩钢板窗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1.名称：彩钢板窗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3.规格：5900*1200mm，8mm厚钢化玻璃，窗套1.2mm厚不锈钢板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9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17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传递窗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1.名称：传递窗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3.规格：600*1500mm，8mm厚钢化玻璃，窗套1.2mm厚不锈钢板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18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传递窗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1.名称：传递窗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2.代号：C1715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3.规格：600*1500mm，8mm厚钢化玻璃，窗套1.2mm厚不锈钢板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82"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19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监护窗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1.名称：监护窗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3.规格：2400*1200mm，8mm厚钢化玻璃，窗套1.2mm厚不锈钢板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12.00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监护窗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1.名称：监护窗</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2.代号：C2515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3.规格：2500*1500mm，8mm厚钢化玻璃，窗套1.2mm厚不锈钢板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4.工作内容：定位、划线、吊正、找平、安装、框周边塞缝等。要求详见招标文件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传递箱</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1.名称：传递箱</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2.规格：单个,600*600*600mm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2、机械互锁;</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3、带紫外线杀菌灯;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4、箱体为1.2mm304不锈钢,门板为1.0mm304不锈钢,内胆为1.0mm201不锈钢;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5、观察窗采用4mm厚钢化玻璃,尺寸为270*270mm;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6.工作内容：测量,成品定制、装配、五金件安装、表面清理。</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32.00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3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2.代号：FM甲1524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3.规格：1500*2400双开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3.00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7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2.代号：FM乙1524/1524a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3.规格：1500*2400双开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22.00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8"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2.代号：FM乙1524（1524）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3.规格：1500*2400双开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2.代号：FM甲1124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3.规格：1100*2400单开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8.00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13"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2.代号：FM乙1124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3.规格：1100*2400单开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24.00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13"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2.代号：FM丙0623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3.规格：600*2300单开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22"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2.代号：FM甲0620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3.规格：600*2000单开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29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2.代号：FM甲1323</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3.规格：1300*2300双开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9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Narrow" w:hAnsi="Arial Narrow" w:eastAsia="Arial Narrow" w:cs="Arial Narrow"/>
                      <w:color w:val="auto"/>
                      <w:sz w:val="20"/>
                      <w:szCs w:val="20"/>
                      <w:highlight w:val="none"/>
                      <w:lang w:bidi="ar"/>
                    </w:rPr>
                  </w:pPr>
                  <w:r>
                    <w:rPr>
                      <w:rFonts w:hint="default" w:ascii="Arial Narrow" w:hAnsi="Arial Narrow" w:eastAsia="Arial Narrow" w:cs="Arial Narrow"/>
                      <w:i w:val="0"/>
                      <w:iCs w:val="0"/>
                      <w:color w:val="auto"/>
                      <w:kern w:val="0"/>
                      <w:sz w:val="20"/>
                      <w:szCs w:val="20"/>
                      <w:highlight w:val="none"/>
                      <w:u w:val="none"/>
                      <w:lang w:val="en-US" w:eastAsia="zh-CN" w:bidi="ar"/>
                    </w:rPr>
                    <w:t>30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防火门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1.名称：防火门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2.代号：FM乙1324</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3.规格：1300*2400双开</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4.安装门框安装门框、门扇、校正、安装锚固件、刷防腐油等要求详见招标文件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樘</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color w:val="auto"/>
                      <w:sz w:val="20"/>
                      <w:szCs w:val="20"/>
                      <w:highlight w:val="none"/>
                      <w:lang w:bidi="ar"/>
                    </w:rPr>
                  </w:pPr>
                  <w:r>
                    <w:rPr>
                      <w:rFonts w:hint="eastAsia" w:ascii="宋体" w:hAnsi="宋体" w:eastAsia="宋体" w:cs="宋体"/>
                      <w:i w:val="0"/>
                      <w:iCs w:val="0"/>
                      <w:color w:val="auto"/>
                      <w:kern w:val="0"/>
                      <w:sz w:val="20"/>
                      <w:szCs w:val="20"/>
                      <w:highlight w:val="none"/>
                      <w:u w:val="none"/>
                      <w:lang w:val="en-US" w:eastAsia="zh-CN" w:bidi="ar"/>
                    </w:rPr>
                    <w:t xml:space="preserve">5.00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五</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其它 </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窗台板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1.名称：窗台板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2.规格：1.2mm电解钢板饰面，木芯板打底。</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m2</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35.54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0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窗帘盒</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1.名称：窗帘盒</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2.规格：18mm木芯板基层，木芯板刷防火涂料，洁菌板饰面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3.工作内容：定位、划线、选料、木龙骨制作安装、刷防腐油,下料、裁板、钉贴板、修边等。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100.80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墙体阳角</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1.名称：墙体阳角</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2.规格：90°不锈钢折角</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3.工作内容：定位、划线、下料、刷胶、安装等。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357.40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彩钢板金属收边条</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1.名称：彩钢板金属收边条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2.规格：R50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3.工作内容：定位、划线、下料、刷胶、安装等。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114.40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不锈钢防撞带</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1.名称：不锈钢防撞带</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2.规格：200mm高1.2mm厚304不锈钢防撞带</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3.工作内容：定位、划线、下料、刷胶、安装等。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528.50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吊顶反支撑</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螺纹杆件φ8</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T</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8.31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1"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金属压条</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成品踢脚线压条</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m</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2733.03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六</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r>
                    <w:rPr>
                      <w:rFonts w:hint="eastAsia" w:ascii="宋体" w:hAnsi="宋体" w:cs="宋体"/>
                      <w:b/>
                      <w:bCs/>
                      <w:color w:val="auto"/>
                      <w:sz w:val="20"/>
                      <w:szCs w:val="20"/>
                      <w:highlight w:val="none"/>
                      <w:lang w:bidi="ar"/>
                    </w:rPr>
                    <w:t xml:space="preserve"> 手术室基本器具 </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Arial Narrow" w:hAnsi="Arial Narrow" w:eastAsia="Arial Narrow" w:cs="Arial Narrow"/>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医用不锈钢药品柜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1.名称：医用不锈钢药品柜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2.规格：1、门板喷涂,1200*1700*400mm,上部玻璃平开门,下部不锈钢平开门,中间两抽屉。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2、嵌入式安装,翻边20mm。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6、内本体:1.0厚201不锈钢制镜面板制,内置三层8MM钢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化玻璃托架,上下可调,。</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7、中间两抽屉(采用阻尼缓冲导轨),带锁。</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医用不锈钢麻醉柜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1.名称：医用不锈钢麻醉柜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2.规格：1、门板喷涂,1200*1700*400mm,上部玻璃平开门,下部不锈钢平开门。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2、嵌入式安装,翻边20mm。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6、内本体:1.0厚201不锈钢制镜面板制,内置三层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8MM钢化玻璃托架,上下可调。</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医用不锈钢器械柜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1.名称：医用不锈钢器械柜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2.规格：1、门板喷涂,1200*1700*400mm,上部玻璃平开门,下部不锈钢平开门。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2、嵌入式安装,翻边20mm。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3、上部门:4mm厚钢化玻璃1.2厚304不锈钢包边外开门,带锁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4、下部门:1.0厚304双层不锈钢外开门,带锁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5、外框:1.2厚304不锈钢拉丝板制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6、内本体:1.0厚201不锈钢制镜面板制,内置三层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8MM钢化玻璃托架,上下可调。</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医用不锈钢导管柜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1.名称：医用不锈钢导管柜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2.规格：1、表面喷涂,1200*1700*400mm,内本体1.0厚201不锈钢制镜面板制，配挂钩。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2、嵌入式安装,翻边20mm。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3、外框:1.2厚304不锈钢拉丝板制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4、内本体:1.0厚201不锈钢制镜面板制</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8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医用四联观片灯</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1.名称：医用四联观片灯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2.规格：①光源类型:四联LED</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②材质及安装方式:1.2厚304不锈钢拉丝板制,嵌入安装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③观察屏幕要求:亮度:≥3000(cd/m2)、色温≥6500K/可按照厂家推荐满足规上述参数即可,均匀度&gt;0.7、散射系数&gt;0.9</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④供电要求:通电10s内发光、无闪烁、无异响、无延迟现象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⑤外形尺寸:1197*552*50mm,开孔尺寸:1200*555mm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⑥显示区域范围尺寸:1072*422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⑦调光方式及范围:按键调光 ,0-100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⑦板材的材质:亚克力面板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⑨安装方式:嵌入式,翻边20mm厚</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智迪瑞、铭铉、浩东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医用六联观片灯</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1.名称：医用六联观片灯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2.规格：①光源类型:六联LED</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②材质及安装方式:1.2厚304不锈钢拉丝板制,嵌入安装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③观察屏幕要求:亮度:≥3000(cd/m2)、色温≥6500K/可按照厂家推荐满足规上述参数即可,均匀度&gt;0.7、散射系数&gt;0.9</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④供电要求:通电10s内发光、无闪烁、无异响、无延迟现象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⑤外形尺寸:1197*1047*50mm,开孔尺寸:1200*1050mm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⑥显示区域范围尺寸:1072*422(上下两层)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⑦调光方式及范围:按键调光 ,0-100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⑧板材的材质:亚克力面板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⑨安装方式:嵌入式,翻边20mm厚</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智迪瑞、铭铉、浩东</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医用电源插座箱</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1.名称：医用电源插座箱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2.规格：①整体喷涂,1200*250*120mm,4个220V10A插座,带底盒及面盖;2个接地端子,1个六类网络插孔。</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②嵌入式安装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③面框1.2厚304不锈钢拉丝板制,箱体1.0厚冷板粉末喷涂,翻边20mm。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医用电源插座箱 ( 带 380V)</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1.名称：医用电源插座箱 ( 带 380V)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2.规格：①整体喷涂,1200*250*120mm,1个三相380V16A插座,3个220V10A插座,带底盒及面盖;2个接地端子,1个六类网络插孔。</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②嵌入式安装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③面框1.2厚304不锈钢拉丝板制,箱体1.0厚冷板粉末喷涂,翻边20mm。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中央控制面板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1.名称：中央控制面板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2.规格：①整体喷涂(含书写台)1200*1000*200mm②嵌入式安装,上部用于安装控制屏,下部写字板,写字板下翻式开门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③配缓冲吊杆,自动照明灯,面框1.2厚304不锈钢拉丝板制,箱体1.0厚冷板粉末静电喷涂。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3.功能：①手术计时（启停、模式更换、复位）</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②北京时间（时间调整、设置）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③麻醉计时（启停、模式更换、复位）</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④医疗气体报警系统（氧气、压缩空气、真空吸引、笑气、氮气、二氧化碳、氩气正等气体的正常指示、欠压、超压报警指示）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⑤空调系统空调启停、温度显示调节0~50℃、湿度显示调节0-100%、值班工况、负压工况、过滤器堵塞报警，系统运行及故障显示）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⑥控制部分（照明2组、无影灯1组、观片灯1组、废气排放开关1组、备用）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⑦电话呼叫（电话对讲、背景音乐广播音量控制）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⑧通讯协议：RS485 9、工作电压：220V 50HZ</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39"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10</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记录板</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含光源等,安装</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医用保温柜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1.名称：医用保温柜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2.规格：1200*1700*400mm（尺寸参嵌入式导管柜）；温控范围：0-100℃（每度可调）； 有效容积：150L</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3.支架：角钢支架固定</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福意联、松下、海尔</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医用保冷柜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1.名称：医用保冷柜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2.规格：480*470*840mm； 温控范围：2-8℃（每度可调）； 有效容积：88L</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3.支架：角钢支架固定</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福意联、松下、海尔</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气体面板箱</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1.名称：气体面板箱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2.规格：①整体喷涂,1200*400*150mm。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②嵌入式安装,翻边20mm。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③面框1.2厚304不锈板制,箱体1.0厚冷板粉末静电喷涂,不含气体终端,带检修门。</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微压计</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1.名称:微压计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无影灯锚栓</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1.名称:无影灯锚栓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2.施工工艺:M12膨胀螺栓固定顶面钢板；两根L50角钢固定于结构顶面；四根L50角钢与顶面角钢满焊；斜拉L40角钢固定于顶面。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3.工作内容:施工准备,场内运输、定位划线、组对点焊、焊接。</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座</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吊塔锚栓</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1.名称:吊塔锚栓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2.施工工艺:M14膨胀螺栓固定顶面钢板；两根L50角钢固定于结构顶面；四根L50角钢与顶面角钢满焊；斜拉L40角钢固定于顶面。</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3.工作内容:施工准备,场内运输、定位划线、组对点焊、焊接。</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座</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输液导轨</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1.名称:输液导轨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2.规格:直线型输液导轨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3.备注：2.6米长，可以上下移动，吸顶式，两条轨道间距1.2m（含吊钩4个）</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4.工作内容:钻孔、加楔、拧螺钉、固定、清理等。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18</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医用隔帘</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1.名称:医用隔帘</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2.规格:医用隔离导轨及隔帘</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3.备注：5.5米长，2.5m高隔帘，吸顶式</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4.工作内容:钻孔、加楔、拧螺钉、固定、清理等。</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19</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嵌入式冰箱</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符合设计要求</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七</w:t>
                  </w: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CSSD消毒供应中心不锈钢医用制品</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去 污 区</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手工清洗槽组</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1.尺寸：5400×690×850/2040mm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2.规格：五槽+超声（柜体整体喷涂）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3.台面及槽体均为模压一次成型，为满足各种型号清洗网篮的放置，槽体需要满足600×500×280mm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4.为保证清洗剂长期浸泡使用不生锈，槽体材质为SUS316不锈钢（需提供有资质的第三方检测报告）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5.槽体内需要有激光打印刻度以方便浸泡器械使用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6.水槽台面压花不锈钢板、含背板、LED灯、无极升降PC罩、微量水龙头、浸泡槽阀门装置（电动、手势控制、非接触式）、触摸式倒计时、水枪安装孔、气枪安装孔、洗眼器。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7.工艺：台面为模压双层复合成型内凹式（防止水流出）；四门为双层复合无缝焊接；水槽体为模压一次成形；槽体配激光刻度。</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8.材质：国标SUS304不锈钢（并符合GB/T 3280-2007的要求，镍金属含量不低于8%）槽体SUS316(镍金属含量不低于10%）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9.主材规格：主板材厚度≥1.2mm，其余板材厚度≥1.0mm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10、柜体整体喷涂：提供13种色系选择。</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5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硬镜器械清洗槽组</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1.尺寸：5400×690×850/2040mm</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2.规格：五槽+超声（柜体整体喷涂）</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3.台面及槽体均为模压一次成型，为满足各种型号清洗网篮的放置，槽体需要满足600×500×280mm</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4.为保证清洗剂长期浸泡使用不生锈，槽体材质为SUS316不锈钢（需提供有资质的第三方检测报告）</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5.槽体内需要有激光打印刻度以方便浸泡器械使用</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6.水槽台面压花不锈钢板、含背板、LED灯、无极升降PC罩、微量水龙头、浸泡槽阀门装置（电动、手势控制、非接触式）、触摸式倒计时、水枪安装孔、气枪安装孔、洗眼器。</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7.工艺：台面为模压双层复合成型内凹式（防止水流出）；四门为双层复合无缝焊接；水槽体为模压一次成形；槽体配激光刻度。</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8.材质：国标SUS304不锈钢（并符合GB/T 3280-2007的要求，镍金属含量不低于8%）槽体SUS316(镍金属含量不低于10%）</w:t>
                  </w:r>
                </w:p>
                <w:p>
                  <w:pPr>
                    <w:widowControl/>
                    <w:spacing w:line="240" w:lineRule="exact"/>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9.主材规格：主板材厚度≥1.2mm，其余板材厚度≥1.0mm</w:t>
                  </w:r>
                </w:p>
                <w:p>
                  <w:pPr>
                    <w:widowControl/>
                    <w:spacing w:line="240" w:lineRule="exact"/>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10、柜体整体喷涂：提供13种色系选择。</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32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硬镜器械清洗槽组</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1.尺寸：7200×690×850/2040mm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2.规格：五槽+超声（柜体整体喷涂）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3.台面及槽体均为模压一次成型，为满足各种型号清洗网篮的放置，槽体需要满足600×500×280mm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4.为保证清洗剂长期浸泡使用不生锈，槽体材质为SUS316不锈钢（需提供有资质的第三方检测报告）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5.槽体内需要有激光打印刻度以方便浸泡器械使用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6.水槽台面压花不锈钢板、含背板、LED灯、无极升降PC罩、微量水龙头、浸泡槽阀门装置（电动、手势控制、非接触式）、触摸式倒计时、水枪安装孔、气枪安装孔、洗眼器。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7.工艺：台面为模压双层复合成型内凹式（防止水流出）；四门为双层复合无缝焊接；水槽体为模压一次成形；槽体配激光刻度。</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8.材质：国标SUS304不锈钢（并符合GB/T 3280-2007的要求，镍金属含量不低于8%）槽体SUS316(镍金属含量不低于10%）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9.主材规格：主板材厚度≥1.2mm，其余板材厚度≥1.0mm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10、柜体整体喷涂：提供13种色系选择。</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1.尺寸：1000×600×800/2200mm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2.规格：上部双向无级升降、下部柜体单面带门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b/>
                      <w:bCs/>
                      <w:color w:val="auto"/>
                      <w:sz w:val="20"/>
                      <w:szCs w:val="20"/>
                      <w:highlight w:val="none"/>
                      <w:lang w:bidi="ar"/>
                    </w:rPr>
                    <w:t>检查包装及灭菌区</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传递窗</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1.尺寸：900×120×1400mm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2.规格：上部双向无级升降</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1.尺寸：1000×600×800/2200mm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2.规格：上部双向无级升降、下部柜体单面带门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无菌物品存放区</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传递柜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1.尺寸：1000×600×800/2200mm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2.规格：上部双向无级升降、下部柜体单面带门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8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互锁双通柜</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1.尺寸：600×600×600mm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2.规格：单门互锁、滚轴式机械互锁机构</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4.材质：国标SUS304不锈钢（并符合GB/T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5.主材规格：封板、外框板材厚度≥1.2mm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其 它 区 域</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3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不锈钢洗手设施</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1.尺寸：600×550×850/1050mm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2.规格：模压一次性成型不锈钢压花板台面、单槽、感应与膝控双模式控制出水、交直流通用、内配水温混水阀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3.工艺：门为双层复合式无缝焊接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4.材质：06Cr19Ni10标号的不锈钢（并符合GB/T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5.主材规格：板材厚度≥1.0mm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6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拖把池</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1.尺寸：800×450×500mm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2.规格：双层复合制作工艺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3.材质：06Cr19Ni10标号的不锈钢（并符合GB/T 3280-2007的要求，镍金属含量不低于8%）</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4.主材规格：板材厚度≥1.0mm</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40"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拖把架</w:t>
                  </w:r>
                </w:p>
              </w:tc>
              <w:tc>
                <w:tcPr>
                  <w:tcW w:w="43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1.尺寸：1000×400×1600mm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2.规格：移动式,带接水功能，可挂5-10只拖把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3.工艺：管材电抛光处理，质感更强，更防腐</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4.材质：06Cr19Ni10标号的不锈钢（并符合GB/T 3280-2007的要求，镍金属含量不低于8%）</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5.主材规格：板材厚度≥1.0mm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6.万向轮：φ75全ABS外罩双轴承，轮面 pu材质，防锈防卷发静音万向轮</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104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85" w:hRule="atLeast"/>
                <w:jc w:val="center"/>
              </w:trPr>
              <w:tc>
                <w:tcPr>
                  <w:tcW w:w="4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4"/>
                      <w:szCs w:val="24"/>
                      <w:highlight w:val="none"/>
                    </w:rPr>
                  </w:pPr>
                </w:p>
              </w:tc>
              <w:tc>
                <w:tcPr>
                  <w:tcW w:w="51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0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4"/>
                      <w:szCs w:val="24"/>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4"/>
                      <w:szCs w:val="24"/>
                      <w:highlight w:val="none"/>
                    </w:rPr>
                  </w:pPr>
                </w:p>
              </w:tc>
              <w:tc>
                <w:tcPr>
                  <w:tcW w:w="1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4"/>
                      <w:szCs w:val="24"/>
                      <w:highlight w:val="none"/>
                    </w:rPr>
                  </w:pPr>
                </w:p>
              </w:tc>
              <w:tc>
                <w:tcPr>
                  <w:tcW w:w="6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4"/>
                      <w:szCs w:val="24"/>
                      <w:highlight w:val="none"/>
                    </w:rPr>
                  </w:pPr>
                </w:p>
              </w:tc>
            </w:tr>
          </w:tbl>
          <w:p>
            <w:pPr>
              <w:pStyle w:val="10"/>
              <w:rPr>
                <w:color w:val="auto"/>
                <w:highlight w:val="none"/>
              </w:rPr>
            </w:pPr>
          </w:p>
        </w:tc>
        <w:tc>
          <w:tcPr>
            <w:tcW w:w="8535" w:type="dxa"/>
            <w:tcBorders>
              <w:top w:val="nil"/>
              <w:left w:val="nil"/>
              <w:bottom w:val="nil"/>
              <w:right w:val="nil"/>
            </w:tcBorders>
            <w:noWrap/>
            <w:vAlign w:val="center"/>
          </w:tcPr>
          <w:p>
            <w:pPr>
              <w:pStyle w:val="10"/>
              <w:rPr>
                <w:color w:val="auto"/>
                <w:highlight w:val="none"/>
              </w:rPr>
            </w:pPr>
          </w:p>
        </w:tc>
      </w:tr>
    </w:tbl>
    <w:p>
      <w:pPr>
        <w:rPr>
          <w:rFonts w:ascii="宋体" w:hAnsi="宋体"/>
          <w:color w:val="auto"/>
          <w:highlight w:val="none"/>
        </w:rPr>
      </w:pPr>
    </w:p>
    <w:p>
      <w:pPr>
        <w:pStyle w:val="26"/>
        <w:rPr>
          <w:rFonts w:ascii="宋体" w:hAnsi="宋体"/>
          <w:color w:val="auto"/>
          <w:highlight w:val="none"/>
        </w:rPr>
      </w:pPr>
    </w:p>
    <w:p>
      <w:pPr>
        <w:rPr>
          <w:rFonts w:ascii="宋体" w:hAnsi="宋体"/>
          <w:color w:val="auto"/>
          <w:highlight w:val="none"/>
        </w:rPr>
      </w:pPr>
    </w:p>
    <w:p>
      <w:pPr>
        <w:pStyle w:val="26"/>
        <w:rPr>
          <w:rFonts w:ascii="宋体" w:hAnsi="宋体"/>
          <w:color w:val="auto"/>
          <w:highlight w:val="none"/>
        </w:rPr>
      </w:pPr>
    </w:p>
    <w:p>
      <w:pPr>
        <w:rPr>
          <w:rFonts w:ascii="宋体" w:hAnsi="宋体"/>
          <w:color w:val="auto"/>
          <w:highlight w:val="none"/>
        </w:rPr>
      </w:pPr>
    </w:p>
    <w:p>
      <w:pPr>
        <w:pStyle w:val="26"/>
        <w:rPr>
          <w:rFonts w:ascii="宋体" w:hAnsi="宋体"/>
          <w:color w:val="auto"/>
          <w:highlight w:val="none"/>
        </w:rPr>
      </w:pPr>
    </w:p>
    <w:p>
      <w:pPr>
        <w:rPr>
          <w:rFonts w:ascii="宋体" w:hAnsi="宋体"/>
          <w:color w:val="auto"/>
          <w:highlight w:val="none"/>
        </w:rPr>
      </w:pPr>
    </w:p>
    <w:p>
      <w:pPr>
        <w:pStyle w:val="26"/>
        <w:rPr>
          <w:rFonts w:ascii="宋体" w:hAnsi="宋体"/>
          <w:color w:val="auto"/>
          <w:highlight w:val="none"/>
        </w:rPr>
      </w:pPr>
    </w:p>
    <w:p>
      <w:pPr>
        <w:rPr>
          <w:rFonts w:ascii="宋体" w:hAnsi="宋体"/>
          <w:color w:val="auto"/>
          <w:highlight w:val="none"/>
        </w:rPr>
      </w:pPr>
    </w:p>
    <w:p>
      <w:pPr>
        <w:pStyle w:val="26"/>
        <w:rPr>
          <w:rFonts w:ascii="宋体" w:hAnsi="宋体"/>
          <w:color w:val="auto"/>
          <w:highlight w:val="none"/>
        </w:rPr>
      </w:pPr>
    </w:p>
    <w:p>
      <w:pPr>
        <w:rPr>
          <w:rFonts w:ascii="宋体" w:hAnsi="宋体"/>
          <w:color w:val="auto"/>
          <w:highlight w:val="none"/>
        </w:rPr>
      </w:pPr>
    </w:p>
    <w:p>
      <w:pPr>
        <w:pStyle w:val="26"/>
        <w:rPr>
          <w:rFonts w:ascii="宋体" w:hAnsi="宋体"/>
          <w:color w:val="auto"/>
          <w:highlight w:val="none"/>
        </w:rPr>
      </w:pPr>
    </w:p>
    <w:p>
      <w:pPr>
        <w:pStyle w:val="26"/>
        <w:ind w:firstLine="0" w:firstLineChars="0"/>
        <w:rPr>
          <w:color w:val="auto"/>
          <w:highlight w:val="none"/>
        </w:rPr>
      </w:pPr>
    </w:p>
    <w:tbl>
      <w:tblPr>
        <w:tblStyle w:val="27"/>
        <w:tblW w:w="9613" w:type="dxa"/>
        <w:tblInd w:w="93" w:type="dxa"/>
        <w:tblLayout w:type="fixed"/>
        <w:tblCellMar>
          <w:top w:w="0" w:type="dxa"/>
          <w:left w:w="108" w:type="dxa"/>
          <w:bottom w:w="0" w:type="dxa"/>
          <w:right w:w="108" w:type="dxa"/>
        </w:tblCellMar>
      </w:tblPr>
      <w:tblGrid>
        <w:gridCol w:w="9613"/>
      </w:tblGrid>
      <w:tr>
        <w:tblPrEx>
          <w:tblCellMar>
            <w:top w:w="0" w:type="dxa"/>
            <w:left w:w="108" w:type="dxa"/>
            <w:bottom w:w="0" w:type="dxa"/>
            <w:right w:w="108" w:type="dxa"/>
          </w:tblCellMar>
        </w:tblPrEx>
        <w:trPr>
          <w:trHeight w:val="672" w:hRule="atLeast"/>
        </w:trPr>
        <w:tc>
          <w:tcPr>
            <w:tcW w:w="9613" w:type="dxa"/>
            <w:tcBorders>
              <w:top w:val="nil"/>
              <w:left w:val="nil"/>
              <w:bottom w:val="nil"/>
              <w:right w:val="nil"/>
            </w:tcBorders>
            <w:vAlign w:val="center"/>
          </w:tcPr>
          <w:p>
            <w:pPr>
              <w:rPr>
                <w:color w:val="auto"/>
                <w:highlight w:val="none"/>
              </w:rPr>
            </w:pPr>
          </w:p>
          <w:p>
            <w:pPr>
              <w:rPr>
                <w:vanish/>
                <w:color w:val="auto"/>
                <w:highlight w:val="none"/>
              </w:rPr>
            </w:pPr>
          </w:p>
          <w:tbl>
            <w:tblPr>
              <w:tblStyle w:val="27"/>
              <w:tblW w:w="8793" w:type="dxa"/>
              <w:tblInd w:w="93" w:type="dxa"/>
              <w:tblLayout w:type="fixed"/>
              <w:tblCellMar>
                <w:top w:w="0" w:type="dxa"/>
                <w:left w:w="108" w:type="dxa"/>
                <w:bottom w:w="0" w:type="dxa"/>
                <w:right w:w="108" w:type="dxa"/>
              </w:tblCellMar>
            </w:tblPr>
            <w:tblGrid>
              <w:gridCol w:w="8793"/>
            </w:tblGrid>
            <w:tr>
              <w:tblPrEx>
                <w:tblCellMar>
                  <w:top w:w="0" w:type="dxa"/>
                  <w:left w:w="108" w:type="dxa"/>
                  <w:bottom w:w="0" w:type="dxa"/>
                  <w:right w:w="108" w:type="dxa"/>
                </w:tblCellMar>
              </w:tblPrEx>
              <w:trPr>
                <w:trHeight w:val="405" w:hRule="atLeast"/>
              </w:trPr>
              <w:tc>
                <w:tcPr>
                  <w:tcW w:w="8793" w:type="dxa"/>
                  <w:tcBorders>
                    <w:top w:val="nil"/>
                    <w:left w:val="nil"/>
                    <w:bottom w:val="nil"/>
                    <w:right w:val="nil"/>
                  </w:tcBorders>
                  <w:vAlign w:val="center"/>
                </w:tcPr>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空调专项工程清单</w:t>
                  </w:r>
                </w:p>
              </w:tc>
            </w:tr>
          </w:tbl>
          <w:p>
            <w:pPr>
              <w:pStyle w:val="10"/>
              <w:rPr>
                <w:color w:val="auto"/>
                <w:highlight w:val="none"/>
              </w:rPr>
            </w:pPr>
          </w:p>
        </w:tc>
      </w:tr>
      <w:tr>
        <w:tblPrEx>
          <w:tblCellMar>
            <w:top w:w="0" w:type="dxa"/>
            <w:left w:w="108" w:type="dxa"/>
            <w:bottom w:w="0" w:type="dxa"/>
            <w:right w:w="108" w:type="dxa"/>
          </w:tblCellMar>
        </w:tblPrEx>
        <w:trPr>
          <w:trHeight w:val="435" w:hRule="atLeast"/>
        </w:trPr>
        <w:tc>
          <w:tcPr>
            <w:tcW w:w="9613" w:type="dxa"/>
            <w:tcBorders>
              <w:top w:val="nil"/>
              <w:left w:val="nil"/>
              <w:bottom w:val="nil"/>
              <w:right w:val="nil"/>
            </w:tcBorders>
            <w:vAlign w:val="center"/>
          </w:tcPr>
          <w:tbl>
            <w:tblPr>
              <w:tblStyle w:val="27"/>
              <w:tblW w:w="9369" w:type="dxa"/>
              <w:jc w:val="center"/>
              <w:tblLayout w:type="fixed"/>
              <w:tblCellMar>
                <w:top w:w="0" w:type="dxa"/>
                <w:left w:w="108" w:type="dxa"/>
                <w:bottom w:w="0" w:type="dxa"/>
                <w:right w:w="108" w:type="dxa"/>
              </w:tblCellMar>
            </w:tblPr>
            <w:tblGrid>
              <w:gridCol w:w="390"/>
              <w:gridCol w:w="915"/>
              <w:gridCol w:w="4799"/>
              <w:gridCol w:w="1055"/>
              <w:gridCol w:w="625"/>
              <w:gridCol w:w="949"/>
              <w:gridCol w:w="636"/>
            </w:tblGrid>
            <w:tr>
              <w:tblPrEx>
                <w:tblCellMar>
                  <w:top w:w="0" w:type="dxa"/>
                  <w:left w:w="108" w:type="dxa"/>
                  <w:bottom w:w="0" w:type="dxa"/>
                  <w:right w:w="108" w:type="dxa"/>
                </w:tblCellMar>
              </w:tblPrEx>
              <w:trPr>
                <w:trHeight w:val="342" w:hRule="atLeast"/>
                <w:jc w:val="center"/>
              </w:trPr>
              <w:tc>
                <w:tcPr>
                  <w:tcW w:w="3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7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0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6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工程量合计</w:t>
                  </w:r>
                </w:p>
              </w:tc>
              <w:tc>
                <w:tcPr>
                  <w:tcW w:w="63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399" w:hRule="atLeast"/>
                <w:jc w:val="center"/>
              </w:trPr>
              <w:tc>
                <w:tcPr>
                  <w:tcW w:w="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rPr>
                <w:trHeight w:val="540" w:hRule="atLeast"/>
                <w:jc w:val="center"/>
              </w:trPr>
              <w:tc>
                <w:tcPr>
                  <w:tcW w:w="3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7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0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3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342" w:hRule="atLeast"/>
                <w:jc w:val="center"/>
              </w:trPr>
              <w:tc>
                <w:tcPr>
                  <w:tcW w:w="778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r>
                    <w:rPr>
                      <w:rFonts w:hint="eastAsia" w:ascii="宋体" w:hAnsi="宋体" w:cs="宋体"/>
                      <w:b/>
                      <w:bCs/>
                      <w:color w:val="auto"/>
                      <w:sz w:val="20"/>
                      <w:szCs w:val="20"/>
                      <w:highlight w:val="none"/>
                      <w:lang w:bidi="ar"/>
                    </w:rPr>
                    <w:t>机组设备</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18"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1.名称：净化循环空调机组AHU-S-401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2.规格：总风量4600m3/h 新风量900m3/h 机外静压650PA电机功率4KW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水系统：四管制；制冷量：15kw，制热量：17kw；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18"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2.规格：总风量4600m3/h 新风量900m3/h 机外静压650PA电机功率4KW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水系统：四管制；制冷量：15kw，制热量：17kw；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2.规格：总风量4600m3/h 新风量900m3/h 机外静压650PA电机功率4KW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水系统：四管制；制冷量：15kw，制热量：17kw；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61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2.规格：风量：总风量3200m3/h 新风量1400m3/h 机外静压650PA 电机功率3KW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水系统：四管制；制冷量：11kw，制热量：12kw；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87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2.规格：风量：总风量12000m3/h 新风量1200m3/h 机外静压650PA 电机功率11KW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水系统：四管制；制冷量：40kw，制热量：44kw；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922"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2.规格：风量：总风量3600m3/h 新风量1600m3/h 机外静压650PA 电机功率3.0KW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水系统：四管制；制冷量：11kw，制热量：13kw；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净化循环空调机组AHU-S-407</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2.规格：风量：总风量3600m3/h 新风量1600m3/h 机外静压650PA 电机功率3.0KW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水系统：四管制；制冷量：11kw，制热量：13kw；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净化循环空调机组AHU-S-408</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1.名称：净化循环空调机组AHU-S-408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2.规格：总风量4200m3/h 新风量1600m3/h 机外静压650PA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水系统：四管制；制冷量：13kw，制热量：15kw；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9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净化循环空调机组AHU-S-409</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1.名称：净化循环空调机组AHU-S-409</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2.规格：总风量4100m3/h 新风量1600m3/h 机外静压650PA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水系统：四管制；制冷量：13kw，制热量：15kw；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3"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2.规格：总风量5800m3/h 新风量2700m3/h 机外静压650PA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水系统：四管制；制冷量：18kw，制热量：22kw；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43"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2.规格：总风量5600m3/h 新风量2700m3/h 机外静压650PA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水系统：四管制；制冷量：18kw，制热量：22kw；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2.规格：总风量7200m3/h 新风量2400m3/h 机外静压700PA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水系统：四管制；制冷量：24kw，制热量：26kw；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57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2.规格：总风量19500m3/h 新风量5000m3/h 机外静压800PA 电机功率15KW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水系统：四管制；制冷量：64kw，制热量：72kw；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12"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2.规格：总风量14000m3/h 新风量4000m3/h 机外静压650PA 电机功率11KW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水系统：四管制；制冷量：46kw，制热量：51kw；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2.规格：风量：总风量10900m3/h 新风量3500m3/h 机外静压700PA 电机功率7.5KW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水系统：四管制；制冷量：36kw，制热量：40kw；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4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净化循环空调机组AHU-S-416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1.名称：净化循环空调机组AHU-S-416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2.规格：总风量9100m3/h 新风量4000m3/h机 外静压800PA 电机功率7.5KW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水系统：四管制；制冷量：30kw，制热量：33kw；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38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集中新风净化空调机组MAU-S-401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1.名称：集中新风净化空调机组MAU-S-401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2.规格：总风量5300m3/h 新风量5300m3/h 机外静压600PA 电机功率4KW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水系统：四管制；制冷量：99kw，制热量：19kw；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61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集中新风净化空调机组MAU-S-402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1.名称：集中新风净化空调机组MAU-S-402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2.规格：总风量12300m3/h 新风量12300m3/h 机外静压600PA 电机功率11KW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水系统：四管制；制冷量：230kw，制热量：45kw；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696"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集中新风净化空调机组MAU-S-403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1.名称：集中新风净化空调机组MAU-S-403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2.规格：总风量17000m3/h 新风量17000m3/h 机外静压600PA 电机功率15KW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水系统：四管制；制冷量：318kw，制热量：62kw；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7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MAU-S-401氟盘管深度除湿机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1.名称：MAU-S-401氟盘管深度除湿机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2.规格：制冷：10KW；功率：4KW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854"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MAU-S-402氟盘管深度除湿机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1.名称：MAU-S-402氟盘管深度除湿机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2.规格：制冷：25KW；功率：10KW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94"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MAU-S-403氟盘管深度除湿机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1.名称：MAU-S-403氟盘管深度除湿机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2.规格：制冷：30KW；功率：12KW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5.电机检查接线、单体调试、系统调试</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46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自取新风净化循环空调机组PAU-ZG-101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1.名称：自取新风净化循环空调机组PAU-ZG-101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2.规格：总风量7000m3/h 新风量1200m3/h 机外静压650PA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水系统：四管制；制冷量：53kw，制热量：26kw；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4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新风机组FAU-ZG-101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1.名称：新风机组FAU-ZG-101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2.规格：总风量6000m3/h 新风量6000m3/h 机外静压300PA 电机功率4KW 噪声&lt;85db ( A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水系统：四管制；制冷量：89kw，制热量：22kw；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97"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自取新风净化循环空调机组PAU-JM-101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1.名称：自取新风净化循环空调机组PAU-JM-101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2.规格：总风量4000m3/h 新风量1000m3/h 机外静压800PA 电机功率3KW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水系统：四管制；制冷量：35kw，制热量：15kw；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72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自取新风净化循环空调机组PAU-JM-102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1.名称：自取新风净化循环空调机组PAU-JM-102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2.规格：总风量6600m3/h 新风量6600m3/h 机外静压700PA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水系统：四管制；制冷量：131kw，制热量：50kw；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72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auto"/>
                      <w:highlight w:val="none"/>
                    </w:rPr>
                  </w:pPr>
                  <w:r>
                    <w:rPr>
                      <w:rFonts w:hint="eastAsia" w:ascii="宋体" w:hAnsi="宋体" w:cs="宋体"/>
                      <w:color w:val="auto"/>
                      <w:sz w:val="20"/>
                      <w:szCs w:val="20"/>
                      <w:highlight w:val="none"/>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新风机组PAU-X-201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1.名称：新风机组PAU-X-201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2.规格：风量：总风量4800m3/h 新风量3200m3/h 机外静压800PA 电机功率3KW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水系统：两管制；制冷量：66kw，制热量：38kw；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72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自取新风净化循环空调机组PAU-YC-201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1.名称：自取新风净化循环空调机组PAU-YC-201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2.规格：风量：总风量6700m3/h 新风量6700m3/h 机外静压650PA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水系统：四管制；制冷量：130kw，制热量：50kw；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66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自取新风净化循环空调机组PAU-YC-202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1.名称：自取新风净化循环空调机组PAU-YC-202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2.规格：风量：总风量5500m3/h 新风量5500m3/h 机外静压650PA 电机功率5.5KW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水系统：四管制；制冷量：110kw，制热量：40kw；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66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新风机组PAU-BL-301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1.名称：新风机组PAU-BL-301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2.规格：总风量5200m3/h 新风量5200m3/h 机外静压650PA 电机功率5.5KW 噪声&lt;85 &lt;85db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水系统：四管制；制冷量：105kw，制热量：40kw；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66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新风机组PAU-BL-302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1.名称：新风机组PAU-BL-302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2.规格：总风量11000m3/h新风量11000m3/h机外静压300PA电机功率5.5KW噪声&lt;85db ( A )；                   过滤器：G4+F7；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水系统：四管制；制冷量：122kw，制热量：40kw；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268"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自取新风净化空调机组PAU-P-301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1.名称：自取新风净化空调机组PAU-P-301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2.规格：总风量2000m3/h 新风量2000m3/h 机外静压650PA 电机功率2.2KW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水系统：两管制；制冷量：40kw，制热量：15kw；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3.隔振垫(器)、支架形式、材质：橡胶减震垫吊钩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4.安装形式：室内吊装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268"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自取新风净化空调机组PAU-m-401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1.名称：自取新风净化空调机组PAU-m-401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2.规格：总风量1600m3/h 新风量1600m3/h 机外静压650PA 电机功率2.2KW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水系统：两管制；制冷量：40kw，制热量：15kw；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3.隔振垫(器)、支架形式、材质：橡胶减震垫吊钩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4.安装形式：室内吊装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自取新风净化空调机组PAU-C-401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1.名称：自取新风净化空调机组PAU-C-401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2.规格：风量：总风量1600m3/h 新风量1600m3/h 机外静压650PA 电机功率2.2KW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水系统：二管制；制冷量：40kw，制热量：15kw；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72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自取新风净化循环空调机组PAU-C-402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1.名称：自取新风净化循环空调机组PAU-C-402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2.规格：总风量2600m3/h 新风量1300m3/h 机外静压650PA 电机功率3KW 噪声&lt;85db ( A )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过滤器：G4+F7+H10；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水系统：四管制；制冷量：28kw，制热量：14kw；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控制面板</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1.名称：控制面板</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2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妇科二层检验科PCR实验室生物安全柜</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全排、双人位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苏净安泰、山东新华、青岛海尔</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6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门诊三层病理科PCR实验室生物安全柜</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全排、双人位</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苏净安泰、山东新华、青岛海尔</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16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新风机组控制系统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1.名称：新风机组控制系统</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2.规格：选用DDC或PLC控制器.结合温湿度传感器.压差开关.风阀执行器等控制设备，对系统的风量.温度.湿度进行控制调节，详参数见设计说明</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净化循环机组控制系统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1.名称：净化循环机组控制系统</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2.规格：选用DDC或PLC控制器.结合温湿度传感器.压差开关.风阀执行器等控制设备，对系统的风量.温度.湿度进行控制调节，详参数见设计说明</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6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管道静压控制系统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1.名称：管道静压控制系统</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2.规格：持续监测管道内的静压变化,通过调整风机转速来恒定管道内静压;控制系统在0.1秒内探测到压差变化并输出控制信号;夜间工况时,控制系统有第二状态设置;详参数见设计说明</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通风柜面风速控制系统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1.名称：通风柜面风速控制系统                      2.面风速控制系统持续地监测实际面风速状态,当任何因素影响面风速变动时,系统将自动调整管道上的风阀以恒定设定的面风速值，详参数见设计说明                                    3.包括红外线传感器、执行器、风速传感器、控制器及排风机远程控制面板等一切设计及规范要求的内容</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设备部件</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2.规格：功率：3kw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2.规格：功率：6kw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2.规格：功率：14kw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2.规格：功率：15kw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1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2.规格：功率：16kw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2.规格：功率：18kw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2.规格：功率：33kw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风管式电加热箱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1.名称：风管式电加热箱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2.规格：功率：45kw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2.规格：9kw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2.规格：17kw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2.规格：23kw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2.规格：28kw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2.规格：31kw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2.规格：36kw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电再热</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1.名称：电再热</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2.规格：加湿量:7KG/H，加湿功率:7kw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2.规格：加湿量:8KG/H，加湿功率:8kw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2.规格：加湿量:10KG/H，加湿功率:10kw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2.规格：加湿量:11KG/H，加湿功率:11kw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2.规格：加湿量:15KG/H，加湿功率:15kw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2.规格：加湿量:16KG/H，加湿功率:16kw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2.规格：加湿量:17KG/H，加湿功率:17.4kw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2.规格：加湿量:19KG/H，加湿功率:19kw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2.规格：加湿量:24KG/H，加湿功率:24kw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2.规格：加湿量:28KG/H，加湿功率:28kw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2.规格：加湿量:32KG/H，加湿功率:32kw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1.名称：电热加湿器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2.规格：加湿量:40KG/H，加湿功率:40kw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2.规格：加湿量:44KG/H，加湿功率:44kw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2.规格：加湿量:52KG/H，加湿功率:52kw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2.规格：加湿量:53KG/H，加湿功率:53kw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电热加湿器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1.名称：电热加湿器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2.规格：加湿量:55KG/H，加湿功率:55kw          3.包括蒸汽输送软管、4m金属管、软接等，其余按设计及规范要求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卡乐、康迪、思探得</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2.规格：2.2kw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2.规格：7.5kw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2.规格：11kw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变频器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1.名称：变频器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2.规格：15kw</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设备及UPS间3P室内机（含室外机）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1.名称：设备及UPS间3P室内机（含室外机）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2.规格：样本库5P室内机（含室外机）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2.规格：包括冷媒及铜管、支架等设计图纸所示一切内容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富士通、三菱重工海尔、海信日立</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样本库5P室内机（含室外机）</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1.名称：样本库5P室内机（含室外机）</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2.规格：包括冷媒及铜管、支架等设计图纸所示一切内容</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3.安装形式：吊装</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富士通、三菱重工海尔、海信日立</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风机盘管FP-85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1.名称：风机盘管FP-85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2.规格：两管制，送风量：850m3/H；机外静压：30Pa；制冷量：4.9kw；制热量7.2kw；输入功率0.082kw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风机盘管FP-35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1.名称：风机盘管FP-35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2.规格：两管制，送风量：340m3/H；机外静压：30Pa；中档制冷量：2.2kw；制热量：3.2kw；输入功率0.042kw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风机盘管FP-51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1.名称：风机盘管FP-51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2.规格：两管制，送风量：510m3/H；机外静压：30Pa；中档制冷量：3.1kw；制热量：5.0kw；输入功率0.055kw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风机盘管FP-63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1.名称：风机盘管FP-63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2.规格：两管制，送风量：680m3/H；机外静压：30Pa；中档制冷量：3.8kw；制热量：5.9kw；输入功率0.068kw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风机盘管FP-10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1.名称：风机盘管FP-10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2.规格：两管制，送风量：1020m3/H；机外静压：30Pa；中档制冷量：6.2kw；制热量：8.6kw；输入功率0.135kw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4.隔振垫(器).支架形式.材质：橡胶减震吊钩</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5.电机检查接线</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6.其他:回风箱、集水盘的供应及安装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新晃、格力、天加</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排风机PF-S-401~420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1.名称：排风机PF-S-401~420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2.规格：风量：300m3/H，机外余压：300pa，配电功率：0.23kw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2.规格：风量：1200m3/H，机外余压：500pa，配电功率：1.1kw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2.规格：风量：600m3/H，机外余压：300pa，配电功率：0.36kw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2.规格：风量：2400m3/H，机外余压：300pa，配电功率：1.1kw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2.规格：风量：2000m3/H，机外余压：300pa，配电功率：1.1kw；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2.规格：风量：2400m3/H，机外余压：300pa，配电功率：1.1kw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2.规格：风量：1500m3/H，机外余压：300pa，配电功率：0.66kw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排风机PF-S-427</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1.名称：排风机PF-S-427</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2.规格：风量：1200m3/H，机外余压：300pa，配电功率：0.5kw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排风机PF-S-428</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1.名称：排风机PF-S-428</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2.规格：风量：300m3/H，机外余压：300pa，配电功率0.23kw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2.规格：风量：1000m3/H，机外余压：250pa，配电功率：0.36kw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2.规格：风量：1400m3/H，机外余压：700pa，配电功率：1.5kw 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2.规格：风量：1600m3/H，机外余压：700pa，配电功率：1.5kw 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2.规格：风量：1800m3/H，机外余压：700pa，配电功率：1.5kw 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排风机PF-BL-305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1.名称：排风机PF-BL-305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2.规格：风量：500m3/H，机外余压：200pa，配电功率：0.23kw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玻璃钢风机PF-BL-306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1.名称：玻璃钢风机PF-BL-306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2.规格：风量：15000m3/H，机外余压：900pa，配电功率：11kw，变频 带活性炭过滤器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5.电机检查接线、单体调试、系统调试             6.混凝土基础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排风机PF-ZG-101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1.名称：排风机PF-ZG-101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2.规格：风量：600m3/H，机外余压：200pa，配电功率：0.36kw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排风机PF-ZG-102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1.名称：排风机PF-ZG-102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2.规格：风量：500m3/H，机外余压：450pa，配电功率：0.66kw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排风机PF-ZG-103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1.名称：排风机PF-ZG-103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2.规格：风量：600m3/H，机外余压：200pa，配电功率：0.36kw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防潮排风机PF-ZG-104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1.名称：防潮排风机PF-ZG-104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2.规格：风量：1300m3/H，机外余压：200pa，配电功率：0.5kw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排风机PF-ZG-105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1.名称：排风机PF-ZG-105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2.规格：风量：600m3/H，机外余压：250pa，配电功率：0.36kw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耐高温排风机PF-ZG-106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1.名称：耐高温排风机PF-ZG-106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2.规格：风量：2000m3/H，机外余压：200pa，配电功率：0.66kw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排风机PF-P-301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1.名称：排风机PF-P-301（一用一备）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2.规格：风量：2400m3/H，机外余压：600pa，配电功率：2.2kw，变频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排风机PF-M-401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1.名称：排风机PF-M-401（一用一备）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2.规格：风量：2000m3/H，机外余压：800pa，配电功率：2.2kw，变频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玻璃钢排风机PF-X-201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1.名称：玻璃钢排风机PF-X-201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2.规格：风量：1500m3/H，机外余压：600pa，配电功率：1.1kw，变频 带活性炭过滤器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排风机PF-X-202~204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1.名称：排风机PF-X-202~204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2.规格：风量：1200m3/H，机外余压：500pa，配电功率：1.1kw，变频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排风机PF-X-205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1.名称：玻璃钢排风机PF-X-205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2.规格：风量：4000m3/H，机外余压：400pa，配电功率：2.2kw，增压变频，内置风速传感器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排风机PF-C-401（一用一备）</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1.名称：排风机PF-C-401（一用一备）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2.规格：风量：2000m3/H，机外余压：800pa，配电功率：2.2kw，变频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排风机PF-C-402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1.名称：排风机PF-C-402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2.规格：风量：300m3/H，机外余压：250pa，配电功率：0.23kw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2.规格：风量：800m3/H，机外余压：250pa，配电功率：0.36kw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排风机PF-YC-202~205、209~210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1.名称：排风机PF-YC-202~205、209~210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2.规格：风量：1400m3/H，机外余压：500pa，配电功率：1.1kw，变频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0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排风机PF-YC-206</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1.名称：排风机PF-YC-206</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2.规格：风量：1600m3/H，机外余压：500pa，配电功率：1.1kw，变频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排风机PF-YC-207、211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1.名称：排风机PF-YC-207、211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2.规格：风量：600m3/H，机外余压：250pa，配电功率：0.23kw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排风机PF-YC-208</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1.名称：排风机PF-YC-208</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2.规格：风量：2400m3/H，机外余压：500pa，配电功率：1.5kw，变频 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排风机PF-YC-212</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1.名称：排风机PF-YC-212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2.规格：风量：7000m3/H，机外余压：400pa，配电功率：3kw，增压变频，内置风速传感器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排风机PF-YC-213</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1.名称：排风机PF-YC-213</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2.规格：风量：5200m3/H，机外余压：400pa，配电功率：3kw，增压变频，内置风速传感器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排风机PF-JM-101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1.名称：排风机PF-JM-101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2.规格：风量：600m3/H，机外余压：250pa，配电功率：0.36kw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玻璃钢排风机PF-JM-102~104</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1.名称：玻璃钢排风机PF-JM-102~104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2.规格：风量：2500m3/H，机外余压：400pa，配电功率：2.2kw，变频</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2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排风机PF-JM-102-1~104-1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1.名称：玻璃钢排风机PF-JM-102-1~104-1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2.规格：风量：2500m3/H，机外余压：400pa，配电功率：2.2kw，变频，带H13高效过滤器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3.安装形式：室内吊装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4.隔振垫(器).支架形式.材质：金属弹簧-橡胶复合型减震吊钩</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5.电机接线检查</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上虞贝斯特、上虞科博、上虞专用</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空气外排处理箱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1.名称：空气外排处理箱</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皇家动力、亿利达、科禄格</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99"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排气扇</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1.名称：排气扇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2.规格：风量：300m3/H，机外余压：50pa，配电功率：0.02kw</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3.安装形式：室内吊装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8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通风管道</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4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2.材质：优质镀锌钢板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4.板材厚度：0.5mm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2947.38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57"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2.材质：不锈钢板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4.板材厚度：0.5mm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2.材质：优质镀锌钢板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4.板材厚度：0.6mm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2820.22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2.材质：优质镀锌钢板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4.板材厚度：0.75mm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3136.47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2.材质：优质镀锌钢板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4.板材厚度：1.0mm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6.接口形式：咬口</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7.其他：空气洁净度满足设计要求                 8.穿越防火墙2mm钢板，外包35mm厚水泥砂浆保护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140.23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2.材质：PP</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4.板材厚度：3mm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5.管件：含法兰、风管检查孔等附件、垫木、热浸锌吊支架（预埋吊座）、防火材料、开洞、套管及其封堵等，其余按设计及规范要求</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6.其他：空气洁净度满足设计要求                  7.穿越防火墙2mm钢板，外包35mm厚水泥砂浆保护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170.33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净化风管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1.名称：净化风管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2.材质：PP</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3.形状：矩形</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4.板材厚度：4mm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管件：含法兰、风管检查孔等附件、垫木、热浸锌吊支架（预埋吊座）、防火材料、开洞、套管及其封堵等，其余按设计及规范要求</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6.其他：空气洁净度满足设计要求                 7.穿越防火墙2mm钢板，外包35mm厚水泥砂浆保护</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21.50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风管软接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2.材质：双层防火帆布</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500.76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3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橡塑保温棉</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1.绝热材料品种：发泡橡塑保温板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2.绝热厚度：30mm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3.其他：燃烧等级 B1级，导热系数：平均温度为0℃时≤0.034w/m.k，表观密度:≤95Kg/m3</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271.37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保护层铝箔</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1.名称：保护层铝箔</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2.规格：0.5mm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67.54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管道部件</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2.规格：120*120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2.规格：200*160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2.规格：320*250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2.规格：400*250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2.规格：500*200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2.规格：800*320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2.规格：800*400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2.规格：1000*630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2.规格：1250*630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2.规格：1000*500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2.规格：1000*800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70℃常开防火阀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1.名称：70℃常开防火阀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2.规格：1250*800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2.规格：120*120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2.规格：200*120                               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2.规格：160*160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2.规格：200*160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2.规格：250*200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2.规格：250*250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2.规格：1000*800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2.规格：1250*630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多叶调节阀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1.名称：多叶调节阀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2.规格：1250*800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2.规格：φ200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2.规格：250*200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2.规格：320*250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2.规格：400*400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2.规格：630*320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2.规格：800*400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2.规格：800*500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2.规格：800*630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风路止回风阀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1.名称：风管止回阀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2.规格：1250*630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抽屉式防虫网</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1.名称：抽屉式防虫网</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抽屉式防虫网</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1.名称：抽屉式防虫网</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2.规格：320*250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2.规格：320*320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2.规格：400*320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2.规格：400*200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2.规格：400*400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2.规格：400*500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2.规格：500*400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2.规格：630*250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2.规格：630*400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2.规格：630*500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2.规格：1000*500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2.规格：1000*630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电动密闭阀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1.名称：电动密闭阀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2.规格：1000*800 含执行器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2.设计风量：324~1296m3/h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3.设备型号：RN200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2.设计风量：522~2088m3/h</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3.设备型号：RN250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0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2.设计风量：828~3312m3/h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3.设备型号：RN315</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0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机械定风量调节阀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1.名称：机械定风量调节阀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2.设计风量：1260~5040m3/h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3.设备型号：RN400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4.含热浸锌吊支架、除锈刷油防腐</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西门子、霍尼韦尔、江森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2.规格：800*300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2.规格：1200*1000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2.规格：1500*600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2.规格：1600*600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2.规格：1600*1000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2.规格：1800*500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2.规格：1800*800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2.规格：2000*1600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防雨百叶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1.名称：防雨百叶</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2.规格：3000*800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净化送风天花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1.名称：净化送风天花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2.规格：2600*1400,含高效过滤器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净化送风天花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1.名称：净化送风天花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2.规格：2600*1800,含高效过滤器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净化送风天花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1.名称：净化送风天花</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2.规格：2600*2400,含高效过滤器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高效送风口JS80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1.名称：高效送风口JS80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2.规格：800x600，额定风量1200m3/h,含高效过滤器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高效送风口JS60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1.名称：高效送风口JS60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2.规格：600x600,额定风量700m3/h,含高效过滤器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高效送风口JS40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1.名称：高效送风口JS40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2.规格：480x480,额定风量350m3/h,含高效过滤器</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铭铉、智迪锐、浩东（高效过滤器品牌为康斐尔、美埃、AAF）</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净化上风口JH60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1.名称：净化上风口JH60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2.规格：600x600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净化上风口JH40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1.名称：净化上风口JH40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净化上风口JH40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1.名称：净化上风口JH40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2.规格：400x400,手术室专用 带F8过滤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净化下回风口RG120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1.名称：净化下回风口RG120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净化下回风口RG120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1.名称：净化下回风口RG120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2.规格：1200x400,手术室专用 带F8过滤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净化下回风口RG90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1.名称：净化下回风口RG90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2.规格：900x400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净化下回风口RG60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净化下回风口RG40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1.名称：净化下回风口RG40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2.规格：400x400 带F6过滤</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方形散流器FS25</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1.名称：方形散流器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2.规格：250*250mm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方形散流器FS40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1.名称：方形散流器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散流器送风口XF</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1.名称：散流器送风口XF</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2.规格：250*250mm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2.规格：500*300mm 附风量调节阀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2.规格：700*300mm 附风量调节阀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2.规格：900*300mm 附风量调节阀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2.规格：100*300mm 附风量调节阀</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风机盘管格栅回风口H1</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1.名称：风机盘管格栅回风口H1</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2.规格：600*300mm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风机盘管散流器送风口S60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1.名称：风机盘管散流器送风口FS60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2.规格：600*600mm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7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风机盘管散流器送风口FS40</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1.名称：风机盘管散流器送风口FS40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铭铉、智迪锐、浩东</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2.规格：320*250，L=1000mm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2.规格：400*250，L=1000mm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8" name="AutoShape_3"/>
                        <wp:cNvGraphicFramePr/>
                        <a:graphic xmlns:a="http://schemas.openxmlformats.org/drawingml/2006/main">
                          <a:graphicData uri="http://schemas.openxmlformats.org/drawingml/2006/picture">
                            <pic:pic xmlns:pic="http://schemas.openxmlformats.org/drawingml/2006/picture">
                              <pic:nvPicPr>
                                <pic:cNvPr id="18" name="AutoShape_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4" name="AutoShape_3_SpCnt_1"/>
                        <wp:cNvGraphicFramePr/>
                        <a:graphic xmlns:a="http://schemas.openxmlformats.org/drawingml/2006/main">
                          <a:graphicData uri="http://schemas.openxmlformats.org/drawingml/2006/picture">
                            <pic:pic xmlns:pic="http://schemas.openxmlformats.org/drawingml/2006/picture">
                              <pic:nvPicPr>
                                <pic:cNvPr id="14" name="AutoShape_3_SpCnt_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 name="AutoShape_3_SpCnt_2"/>
                        <wp:cNvGraphicFramePr/>
                        <a:graphic xmlns:a="http://schemas.openxmlformats.org/drawingml/2006/main">
                          <a:graphicData uri="http://schemas.openxmlformats.org/drawingml/2006/picture">
                            <pic:pic xmlns:pic="http://schemas.openxmlformats.org/drawingml/2006/picture">
                              <pic:nvPicPr>
                                <pic:cNvPr id="12" name="AutoShape_3_SpCnt_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AutoShape_3_SpCnt_3"/>
                        <wp:cNvGraphicFramePr/>
                        <a:graphic xmlns:a="http://schemas.openxmlformats.org/drawingml/2006/main">
                          <a:graphicData uri="http://schemas.openxmlformats.org/drawingml/2006/picture">
                            <pic:pic xmlns:pic="http://schemas.openxmlformats.org/drawingml/2006/picture">
                              <pic:nvPicPr>
                                <pic:cNvPr id="4" name="AutoShape_3_SpCnt_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9" name="AutoShape_3_SpCnt_4"/>
                        <wp:cNvGraphicFramePr/>
                        <a:graphic xmlns:a="http://schemas.openxmlformats.org/drawingml/2006/main">
                          <a:graphicData uri="http://schemas.openxmlformats.org/drawingml/2006/picture">
                            <pic:pic xmlns:pic="http://schemas.openxmlformats.org/drawingml/2006/picture">
                              <pic:nvPicPr>
                                <pic:cNvPr id="9" name="AutoShape_3_SpCnt_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3" name="AutoShape_3_SpCnt_5"/>
                        <wp:cNvGraphicFramePr/>
                        <a:graphic xmlns:a="http://schemas.openxmlformats.org/drawingml/2006/main">
                          <a:graphicData uri="http://schemas.openxmlformats.org/drawingml/2006/picture">
                            <pic:pic xmlns:pic="http://schemas.openxmlformats.org/drawingml/2006/picture">
                              <pic:nvPicPr>
                                <pic:cNvPr id="13" name="AutoShape_3_SpCnt_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2.规格：500*200，L=1000mm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5" name="AutoShape_3_SpCnt_6"/>
                        <wp:cNvGraphicFramePr/>
                        <a:graphic xmlns:a="http://schemas.openxmlformats.org/drawingml/2006/main">
                          <a:graphicData uri="http://schemas.openxmlformats.org/drawingml/2006/picture">
                            <pic:pic xmlns:pic="http://schemas.openxmlformats.org/drawingml/2006/picture">
                              <pic:nvPicPr>
                                <pic:cNvPr id="15" name="AutoShape_3_SpCnt_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8" name="AutoShape_3_SpCnt_7"/>
                        <wp:cNvGraphicFramePr/>
                        <a:graphic xmlns:a="http://schemas.openxmlformats.org/drawingml/2006/main">
                          <a:graphicData uri="http://schemas.openxmlformats.org/drawingml/2006/picture">
                            <pic:pic xmlns:pic="http://schemas.openxmlformats.org/drawingml/2006/picture">
                              <pic:nvPicPr>
                                <pic:cNvPr id="8" name="AutoShape_3_SpCnt_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2.规格：450*450，L=2000mm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2.规格：500*400，L=1000mm，玻璃钢材质</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5" name="AutoShape_3_SpCnt_8"/>
                        <wp:cNvGraphicFramePr/>
                        <a:graphic xmlns:a="http://schemas.openxmlformats.org/drawingml/2006/main">
                          <a:graphicData uri="http://schemas.openxmlformats.org/drawingml/2006/picture">
                            <pic:pic xmlns:pic="http://schemas.openxmlformats.org/drawingml/2006/picture">
                              <pic:nvPicPr>
                                <pic:cNvPr id="5" name="AutoShape_3_SpCnt_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0" name="AutoShape_3_SpCnt_9"/>
                        <wp:cNvGraphicFramePr/>
                        <a:graphic xmlns:a="http://schemas.openxmlformats.org/drawingml/2006/main">
                          <a:graphicData uri="http://schemas.openxmlformats.org/drawingml/2006/picture">
                            <pic:pic xmlns:pic="http://schemas.openxmlformats.org/drawingml/2006/picture">
                              <pic:nvPicPr>
                                <pic:cNvPr id="10" name="AutoShape_3_SpCnt_9"/>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 name="AutoShape_3_SpCnt_10"/>
                        <wp:cNvGraphicFramePr/>
                        <a:graphic xmlns:a="http://schemas.openxmlformats.org/drawingml/2006/main">
                          <a:graphicData uri="http://schemas.openxmlformats.org/drawingml/2006/picture">
                            <pic:pic xmlns:pic="http://schemas.openxmlformats.org/drawingml/2006/picture">
                              <pic:nvPicPr>
                                <pic:cNvPr id="7" name="AutoShape_3_SpCnt_1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16" name="AutoShape_3_SpCnt_11"/>
                        <wp:cNvGraphicFramePr/>
                        <a:graphic xmlns:a="http://schemas.openxmlformats.org/drawingml/2006/main">
                          <a:graphicData uri="http://schemas.openxmlformats.org/drawingml/2006/picture">
                            <pic:pic xmlns:pic="http://schemas.openxmlformats.org/drawingml/2006/picture">
                              <pic:nvPicPr>
                                <pic:cNvPr id="16" name="AutoShape_3_SpCnt_1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7" name="AutoShape_3_SpCnt_12"/>
                        <wp:cNvGraphicFramePr/>
                        <a:graphic xmlns:a="http://schemas.openxmlformats.org/drawingml/2006/main">
                          <a:graphicData uri="http://schemas.openxmlformats.org/drawingml/2006/picture">
                            <pic:pic xmlns:pic="http://schemas.openxmlformats.org/drawingml/2006/picture">
                              <pic:nvPicPr>
                                <pic:cNvPr id="17" name="AutoShape_3_SpCnt_1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9" name="AutoShape_3_SpCnt_13"/>
                        <wp:cNvGraphicFramePr/>
                        <a:graphic xmlns:a="http://schemas.openxmlformats.org/drawingml/2006/main">
                          <a:graphicData uri="http://schemas.openxmlformats.org/drawingml/2006/picture">
                            <pic:pic xmlns:pic="http://schemas.openxmlformats.org/drawingml/2006/picture">
                              <pic:nvPicPr>
                                <pic:cNvPr id="19" name="AutoShape_3_SpCnt_1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11" name="AutoShape_3_SpCnt_14"/>
                        <wp:cNvGraphicFramePr/>
                        <a:graphic xmlns:a="http://schemas.openxmlformats.org/drawingml/2006/main">
                          <a:graphicData uri="http://schemas.openxmlformats.org/drawingml/2006/picture">
                            <pic:pic xmlns:pic="http://schemas.openxmlformats.org/drawingml/2006/picture">
                              <pic:nvPicPr>
                                <pic:cNvPr id="11" name="AutoShape_3_SpCnt_1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 name="AutoShape_3_SpCnt_15"/>
                        <wp:cNvGraphicFramePr/>
                        <a:graphic xmlns:a="http://schemas.openxmlformats.org/drawingml/2006/main">
                          <a:graphicData uri="http://schemas.openxmlformats.org/drawingml/2006/picture">
                            <pic:pic xmlns:pic="http://schemas.openxmlformats.org/drawingml/2006/picture">
                              <pic:nvPicPr>
                                <pic:cNvPr id="3" name="AutoShape_3_SpCnt_1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 name="AutoShape_3_SpCnt_16"/>
                        <wp:cNvGraphicFramePr/>
                        <a:graphic xmlns:a="http://schemas.openxmlformats.org/drawingml/2006/main">
                          <a:graphicData uri="http://schemas.openxmlformats.org/drawingml/2006/picture">
                            <pic:pic xmlns:pic="http://schemas.openxmlformats.org/drawingml/2006/picture">
                              <pic:nvPicPr>
                                <pic:cNvPr id="6" name="AutoShape_3_SpCnt_1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1" name="AutoShape_3_SpCnt_17"/>
                        <wp:cNvGraphicFramePr/>
                        <a:graphic xmlns:a="http://schemas.openxmlformats.org/drawingml/2006/main">
                          <a:graphicData uri="http://schemas.openxmlformats.org/drawingml/2006/picture">
                            <pic:pic xmlns:pic="http://schemas.openxmlformats.org/drawingml/2006/picture">
                              <pic:nvPicPr>
                                <pic:cNvPr id="1" name="AutoShape_3_SpCnt_1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 name="AutoShape_3_SpCnt_18"/>
                        <wp:cNvGraphicFramePr/>
                        <a:graphic xmlns:a="http://schemas.openxmlformats.org/drawingml/2006/main">
                          <a:graphicData uri="http://schemas.openxmlformats.org/drawingml/2006/picture">
                            <pic:pic xmlns:pic="http://schemas.openxmlformats.org/drawingml/2006/picture">
                              <pic:nvPicPr>
                                <pic:cNvPr id="2" name="AutoShape_3_SpCnt_1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787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81" name="AutoShape_3_SpCnt_19"/>
                        <wp:cNvGraphicFramePr/>
                        <a:graphic xmlns:a="http://schemas.openxmlformats.org/drawingml/2006/main">
                          <a:graphicData uri="http://schemas.openxmlformats.org/drawingml/2006/picture">
                            <pic:pic xmlns:pic="http://schemas.openxmlformats.org/drawingml/2006/picture">
                              <pic:nvPicPr>
                                <pic:cNvPr id="81" name="AutoShape_3_SpCnt_19"/>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5" name="AutoShape_3_SpCnt_20"/>
                        <wp:cNvGraphicFramePr/>
                        <a:graphic xmlns:a="http://schemas.openxmlformats.org/drawingml/2006/main">
                          <a:graphicData uri="http://schemas.openxmlformats.org/drawingml/2006/picture">
                            <pic:pic xmlns:pic="http://schemas.openxmlformats.org/drawingml/2006/picture">
                              <pic:nvPicPr>
                                <pic:cNvPr id="75" name="AutoShape_3_SpCnt_2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807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6" name="AutoShape_3_SpCnt_21"/>
                        <wp:cNvGraphicFramePr/>
                        <a:graphic xmlns:a="http://schemas.openxmlformats.org/drawingml/2006/main">
                          <a:graphicData uri="http://schemas.openxmlformats.org/drawingml/2006/picture">
                            <pic:pic xmlns:pic="http://schemas.openxmlformats.org/drawingml/2006/picture">
                              <pic:nvPicPr>
                                <pic:cNvPr id="66" name="AutoShape_3_SpCnt_2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2.规格：800*320，L=2000mm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2.规格：800*400，L=2000mm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1" name="AutoShape_3_SpCnt_22"/>
                        <wp:cNvGraphicFramePr/>
                        <a:graphic xmlns:a="http://schemas.openxmlformats.org/drawingml/2006/main">
                          <a:graphicData uri="http://schemas.openxmlformats.org/drawingml/2006/picture">
                            <pic:pic xmlns:pic="http://schemas.openxmlformats.org/drawingml/2006/picture">
                              <pic:nvPicPr>
                                <pic:cNvPr id="71" name="AutoShape_3_SpCnt_2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828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3" name="AutoShape_3_SpCnt_23"/>
                        <wp:cNvGraphicFramePr/>
                        <a:graphic xmlns:a="http://schemas.openxmlformats.org/drawingml/2006/main">
                          <a:graphicData uri="http://schemas.openxmlformats.org/drawingml/2006/picture">
                            <pic:pic xmlns:pic="http://schemas.openxmlformats.org/drawingml/2006/picture">
                              <pic:nvPicPr>
                                <pic:cNvPr id="123" name="AutoShape_3_SpCnt_2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69" name="AutoShape_3_SpCnt_24"/>
                        <wp:cNvGraphicFramePr/>
                        <a:graphic xmlns:a="http://schemas.openxmlformats.org/drawingml/2006/main">
                          <a:graphicData uri="http://schemas.openxmlformats.org/drawingml/2006/picture">
                            <pic:pic xmlns:pic="http://schemas.openxmlformats.org/drawingml/2006/picture">
                              <pic:nvPicPr>
                                <pic:cNvPr id="69" name="AutoShape_3_SpCnt_2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848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4" name="AutoShape_3_SpCnt_25"/>
                        <wp:cNvGraphicFramePr/>
                        <a:graphic xmlns:a="http://schemas.openxmlformats.org/drawingml/2006/main">
                          <a:graphicData uri="http://schemas.openxmlformats.org/drawingml/2006/picture">
                            <pic:pic xmlns:pic="http://schemas.openxmlformats.org/drawingml/2006/picture">
                              <pic:nvPicPr>
                                <pic:cNvPr id="124" name="AutoShape_3_SpCnt_2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7" name="AutoShape_3_SpCnt_26"/>
                        <wp:cNvGraphicFramePr/>
                        <a:graphic xmlns:a="http://schemas.openxmlformats.org/drawingml/2006/main">
                          <a:graphicData uri="http://schemas.openxmlformats.org/drawingml/2006/picture">
                            <pic:pic xmlns:pic="http://schemas.openxmlformats.org/drawingml/2006/picture">
                              <pic:nvPicPr>
                                <pic:cNvPr id="67" name="AutoShape_3_SpCnt_2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69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0" name="AutoShape_3_SpCnt_27"/>
                        <wp:cNvGraphicFramePr/>
                        <a:graphic xmlns:a="http://schemas.openxmlformats.org/drawingml/2006/main">
                          <a:graphicData uri="http://schemas.openxmlformats.org/drawingml/2006/picture">
                            <pic:pic xmlns:pic="http://schemas.openxmlformats.org/drawingml/2006/picture">
                              <pic:nvPicPr>
                                <pic:cNvPr id="70" name="AutoShape_3_SpCnt_2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2.规格：800*500，L=3000mm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76" name="AutoShape_3_SpCnt_28"/>
                        <wp:cNvGraphicFramePr/>
                        <a:graphic xmlns:a="http://schemas.openxmlformats.org/drawingml/2006/main">
                          <a:graphicData uri="http://schemas.openxmlformats.org/drawingml/2006/picture">
                            <pic:pic xmlns:pic="http://schemas.openxmlformats.org/drawingml/2006/picture">
                              <pic:nvPicPr>
                                <pic:cNvPr id="76" name="AutoShape_3_SpCnt_2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89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77" name="AutoShape_3_SpCnt_29"/>
                        <wp:cNvGraphicFramePr/>
                        <a:graphic xmlns:a="http://schemas.openxmlformats.org/drawingml/2006/main">
                          <a:graphicData uri="http://schemas.openxmlformats.org/drawingml/2006/picture">
                            <pic:pic xmlns:pic="http://schemas.openxmlformats.org/drawingml/2006/picture">
                              <pic:nvPicPr>
                                <pic:cNvPr id="77" name="AutoShape_3_SpCnt_29"/>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2.规格：1000*630，L=1000mm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2" name="AutoShape_3_SpCnt_30"/>
                        <wp:cNvGraphicFramePr/>
                        <a:graphic xmlns:a="http://schemas.openxmlformats.org/drawingml/2006/main">
                          <a:graphicData uri="http://schemas.openxmlformats.org/drawingml/2006/picture">
                            <pic:pic xmlns:pic="http://schemas.openxmlformats.org/drawingml/2006/picture">
                              <pic:nvPicPr>
                                <pic:cNvPr id="72" name="AutoShape_3_SpCnt_3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10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8" name="AutoShape_3_SpCnt_31"/>
                        <wp:cNvGraphicFramePr/>
                        <a:graphic xmlns:a="http://schemas.openxmlformats.org/drawingml/2006/main">
                          <a:graphicData uri="http://schemas.openxmlformats.org/drawingml/2006/picture">
                            <pic:pic xmlns:pic="http://schemas.openxmlformats.org/drawingml/2006/picture">
                              <pic:nvPicPr>
                                <pic:cNvPr id="68" name="AutoShape_3_SpCnt_3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2.规格：1000*630，L=2000mm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65" name="AutoShape_3_SpCnt_32"/>
                        <wp:cNvGraphicFramePr/>
                        <a:graphic xmlns:a="http://schemas.openxmlformats.org/drawingml/2006/main">
                          <a:graphicData uri="http://schemas.openxmlformats.org/drawingml/2006/picture">
                            <pic:pic xmlns:pic="http://schemas.openxmlformats.org/drawingml/2006/picture">
                              <pic:nvPicPr>
                                <pic:cNvPr id="65" name="AutoShape_3_SpCnt_3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930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122" name="AutoShape_3_SpCnt_33"/>
                        <wp:cNvGraphicFramePr/>
                        <a:graphic xmlns:a="http://schemas.openxmlformats.org/drawingml/2006/main">
                          <a:graphicData uri="http://schemas.openxmlformats.org/drawingml/2006/picture">
                            <pic:pic xmlns:pic="http://schemas.openxmlformats.org/drawingml/2006/picture">
                              <pic:nvPicPr>
                                <pic:cNvPr id="122" name="AutoShape_3_SpCnt_3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73" name="AutoShape_3_SpCnt_34"/>
                        <wp:cNvGraphicFramePr/>
                        <a:graphic xmlns:a="http://schemas.openxmlformats.org/drawingml/2006/main">
                          <a:graphicData uri="http://schemas.openxmlformats.org/drawingml/2006/picture">
                            <pic:pic xmlns:pic="http://schemas.openxmlformats.org/drawingml/2006/picture">
                              <pic:nvPicPr>
                                <pic:cNvPr id="73" name="AutoShape_3_SpCnt_3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51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78" name="AutoShape_3_SpCnt_35"/>
                        <wp:cNvGraphicFramePr/>
                        <a:graphic xmlns:a="http://schemas.openxmlformats.org/drawingml/2006/main">
                          <a:graphicData uri="http://schemas.openxmlformats.org/drawingml/2006/picture">
                            <pic:pic xmlns:pic="http://schemas.openxmlformats.org/drawingml/2006/picture">
                              <pic:nvPicPr>
                                <pic:cNvPr id="78" name="AutoShape_3_SpCnt_35"/>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74" name="AutoShape_3_SpCnt_36"/>
                        <wp:cNvGraphicFramePr/>
                        <a:graphic xmlns:a="http://schemas.openxmlformats.org/drawingml/2006/main">
                          <a:graphicData uri="http://schemas.openxmlformats.org/drawingml/2006/picture">
                            <pic:pic xmlns:pic="http://schemas.openxmlformats.org/drawingml/2006/picture">
                              <pic:nvPicPr>
                                <pic:cNvPr id="74" name="AutoShape_3_SpCnt_3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79" name="AutoShape_3_SpCnt_37"/>
                        <wp:cNvGraphicFramePr/>
                        <a:graphic xmlns:a="http://schemas.openxmlformats.org/drawingml/2006/main">
                          <a:graphicData uri="http://schemas.openxmlformats.org/drawingml/2006/picture">
                            <pic:pic xmlns:pic="http://schemas.openxmlformats.org/drawingml/2006/picture">
                              <pic:nvPicPr>
                                <pic:cNvPr id="79" name="AutoShape_3_SpCnt_3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2.规格：1250*630，L=2000mm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80" name="AutoShape_3_SpCnt_38"/>
                        <wp:cNvGraphicFramePr/>
                        <a:graphic xmlns:a="http://schemas.openxmlformats.org/drawingml/2006/main">
                          <a:graphicData uri="http://schemas.openxmlformats.org/drawingml/2006/picture">
                            <pic:pic xmlns:pic="http://schemas.openxmlformats.org/drawingml/2006/picture">
                              <pic:nvPicPr>
                                <pic:cNvPr id="80" name="AutoShape_3_SpCnt_3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6992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0" name="AutoShape_3_SpCnt_39"/>
                        <wp:cNvGraphicFramePr/>
                        <a:graphic xmlns:a="http://schemas.openxmlformats.org/drawingml/2006/main">
                          <a:graphicData uri="http://schemas.openxmlformats.org/drawingml/2006/picture">
                            <pic:pic xmlns:pic="http://schemas.openxmlformats.org/drawingml/2006/picture">
                              <pic:nvPicPr>
                                <pic:cNvPr id="30" name="AutoShape_3_SpCnt_39"/>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1.名称：双腔微孔板消音器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2.规格：1250*800，L=1000mm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02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5" name="AutoShape_3_SpCnt_40"/>
                        <wp:cNvGraphicFramePr/>
                        <a:graphic xmlns:a="http://schemas.openxmlformats.org/drawingml/2006/main">
                          <a:graphicData uri="http://schemas.openxmlformats.org/drawingml/2006/picture">
                            <pic:pic xmlns:pic="http://schemas.openxmlformats.org/drawingml/2006/picture">
                              <pic:nvPicPr>
                                <pic:cNvPr id="25" name="AutoShape_3_SpCnt_4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0" name="AutoShape_3_SpCnt_41"/>
                        <wp:cNvGraphicFramePr/>
                        <a:graphic xmlns:a="http://schemas.openxmlformats.org/drawingml/2006/main">
                          <a:graphicData uri="http://schemas.openxmlformats.org/drawingml/2006/picture">
                            <pic:pic xmlns:pic="http://schemas.openxmlformats.org/drawingml/2006/picture">
                              <pic:nvPicPr>
                                <pic:cNvPr id="20" name="AutoShape_3_SpCnt_41"/>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012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7" name="AutoShape_3_SpCnt_42"/>
                        <wp:cNvGraphicFramePr/>
                        <a:graphic xmlns:a="http://schemas.openxmlformats.org/drawingml/2006/main">
                          <a:graphicData uri="http://schemas.openxmlformats.org/drawingml/2006/picture">
                            <pic:pic xmlns:pic="http://schemas.openxmlformats.org/drawingml/2006/picture">
                              <pic:nvPicPr>
                                <pic:cNvPr id="27" name="AutoShape_3_SpCnt_4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22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36" name="AutoShape_3_SpCnt_43"/>
                        <wp:cNvGraphicFramePr/>
                        <a:graphic xmlns:a="http://schemas.openxmlformats.org/drawingml/2006/main">
                          <a:graphicData uri="http://schemas.openxmlformats.org/drawingml/2006/picture">
                            <pic:pic xmlns:pic="http://schemas.openxmlformats.org/drawingml/2006/picture">
                              <pic:nvPicPr>
                                <pic:cNvPr id="36" name="AutoShape_3_SpCnt_4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032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37" name="AutoShape_3_SpCnt_44"/>
                        <wp:cNvGraphicFramePr/>
                        <a:graphic xmlns:a="http://schemas.openxmlformats.org/drawingml/2006/main">
                          <a:graphicData uri="http://schemas.openxmlformats.org/drawingml/2006/picture">
                            <pic:pic xmlns:pic="http://schemas.openxmlformats.org/drawingml/2006/picture">
                              <pic:nvPicPr>
                                <pic:cNvPr id="37" name="AutoShape_3_SpCnt_4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043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8" name="AutoShape_3_SpCnt_45"/>
                        <wp:cNvGraphicFramePr/>
                        <a:graphic xmlns:a="http://schemas.openxmlformats.org/drawingml/2006/main">
                          <a:graphicData uri="http://schemas.openxmlformats.org/drawingml/2006/picture">
                            <pic:pic xmlns:pic="http://schemas.openxmlformats.org/drawingml/2006/picture">
                              <pic:nvPicPr>
                                <pic:cNvPr id="38" name="AutoShape_3_SpCnt_4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2.规格：200*200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2.规格：250*200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53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26" name="AutoShape_3_SpCnt_46"/>
                        <wp:cNvGraphicFramePr/>
                        <a:graphic xmlns:a="http://schemas.openxmlformats.org/drawingml/2006/main">
                          <a:graphicData uri="http://schemas.openxmlformats.org/drawingml/2006/picture">
                            <pic:pic xmlns:pic="http://schemas.openxmlformats.org/drawingml/2006/picture">
                              <pic:nvPicPr>
                                <pic:cNvPr id="26" name="AutoShape_3_SpCnt_4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63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28" name="AutoShape_3_SpCnt_47"/>
                        <wp:cNvGraphicFramePr/>
                        <a:graphic xmlns:a="http://schemas.openxmlformats.org/drawingml/2006/main">
                          <a:graphicData uri="http://schemas.openxmlformats.org/drawingml/2006/picture">
                            <pic:pic xmlns:pic="http://schemas.openxmlformats.org/drawingml/2006/picture">
                              <pic:nvPicPr>
                                <pic:cNvPr id="28" name="AutoShape_3_SpCnt_4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2.规格：320*250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2.规格：400*250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73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9" name="AutoShape_3_SpCnt_48"/>
                        <wp:cNvGraphicFramePr/>
                        <a:graphic xmlns:a="http://schemas.openxmlformats.org/drawingml/2006/main">
                          <a:graphicData uri="http://schemas.openxmlformats.org/drawingml/2006/picture">
                            <pic:pic xmlns:pic="http://schemas.openxmlformats.org/drawingml/2006/picture">
                              <pic:nvPicPr>
                                <pic:cNvPr id="29" name="AutoShape_3_SpCnt_4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39" name="AutoShape_3_SpCnt_49"/>
                        <wp:cNvGraphicFramePr/>
                        <a:graphic xmlns:a="http://schemas.openxmlformats.org/drawingml/2006/main">
                          <a:graphicData uri="http://schemas.openxmlformats.org/drawingml/2006/picture">
                            <pic:pic xmlns:pic="http://schemas.openxmlformats.org/drawingml/2006/picture">
                              <pic:nvPicPr>
                                <pic:cNvPr id="39" name="AutoShape_3_SpCnt_49"/>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2.规格：320*320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094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31" name="AutoShape_3_SpCnt_50"/>
                        <wp:cNvGraphicFramePr/>
                        <a:graphic xmlns:a="http://schemas.openxmlformats.org/drawingml/2006/main">
                          <a:graphicData uri="http://schemas.openxmlformats.org/drawingml/2006/picture">
                            <pic:pic xmlns:pic="http://schemas.openxmlformats.org/drawingml/2006/picture">
                              <pic:nvPicPr>
                                <pic:cNvPr id="31" name="AutoShape_3_SpCnt_5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04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4" name="AutoShape_3_SpCnt_51"/>
                        <wp:cNvGraphicFramePr/>
                        <a:graphic xmlns:a="http://schemas.openxmlformats.org/drawingml/2006/main">
                          <a:graphicData uri="http://schemas.openxmlformats.org/drawingml/2006/picture">
                            <pic:pic xmlns:pic="http://schemas.openxmlformats.org/drawingml/2006/picture">
                              <pic:nvPicPr>
                                <pic:cNvPr id="34" name="AutoShape_3_SpCnt_51"/>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2.规格：400*320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14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5" name="AutoShape_3_SpCnt_52"/>
                        <wp:cNvGraphicFramePr/>
                        <a:graphic xmlns:a="http://schemas.openxmlformats.org/drawingml/2006/main">
                          <a:graphicData uri="http://schemas.openxmlformats.org/drawingml/2006/picture">
                            <pic:pic xmlns:pic="http://schemas.openxmlformats.org/drawingml/2006/picture">
                              <pic:nvPicPr>
                                <pic:cNvPr id="35" name="AutoShape_3_SpCnt_52"/>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125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4" name="AutoShape_3_SpCnt_53"/>
                        <wp:cNvGraphicFramePr/>
                        <a:graphic xmlns:a="http://schemas.openxmlformats.org/drawingml/2006/main">
                          <a:graphicData uri="http://schemas.openxmlformats.org/drawingml/2006/picture">
                            <pic:pic xmlns:pic="http://schemas.openxmlformats.org/drawingml/2006/picture">
                              <pic:nvPicPr>
                                <pic:cNvPr id="24" name="AutoShape_3_SpCnt_5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35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21" name="AutoShape_3_SpCnt_54"/>
                        <wp:cNvGraphicFramePr/>
                        <a:graphic xmlns:a="http://schemas.openxmlformats.org/drawingml/2006/main">
                          <a:graphicData uri="http://schemas.openxmlformats.org/drawingml/2006/picture">
                            <pic:pic xmlns:pic="http://schemas.openxmlformats.org/drawingml/2006/picture">
                              <pic:nvPicPr>
                                <pic:cNvPr id="21" name="AutoShape_3_SpCnt_5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145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22" name="AutoShape_3_SpCnt_55"/>
                        <wp:cNvGraphicFramePr/>
                        <a:graphic xmlns:a="http://schemas.openxmlformats.org/drawingml/2006/main">
                          <a:graphicData uri="http://schemas.openxmlformats.org/drawingml/2006/picture">
                            <pic:pic xmlns:pic="http://schemas.openxmlformats.org/drawingml/2006/picture">
                              <pic:nvPicPr>
                                <pic:cNvPr id="22" name="AutoShape_3_SpCnt_55"/>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55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32" name="AutoShape_3_SpCnt_56"/>
                        <wp:cNvGraphicFramePr/>
                        <a:graphic xmlns:a="http://schemas.openxmlformats.org/drawingml/2006/main">
                          <a:graphicData uri="http://schemas.openxmlformats.org/drawingml/2006/picture">
                            <pic:pic xmlns:pic="http://schemas.openxmlformats.org/drawingml/2006/picture">
                              <pic:nvPicPr>
                                <pic:cNvPr id="32" name="AutoShape_3_SpCnt_5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66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33" name="AutoShape_3_SpCnt_57"/>
                        <wp:cNvGraphicFramePr/>
                        <a:graphic xmlns:a="http://schemas.openxmlformats.org/drawingml/2006/main">
                          <a:graphicData uri="http://schemas.openxmlformats.org/drawingml/2006/picture">
                            <pic:pic xmlns:pic="http://schemas.openxmlformats.org/drawingml/2006/picture">
                              <pic:nvPicPr>
                                <pic:cNvPr id="33" name="AutoShape_3_SpCnt_57"/>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2.规格：400*450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7632" behindDoc="0" locked="0" layoutInCell="1" allowOverlap="1">
                        <wp:simplePos x="0" y="0"/>
                        <wp:positionH relativeFrom="column">
                          <wp:posOffset>0</wp:posOffset>
                        </wp:positionH>
                        <wp:positionV relativeFrom="paragraph">
                          <wp:posOffset>0</wp:posOffset>
                        </wp:positionV>
                        <wp:extent cx="304800" cy="304800"/>
                        <wp:effectExtent l="0" t="0" r="0" b="0"/>
                        <wp:wrapNone/>
                        <wp:docPr id="23" name="AutoShape_3_SpCnt_58"/>
                        <wp:cNvGraphicFramePr/>
                        <a:graphic xmlns:a="http://schemas.openxmlformats.org/drawingml/2006/main">
                          <a:graphicData uri="http://schemas.openxmlformats.org/drawingml/2006/picture">
                            <pic:pic xmlns:pic="http://schemas.openxmlformats.org/drawingml/2006/picture">
                              <pic:nvPicPr>
                                <pic:cNvPr id="23" name="AutoShape_3_SpCnt_58"/>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18656" behindDoc="0" locked="0" layoutInCell="1" allowOverlap="1">
                        <wp:simplePos x="0" y="0"/>
                        <wp:positionH relativeFrom="column">
                          <wp:posOffset>0</wp:posOffset>
                        </wp:positionH>
                        <wp:positionV relativeFrom="paragraph">
                          <wp:posOffset>0</wp:posOffset>
                        </wp:positionV>
                        <wp:extent cx="304800" cy="304800"/>
                        <wp:effectExtent l="0" t="0" r="0" b="0"/>
                        <wp:wrapNone/>
                        <wp:docPr id="56" name="AutoShape_3_SpCnt_59"/>
                        <wp:cNvGraphicFramePr/>
                        <a:graphic xmlns:a="http://schemas.openxmlformats.org/drawingml/2006/main">
                          <a:graphicData uri="http://schemas.openxmlformats.org/drawingml/2006/picture">
                            <pic:pic xmlns:pic="http://schemas.openxmlformats.org/drawingml/2006/picture">
                              <pic:nvPicPr>
                                <pic:cNvPr id="56" name="AutoShape_3_SpCnt_59"/>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19680" behindDoc="0" locked="0" layoutInCell="1" allowOverlap="1">
                        <wp:simplePos x="0" y="0"/>
                        <wp:positionH relativeFrom="column">
                          <wp:posOffset>0</wp:posOffset>
                        </wp:positionH>
                        <wp:positionV relativeFrom="paragraph">
                          <wp:posOffset>0</wp:posOffset>
                        </wp:positionV>
                        <wp:extent cx="304800" cy="304800"/>
                        <wp:effectExtent l="0" t="0" r="0" b="0"/>
                        <wp:wrapNone/>
                        <wp:docPr id="44" name="AutoShape_3_SpCnt_60"/>
                        <wp:cNvGraphicFramePr/>
                        <a:graphic xmlns:a="http://schemas.openxmlformats.org/drawingml/2006/main">
                          <a:graphicData uri="http://schemas.openxmlformats.org/drawingml/2006/picture">
                            <pic:pic xmlns:pic="http://schemas.openxmlformats.org/drawingml/2006/picture">
                              <pic:nvPicPr>
                                <pic:cNvPr id="44" name="AutoShape_3_SpCnt_60"/>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070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8" name="AutoShape_3_SpCnt_61"/>
                        <wp:cNvGraphicFramePr/>
                        <a:graphic xmlns:a="http://schemas.openxmlformats.org/drawingml/2006/main">
                          <a:graphicData uri="http://schemas.openxmlformats.org/drawingml/2006/picture">
                            <pic:pic xmlns:pic="http://schemas.openxmlformats.org/drawingml/2006/picture">
                              <pic:nvPicPr>
                                <pic:cNvPr id="48" name="AutoShape_3_SpCnt_61"/>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304800" cy="304800"/>
                        <wp:effectExtent l="0" t="0" r="0" b="0"/>
                        <wp:wrapNone/>
                        <wp:docPr id="47" name="AutoShape_3_SpCnt_62"/>
                        <wp:cNvGraphicFramePr/>
                        <a:graphic xmlns:a="http://schemas.openxmlformats.org/drawingml/2006/main">
                          <a:graphicData uri="http://schemas.openxmlformats.org/drawingml/2006/picture">
                            <pic:pic xmlns:pic="http://schemas.openxmlformats.org/drawingml/2006/picture">
                              <pic:nvPicPr>
                                <pic:cNvPr id="47" name="AutoShape_3_SpCnt_62"/>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2.规格：500*630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275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9" name="AutoShape_3_SpCnt_63"/>
                        <wp:cNvGraphicFramePr/>
                        <a:graphic xmlns:a="http://schemas.openxmlformats.org/drawingml/2006/main">
                          <a:graphicData uri="http://schemas.openxmlformats.org/drawingml/2006/picture">
                            <pic:pic xmlns:pic="http://schemas.openxmlformats.org/drawingml/2006/picture">
                              <pic:nvPicPr>
                                <pic:cNvPr id="59" name="AutoShape_3_SpCnt_6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23776" behindDoc="0" locked="0" layoutInCell="1" allowOverlap="1">
                        <wp:simplePos x="0" y="0"/>
                        <wp:positionH relativeFrom="column">
                          <wp:posOffset>0</wp:posOffset>
                        </wp:positionH>
                        <wp:positionV relativeFrom="paragraph">
                          <wp:posOffset>0</wp:posOffset>
                        </wp:positionV>
                        <wp:extent cx="304800" cy="304800"/>
                        <wp:effectExtent l="0" t="0" r="0" b="0"/>
                        <wp:wrapNone/>
                        <wp:docPr id="57" name="AutoShape_3_SpCnt_64"/>
                        <wp:cNvGraphicFramePr/>
                        <a:graphic xmlns:a="http://schemas.openxmlformats.org/drawingml/2006/main">
                          <a:graphicData uri="http://schemas.openxmlformats.org/drawingml/2006/picture">
                            <pic:pic xmlns:pic="http://schemas.openxmlformats.org/drawingml/2006/picture">
                              <pic:nvPicPr>
                                <pic:cNvPr id="57" name="AutoShape_3_SpCnt_6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2.规格：630*400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2.规格：630*500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4800" behindDoc="0" locked="0" layoutInCell="1" allowOverlap="1">
                        <wp:simplePos x="0" y="0"/>
                        <wp:positionH relativeFrom="column">
                          <wp:posOffset>0</wp:posOffset>
                        </wp:positionH>
                        <wp:positionV relativeFrom="paragraph">
                          <wp:posOffset>0</wp:posOffset>
                        </wp:positionV>
                        <wp:extent cx="304800" cy="304800"/>
                        <wp:effectExtent l="0" t="0" r="0" b="0"/>
                        <wp:wrapNone/>
                        <wp:docPr id="40" name="AutoShape_3_SpCnt_65"/>
                        <wp:cNvGraphicFramePr/>
                        <a:graphic xmlns:a="http://schemas.openxmlformats.org/drawingml/2006/main">
                          <a:graphicData uri="http://schemas.openxmlformats.org/drawingml/2006/picture">
                            <pic:pic xmlns:pic="http://schemas.openxmlformats.org/drawingml/2006/picture">
                              <pic:nvPicPr>
                                <pic:cNvPr id="40" name="AutoShape_3_SpCnt_65"/>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25824" behindDoc="0" locked="0" layoutInCell="1" allowOverlap="1">
                        <wp:simplePos x="0" y="0"/>
                        <wp:positionH relativeFrom="column">
                          <wp:posOffset>0</wp:posOffset>
                        </wp:positionH>
                        <wp:positionV relativeFrom="paragraph">
                          <wp:posOffset>0</wp:posOffset>
                        </wp:positionV>
                        <wp:extent cx="304800" cy="304800"/>
                        <wp:effectExtent l="0" t="0" r="0" b="0"/>
                        <wp:wrapNone/>
                        <wp:docPr id="53" name="AutoShape_3_SpCnt_66"/>
                        <wp:cNvGraphicFramePr/>
                        <a:graphic xmlns:a="http://schemas.openxmlformats.org/drawingml/2006/main">
                          <a:graphicData uri="http://schemas.openxmlformats.org/drawingml/2006/picture">
                            <pic:pic xmlns:pic="http://schemas.openxmlformats.org/drawingml/2006/picture">
                              <pic:nvPicPr>
                                <pic:cNvPr id="53" name="AutoShape_3_SpCnt_6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6848" behindDoc="0" locked="0" layoutInCell="1" allowOverlap="1">
                        <wp:simplePos x="0" y="0"/>
                        <wp:positionH relativeFrom="column">
                          <wp:posOffset>0</wp:posOffset>
                        </wp:positionH>
                        <wp:positionV relativeFrom="paragraph">
                          <wp:posOffset>0</wp:posOffset>
                        </wp:positionV>
                        <wp:extent cx="304800" cy="304800"/>
                        <wp:effectExtent l="0" t="0" r="0" b="0"/>
                        <wp:wrapNone/>
                        <wp:docPr id="58" name="AutoShape_3_SpCnt_67"/>
                        <wp:cNvGraphicFramePr/>
                        <a:graphic xmlns:a="http://schemas.openxmlformats.org/drawingml/2006/main">
                          <a:graphicData uri="http://schemas.openxmlformats.org/drawingml/2006/picture">
                            <pic:pic xmlns:pic="http://schemas.openxmlformats.org/drawingml/2006/picture">
                              <pic:nvPicPr>
                                <pic:cNvPr id="58" name="AutoShape_3_SpCnt_67"/>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2787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4" name="AutoShape_3_SpCnt_68"/>
                        <wp:cNvGraphicFramePr/>
                        <a:graphic xmlns:a="http://schemas.openxmlformats.org/drawingml/2006/main">
                          <a:graphicData uri="http://schemas.openxmlformats.org/drawingml/2006/picture">
                            <pic:pic xmlns:pic="http://schemas.openxmlformats.org/drawingml/2006/picture">
                              <pic:nvPicPr>
                                <pic:cNvPr id="54" name="AutoShape_3_SpCnt_68"/>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2.规格：800*500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2.规格：800*630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8896" behindDoc="0" locked="0" layoutInCell="1" allowOverlap="1">
                        <wp:simplePos x="0" y="0"/>
                        <wp:positionH relativeFrom="column">
                          <wp:posOffset>0</wp:posOffset>
                        </wp:positionH>
                        <wp:positionV relativeFrom="paragraph">
                          <wp:posOffset>0</wp:posOffset>
                        </wp:positionV>
                        <wp:extent cx="304800" cy="304800"/>
                        <wp:effectExtent l="0" t="0" r="0" b="0"/>
                        <wp:wrapNone/>
                        <wp:docPr id="60" name="AutoShape_3_SpCnt_69"/>
                        <wp:cNvGraphicFramePr/>
                        <a:graphic xmlns:a="http://schemas.openxmlformats.org/drawingml/2006/main">
                          <a:graphicData uri="http://schemas.openxmlformats.org/drawingml/2006/picture">
                            <pic:pic xmlns:pic="http://schemas.openxmlformats.org/drawingml/2006/picture">
                              <pic:nvPicPr>
                                <pic:cNvPr id="60" name="AutoShape_3_SpCnt_69"/>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29920" behindDoc="0" locked="0" layoutInCell="1" allowOverlap="1">
                        <wp:simplePos x="0" y="0"/>
                        <wp:positionH relativeFrom="column">
                          <wp:posOffset>0</wp:posOffset>
                        </wp:positionH>
                        <wp:positionV relativeFrom="paragraph">
                          <wp:posOffset>0</wp:posOffset>
                        </wp:positionV>
                        <wp:extent cx="304800" cy="304800"/>
                        <wp:effectExtent l="0" t="0" r="0" b="0"/>
                        <wp:wrapNone/>
                        <wp:docPr id="43" name="AutoShape_3_SpCnt_70"/>
                        <wp:cNvGraphicFramePr/>
                        <a:graphic xmlns:a="http://schemas.openxmlformats.org/drawingml/2006/main">
                          <a:graphicData uri="http://schemas.openxmlformats.org/drawingml/2006/picture">
                            <pic:pic xmlns:pic="http://schemas.openxmlformats.org/drawingml/2006/picture">
                              <pic:nvPicPr>
                                <pic:cNvPr id="43" name="AutoShape_3_SpCnt_70"/>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2.规格：1000*630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2.规格：1250*630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消声弯头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1.名称：消声弯头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2.规格：1250*800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0944" behindDoc="0" locked="0" layoutInCell="1" allowOverlap="1">
                        <wp:simplePos x="0" y="0"/>
                        <wp:positionH relativeFrom="column">
                          <wp:posOffset>0</wp:posOffset>
                        </wp:positionH>
                        <wp:positionV relativeFrom="paragraph">
                          <wp:posOffset>0</wp:posOffset>
                        </wp:positionV>
                        <wp:extent cx="304800" cy="304800"/>
                        <wp:effectExtent l="0" t="0" r="0" b="0"/>
                        <wp:wrapNone/>
                        <wp:docPr id="45" name="AutoShape_3_SpCnt_71"/>
                        <wp:cNvGraphicFramePr/>
                        <a:graphic xmlns:a="http://schemas.openxmlformats.org/drawingml/2006/main">
                          <a:graphicData uri="http://schemas.openxmlformats.org/drawingml/2006/picture">
                            <pic:pic xmlns:pic="http://schemas.openxmlformats.org/drawingml/2006/picture">
                              <pic:nvPicPr>
                                <pic:cNvPr id="45" name="AutoShape_3_SpCnt_71"/>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1968" behindDoc="0" locked="0" layoutInCell="1" allowOverlap="1">
                        <wp:simplePos x="0" y="0"/>
                        <wp:positionH relativeFrom="column">
                          <wp:posOffset>0</wp:posOffset>
                        </wp:positionH>
                        <wp:positionV relativeFrom="paragraph">
                          <wp:posOffset>0</wp:posOffset>
                        </wp:positionV>
                        <wp:extent cx="304800" cy="304800"/>
                        <wp:effectExtent l="0" t="0" r="0" b="0"/>
                        <wp:wrapNone/>
                        <wp:docPr id="49" name="AutoShape_3_SpCnt_72"/>
                        <wp:cNvGraphicFramePr/>
                        <a:graphic xmlns:a="http://schemas.openxmlformats.org/drawingml/2006/main">
                          <a:graphicData uri="http://schemas.openxmlformats.org/drawingml/2006/picture">
                            <pic:pic xmlns:pic="http://schemas.openxmlformats.org/drawingml/2006/picture">
                              <pic:nvPicPr>
                                <pic:cNvPr id="49" name="AutoShape_3_SpCnt_72"/>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75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五</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水系统</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299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6" name="AutoShape_3_SpCnt_73"/>
                        <wp:cNvGraphicFramePr/>
                        <a:graphic xmlns:a="http://schemas.openxmlformats.org/drawingml/2006/main">
                          <a:graphicData uri="http://schemas.openxmlformats.org/drawingml/2006/picture">
                            <pic:pic xmlns:pic="http://schemas.openxmlformats.org/drawingml/2006/picture">
                              <pic:nvPicPr>
                                <pic:cNvPr id="46" name="AutoShape_3_SpCnt_73"/>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34016" behindDoc="0" locked="0" layoutInCell="1" allowOverlap="1">
                        <wp:simplePos x="0" y="0"/>
                        <wp:positionH relativeFrom="column">
                          <wp:posOffset>0</wp:posOffset>
                        </wp:positionH>
                        <wp:positionV relativeFrom="paragraph">
                          <wp:posOffset>0</wp:posOffset>
                        </wp:positionV>
                        <wp:extent cx="304800" cy="304800"/>
                        <wp:effectExtent l="0" t="0" r="0" b="0"/>
                        <wp:wrapNone/>
                        <wp:docPr id="42" name="AutoShape_3_SpCnt_74"/>
                        <wp:cNvGraphicFramePr/>
                        <a:graphic xmlns:a="http://schemas.openxmlformats.org/drawingml/2006/main">
                          <a:graphicData uri="http://schemas.openxmlformats.org/drawingml/2006/picture">
                            <pic:pic xmlns:pic="http://schemas.openxmlformats.org/drawingml/2006/picture">
                              <pic:nvPicPr>
                                <pic:cNvPr id="42" name="AutoShape_3_SpCnt_74"/>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35040" behindDoc="0" locked="0" layoutInCell="1" allowOverlap="1">
                        <wp:simplePos x="0" y="0"/>
                        <wp:positionH relativeFrom="column">
                          <wp:posOffset>0</wp:posOffset>
                        </wp:positionH>
                        <wp:positionV relativeFrom="paragraph">
                          <wp:posOffset>0</wp:posOffset>
                        </wp:positionV>
                        <wp:extent cx="304800" cy="304800"/>
                        <wp:effectExtent l="0" t="0" r="0" b="0"/>
                        <wp:wrapNone/>
                        <wp:docPr id="50" name="AutoShape_3_SpCnt_75"/>
                        <wp:cNvGraphicFramePr/>
                        <a:graphic xmlns:a="http://schemas.openxmlformats.org/drawingml/2006/main">
                          <a:graphicData uri="http://schemas.openxmlformats.org/drawingml/2006/picture">
                            <pic:pic xmlns:pic="http://schemas.openxmlformats.org/drawingml/2006/picture">
                              <pic:nvPicPr>
                                <pic:cNvPr id="50" name="AutoShape_3_SpCnt_75"/>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6064" behindDoc="0" locked="0" layoutInCell="1" allowOverlap="1">
                        <wp:simplePos x="0" y="0"/>
                        <wp:positionH relativeFrom="column">
                          <wp:posOffset>0</wp:posOffset>
                        </wp:positionH>
                        <wp:positionV relativeFrom="paragraph">
                          <wp:posOffset>0</wp:posOffset>
                        </wp:positionV>
                        <wp:extent cx="304800" cy="304800"/>
                        <wp:effectExtent l="0" t="0" r="0" b="0"/>
                        <wp:wrapNone/>
                        <wp:docPr id="51" name="AutoShape_3_SpCnt_76"/>
                        <wp:cNvGraphicFramePr/>
                        <a:graphic xmlns:a="http://schemas.openxmlformats.org/drawingml/2006/main">
                          <a:graphicData uri="http://schemas.openxmlformats.org/drawingml/2006/picture">
                            <pic:pic xmlns:pic="http://schemas.openxmlformats.org/drawingml/2006/picture">
                              <pic:nvPicPr>
                                <pic:cNvPr id="51" name="AutoShape_3_SpCnt_76"/>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37088" behindDoc="0" locked="0" layoutInCell="1" allowOverlap="1">
                        <wp:simplePos x="0" y="0"/>
                        <wp:positionH relativeFrom="column">
                          <wp:posOffset>0</wp:posOffset>
                        </wp:positionH>
                        <wp:positionV relativeFrom="paragraph">
                          <wp:posOffset>0</wp:posOffset>
                        </wp:positionV>
                        <wp:extent cx="304800" cy="304800"/>
                        <wp:effectExtent l="0" t="0" r="0" b="0"/>
                        <wp:wrapNone/>
                        <wp:docPr id="52" name="AutoShape_3_SpCnt_77"/>
                        <wp:cNvGraphicFramePr/>
                        <a:graphic xmlns:a="http://schemas.openxmlformats.org/drawingml/2006/main">
                          <a:graphicData uri="http://schemas.openxmlformats.org/drawingml/2006/picture">
                            <pic:pic xmlns:pic="http://schemas.openxmlformats.org/drawingml/2006/picture">
                              <pic:nvPicPr>
                                <pic:cNvPr id="52" name="AutoShape_3_SpCnt_77"/>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bdr w:val="single" w:color="000000" w:sz="4" w:space="0"/>
                      <w:lang w:bidi="ar"/>
                    </w:rPr>
                    <w:drawing>
                      <wp:anchor distT="0" distB="0" distL="114300" distR="114300" simplePos="0" relativeHeight="2517381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55" name="AutoShape_3_SpCnt_78"/>
                        <wp:cNvGraphicFramePr/>
                        <a:graphic xmlns:a="http://schemas.openxmlformats.org/drawingml/2006/main">
                          <a:graphicData uri="http://schemas.openxmlformats.org/drawingml/2006/picture">
                            <pic:pic xmlns:pic="http://schemas.openxmlformats.org/drawingml/2006/picture">
                              <pic:nvPicPr>
                                <pic:cNvPr id="55" name="AutoShape_3_SpCnt_78"/>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19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螺杆式风冷热泵（手术部四管制）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1.名称：螺杆式风冷热泵（手术部四管制）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2.规格：制冷量：512KW,用电功率：220KW,水流量：90m3/h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Cs w:val="21"/>
                      <w:highlight w:val="none"/>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39136" behindDoc="0" locked="0" layoutInCell="1" allowOverlap="1">
                        <wp:simplePos x="0" y="0"/>
                        <wp:positionH relativeFrom="column">
                          <wp:posOffset>0</wp:posOffset>
                        </wp:positionH>
                        <wp:positionV relativeFrom="paragraph">
                          <wp:posOffset>0</wp:posOffset>
                        </wp:positionV>
                        <wp:extent cx="304800" cy="304800"/>
                        <wp:effectExtent l="0" t="0" r="0" b="0"/>
                        <wp:wrapNone/>
                        <wp:docPr id="61" name="AutoShape_3_SpCnt_79"/>
                        <wp:cNvGraphicFramePr/>
                        <a:graphic xmlns:a="http://schemas.openxmlformats.org/drawingml/2006/main">
                          <a:graphicData uri="http://schemas.openxmlformats.org/drawingml/2006/picture">
                            <pic:pic xmlns:pic="http://schemas.openxmlformats.org/drawingml/2006/picture">
                              <pic:nvPicPr>
                                <pic:cNvPr id="61" name="AutoShape_3_SpCnt_79"/>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40160" behindDoc="0" locked="0" layoutInCell="1" allowOverlap="1">
                        <wp:simplePos x="0" y="0"/>
                        <wp:positionH relativeFrom="column">
                          <wp:posOffset>0</wp:posOffset>
                        </wp:positionH>
                        <wp:positionV relativeFrom="paragraph">
                          <wp:posOffset>0</wp:posOffset>
                        </wp:positionV>
                        <wp:extent cx="304800" cy="304800"/>
                        <wp:effectExtent l="0" t="0" r="0" b="0"/>
                        <wp:wrapNone/>
                        <wp:docPr id="63" name="AutoShape_3_SpCnt_80"/>
                        <wp:cNvGraphicFramePr/>
                        <a:graphic xmlns:a="http://schemas.openxmlformats.org/drawingml/2006/main">
                          <a:graphicData uri="http://schemas.openxmlformats.org/drawingml/2006/picture">
                            <pic:pic xmlns:pic="http://schemas.openxmlformats.org/drawingml/2006/picture">
                              <pic:nvPicPr>
                                <pic:cNvPr id="63" name="AutoShape_3_SpCnt_80"/>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19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涡旋式风冷热泵（四管制）</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1.名称：涡旋式风冷热泵（四管制）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2.规格：制冷量：130KW,用电功率：43KW,水流量：22m3/h</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Cs w:val="21"/>
                      <w:highlight w:val="none"/>
                    </w:rPr>
                    <w:t>天加、雅士、清华同方</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41184" behindDoc="0" locked="0" layoutInCell="1" allowOverlap="1">
                        <wp:simplePos x="0" y="0"/>
                        <wp:positionH relativeFrom="column">
                          <wp:posOffset>0</wp:posOffset>
                        </wp:positionH>
                        <wp:positionV relativeFrom="paragraph">
                          <wp:posOffset>0</wp:posOffset>
                        </wp:positionV>
                        <wp:extent cx="304800" cy="304800"/>
                        <wp:effectExtent l="0" t="0" r="0" b="0"/>
                        <wp:wrapNone/>
                        <wp:docPr id="62" name="AutoShape_3_SpCnt_81"/>
                        <wp:cNvGraphicFramePr/>
                        <a:graphic xmlns:a="http://schemas.openxmlformats.org/drawingml/2006/main">
                          <a:graphicData uri="http://schemas.openxmlformats.org/drawingml/2006/picture">
                            <pic:pic xmlns:pic="http://schemas.openxmlformats.org/drawingml/2006/picture">
                              <pic:nvPicPr>
                                <pic:cNvPr id="62" name="AutoShape_3_SpCnt_81"/>
                                <pic:cNvPicPr/>
                              </pic:nvPicPr>
                              <pic:blipFill>
                                <a:blip r:embed="rId8"/>
                                <a:stretch>
                                  <a:fillRect/>
                                </a:stretch>
                              </pic:blipFill>
                              <pic:spPr>
                                <a:xfrm>
                                  <a:off x="0" y="0"/>
                                  <a:ext cx="304800" cy="304800"/>
                                </a:xfrm>
                                <a:prstGeom prst="rect">
                                  <a:avLst/>
                                </a:prstGeom>
                                <a:noFill/>
                                <a:ln>
                                  <a:noFill/>
                                </a:ln>
                              </pic:spPr>
                            </pic:pic>
                          </a:graphicData>
                        </a:graphic>
                      </wp:anchor>
                    </w:drawing>
                  </w: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bdr w:val="single" w:color="000000" w:sz="4" w:space="0"/>
                      <w:lang w:bidi="ar"/>
                    </w:rPr>
                    <w:drawing>
                      <wp:anchor distT="0" distB="0" distL="114300" distR="114300" simplePos="0" relativeHeight="251742208" behindDoc="0" locked="0" layoutInCell="1" allowOverlap="1">
                        <wp:simplePos x="0" y="0"/>
                        <wp:positionH relativeFrom="column">
                          <wp:posOffset>0</wp:posOffset>
                        </wp:positionH>
                        <wp:positionV relativeFrom="paragraph">
                          <wp:posOffset>0</wp:posOffset>
                        </wp:positionV>
                        <wp:extent cx="304800" cy="304800"/>
                        <wp:effectExtent l="0" t="0" r="0" b="0"/>
                        <wp:wrapNone/>
                        <wp:docPr id="64" name="AutoShape_3_SpCnt_82"/>
                        <wp:cNvGraphicFramePr/>
                        <a:graphic xmlns:a="http://schemas.openxmlformats.org/drawingml/2006/main">
                          <a:graphicData uri="http://schemas.openxmlformats.org/drawingml/2006/picture">
                            <pic:pic xmlns:pic="http://schemas.openxmlformats.org/drawingml/2006/picture">
                              <pic:nvPicPr>
                                <pic:cNvPr id="64" name="AutoShape_3_SpCnt_82"/>
                                <pic:cNvPicPr/>
                              </pic:nvPicPr>
                              <pic:blipFill>
                                <a:blip r:embed="rId8"/>
                                <a:stretch>
                                  <a:fillRect/>
                                </a:stretch>
                              </pic:blipFill>
                              <pic:spPr>
                                <a:xfrm>
                                  <a:off x="0" y="0"/>
                                  <a:ext cx="304800" cy="304800"/>
                                </a:xfrm>
                                <a:prstGeom prst="rect">
                                  <a:avLst/>
                                </a:prstGeom>
                                <a:noFill/>
                                <a:ln>
                                  <a:noFill/>
                                </a:ln>
                              </pic:spPr>
                            </pic:pic>
                          </a:graphicData>
                        </a:graphic>
                      </wp:anchor>
                    </w:drawing>
                  </w:r>
                </w:p>
              </w:tc>
            </w:tr>
            <w:tr>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水泵（手术部冷水泵）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2.规格：水泵扬程：28m,水泵流量：100m3/h，水泵功率：15KW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水泵（手术部热水泵）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2.规格：水泵扬程：28m,水泵流量：60m3/h，水泵功率：11KW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水泵（妇科楼、病理科冷水泵)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2.规格：水泵扬程：38m,水泵流量：100m3/h，水泵功率：22KW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水泵（妇科楼、病理科热水泵)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2.规格：水泵扬程：38m,水泵流量：60m3/h，水泵功率：15KW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水泵（儿科楼 冷水泵）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2.规格：水泵扬程：32m,水泵流量：80m3/h，水泵功率：15KW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水泵（儿科楼 热水泵）</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1.名称：水泵</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2.规格：水泵扬程：32m,水泵流量：50m3/h，水泵功率：11KW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3.隔振垫(器)、支架形式、材质：加厚型橡胶减震垫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4.安装形式：落地安装 含设备基础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5.电机检查接线、单体调试</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上海连成、凯泉、格兰富</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20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散热水箱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1.名称：散热水箱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2.规格：480*320*300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3.安装形式：槽钢基础，手工除锈及2遍防锈漆，银粉漆</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6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膨胀水箱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1.名称：膨胀水箱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2.规格：1m3</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3.安装形式：槽钢基础，手工除锈及2遍防锈漆，银粉漆                                            4.包括水箱盖板、通气管、膨胀管、信号管、排污管等，其余按设计及规范要求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冷却水箱</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1.名称：冷却水箱</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2.规格：600*600*600</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3.安装形式：槽钢基础，手工除锈及2遍防锈漆，银粉漆                      4.包括温度传感器、挡板等设计图内的一切内容</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压力表（带旋塞）</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1.名称：压力表</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温度计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1.名称：温度计</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铜球阀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1.名称：铜球阀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铜球阀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1.名称：铜球阀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电动二通阀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1.名称：电动二通阀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电动三通阀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1.名称：电动三通阀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霍尼韦尔、西门子、江森</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铜制Y型过滤器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1.名称：铜制Y型过滤器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铸铁Y型过滤器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1.名称：铸铁Y型过滤器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铸铁Y型过滤器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1.名称：铸铁Y型过滤器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铸铁Y型过滤器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1.名称：铸铁Y型过滤器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铸铁Y型过滤器</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1.名称：铸铁Y型过滤器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带编网不锈钢波纹软接</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1.名称：带编网不锈钢波纹软接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法兰橡胶软接头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1.名称：法兰橡胶软接头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法兰橡胶软接头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1.名称：法兰橡胶软接头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法兰橡胶软接头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1.名称：法兰橡胶软接头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法兰橡胶软接头</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1.名称：法兰橡胶软接头</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自动排气阀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1.名称：自动排气阀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手动放气阀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1.名称：手动放气阀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排气阀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1.名称：排气阀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1.名称：排污阀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浮球阀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1.名称：浮球阀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蝶阀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1.名称：蝶阀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蝶阀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1.名称：蝶阀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蝶阀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1.名称：蝶阀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蝶阀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1.名称：蝶阀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855"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1.名称：闸阀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良工、精工、上阀</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电子除垢仪</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1.名称：电子除垢仪</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压差旁通阀组</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1.名称：压差旁通阀组</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压差旁通阀组</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1.名称：压差旁通阀组</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压差旁通阀组</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1.名称：压差旁通阀组</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压差旁通阀组</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1.名称：压差旁通阀组</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止回阀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1.名称：止回阀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止回阀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1.名称：止回阀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2.规格：DN32</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2.规格：DN40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2.规格：DN65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平衡阀</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1.名称：平衡阀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2.介质：空调加湿水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3.规格、压力等级：DN15，水管承受压力≤0.8MPa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14.14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2.介质：空调加湿水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172.61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2.介质：空调加湿水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115.28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113.33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3.规格、压力等级：DN32，水管承受压力≤0.8MPa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283.88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3.规格、压力等级：DN40，水管承受压力≤0.8MPa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56.09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2.介质：空调冷凝水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3.规格、压力等级：DN50，水管承受压力≤0.8MPa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6.包括水管穿墙套管，热浸锌吊支架（预埋吊座）、间接排水口、P型存水弯、软接、膨胀节等，其余按设计及规范要求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10.22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237.76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40.85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3.规格、压力等级：DN32，水管承受压力≤0.8MPa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328.36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3.规格、压力等级：DN40，水管承受压力≤0.8MPa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4.连接形式：螺纹连接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276.95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3.规格、压力等级：DN50，水管承受压力≤0.8MPa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240.85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3.规格、压力等级：DN65，水管承受压力＞0.8MPa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4.连接形式:螺纹连接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6.包括水管穿墙套管，热浸锌吊支架（预埋吊座）及其除锈刷油防腐、膨胀节等，其余按设计及规范要求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444.50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3.规格、压力等级：DN80，水管承受压力＞0.8MPa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471.94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3.规格、压力等级：DN100，水管承受压力＞0.8MPa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650.48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3.规格、压力等级：DN125，水管承受压力＞0.8MPa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331.17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3.规格、压力等级：DN150，水管承受压力＞0.8MPa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483.30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1.安装部位：室内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2.介质：空调冷、热水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3.规格、压力等级：DN200，水管承受压力＞0.8MPa</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4.连接形式：焊接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5.压力试验及吹、洗设计要求：水压试验、水冲洗  6.包括水管穿墙套管，热浸锌吊支架（预埋吊座）、除锈刷油防腐、管道及膨胀节等，其余按设计及规范要求</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423.90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101</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2.规格：DN80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102</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2.规格：DN125</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2.规格：DN150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波纹补偿管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1.名称：波纹补偿管</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2.规格：DN200</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水管橡塑保温棉</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1.名称：水管橡塑保温棉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2.绝热厚度：20mm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3.规格：燃烧等级:B1级,导热系数:平均温度为0℃时≤0.034w/m.k,表观密度:≤95Kg/m3</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1.33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122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107</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水管橡塑保温棉</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1.名称：水管橡塑保温棉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2.绝热厚度：30mm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3.规格：燃烧等级:B1级,导热系数:平均温度为0℃时≤0.034w/m.k,表观密度:≤95Kg/m3</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阿乐斯福乐斯（德国）、阿斯克（浙江）、杜肯福耐斯（美国）</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34.78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108</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保护层铝箔</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1.名称：保护层铝箔</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2.规格：0.5mm</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366.35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18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109</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磷酸脱氧无缝紫铜管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1.材质：磷酸脱氧无缝紫铜管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2.规格：φ9.5*0.8</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3.焊接方法：钎焊+氮气置换焊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4.压力试验、吹扫与清洗设计要求：气密性试验、空气吹扫、清洗、真空干燥、分歧器、冷媒等</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5.脱脂设计要求：脱脂                           6、包括分歧器、冷媒、支架及其刷油防腐等图纸涉及一切内容的供应及安装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48.70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2360"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磷酸脱氧无缝紫铜管</w:t>
                  </w:r>
                </w:p>
              </w:tc>
              <w:tc>
                <w:tcPr>
                  <w:tcW w:w="479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1.材质：磷酸脱氧无缝紫铜管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2.规格：φ16*1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3.焊接方法：钎焊+氮气置换焊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4.压力试验、吹扫与清洗设计要求：气密性试验、空气吹扫、清洗、真空干燥</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5.脱脂设计要求：脱脂                           6、包括分歧器、冷媒、支架及其刷油防腐等图纸涉及一切内容的供应及安装</w:t>
                  </w:r>
                </w:p>
              </w:tc>
              <w:tc>
                <w:tcPr>
                  <w:tcW w:w="1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48.70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rPr>
                <w:trHeight w:val="561" w:hRule="atLeast"/>
                <w:jc w:val="center"/>
              </w:trPr>
              <w:tc>
                <w:tcPr>
                  <w:tcW w:w="3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c>
                <w:tcPr>
                  <w:tcW w:w="57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05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c>
                <w:tcPr>
                  <w:tcW w:w="6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4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p>
              </w:tc>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bl>
          <w:p>
            <w:pPr>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p>
            <w:pPr>
              <w:pStyle w:val="26"/>
              <w:rPr>
                <w:color w:val="auto"/>
                <w:highlight w:val="none"/>
              </w:rPr>
            </w:pPr>
          </w:p>
          <w:p>
            <w:pPr>
              <w:rPr>
                <w:color w:val="auto"/>
                <w:highlight w:val="none"/>
              </w:rPr>
            </w:pPr>
          </w:p>
          <w:tbl>
            <w:tblPr>
              <w:tblStyle w:val="27"/>
              <w:tblW w:w="9525" w:type="dxa"/>
              <w:tblInd w:w="93" w:type="dxa"/>
              <w:tblLayout w:type="fixed"/>
              <w:tblCellMar>
                <w:top w:w="0" w:type="dxa"/>
                <w:left w:w="108" w:type="dxa"/>
                <w:bottom w:w="0" w:type="dxa"/>
                <w:right w:w="108" w:type="dxa"/>
              </w:tblCellMar>
            </w:tblPr>
            <w:tblGrid>
              <w:gridCol w:w="9525"/>
            </w:tblGrid>
            <w:tr>
              <w:tblPrEx>
                <w:tblCellMar>
                  <w:top w:w="0" w:type="dxa"/>
                  <w:left w:w="108" w:type="dxa"/>
                  <w:bottom w:w="0" w:type="dxa"/>
                  <w:right w:w="108" w:type="dxa"/>
                </w:tblCellMar>
              </w:tblPrEx>
              <w:trPr>
                <w:trHeight w:val="405" w:hRule="atLeast"/>
              </w:trPr>
              <w:tc>
                <w:tcPr>
                  <w:tcW w:w="9525" w:type="dxa"/>
                  <w:tcBorders>
                    <w:top w:val="nil"/>
                    <w:left w:val="nil"/>
                    <w:bottom w:val="nil"/>
                    <w:right w:val="nil"/>
                  </w:tcBorders>
                  <w:vAlign w:val="center"/>
                </w:tcPr>
                <w:p>
                  <w:pPr>
                    <w:widowControl/>
                    <w:jc w:val="center"/>
                    <w:textAlignment w:val="center"/>
                    <w:rPr>
                      <w:rFonts w:ascii="宋体" w:hAnsi="宋体" w:cs="宋体"/>
                      <w:b/>
                      <w:bCs/>
                      <w:color w:val="auto"/>
                      <w:sz w:val="32"/>
                      <w:szCs w:val="32"/>
                      <w:highlight w:val="none"/>
                      <w:lang w:bidi="ar"/>
                    </w:rPr>
                  </w:pPr>
                  <w:r>
                    <w:rPr>
                      <w:rFonts w:hint="eastAsia" w:ascii="宋体" w:hAnsi="宋体" w:cs="宋体"/>
                      <w:b/>
                      <w:bCs/>
                      <w:color w:val="auto"/>
                      <w:sz w:val="32"/>
                      <w:szCs w:val="32"/>
                      <w:highlight w:val="none"/>
                      <w:lang w:bidi="ar"/>
                    </w:rPr>
                    <w:t>强电专项工程清单</w:t>
                  </w:r>
                </w:p>
                <w:tbl>
                  <w:tblPr>
                    <w:tblStyle w:val="27"/>
                    <w:tblpPr w:leftFromText="180" w:rightFromText="180" w:vertAnchor="text" w:horzAnchor="page" w:tblpX="1" w:tblpY="431"/>
                    <w:tblOverlap w:val="never"/>
                    <w:tblW w:w="9355" w:type="dxa"/>
                    <w:tblInd w:w="0" w:type="dxa"/>
                    <w:tblLayout w:type="fixed"/>
                    <w:tblCellMar>
                      <w:top w:w="0" w:type="dxa"/>
                      <w:left w:w="108" w:type="dxa"/>
                      <w:bottom w:w="0" w:type="dxa"/>
                      <w:right w:w="108" w:type="dxa"/>
                    </w:tblCellMar>
                  </w:tblPr>
                  <w:tblGrid>
                    <w:gridCol w:w="395"/>
                    <w:gridCol w:w="1126"/>
                    <w:gridCol w:w="4384"/>
                    <w:gridCol w:w="1185"/>
                    <w:gridCol w:w="713"/>
                    <w:gridCol w:w="892"/>
                    <w:gridCol w:w="660"/>
                  </w:tblGrid>
                  <w:tr>
                    <w:tblPrEx>
                      <w:tblCellMar>
                        <w:top w:w="0" w:type="dxa"/>
                        <w:left w:w="108" w:type="dxa"/>
                        <w:bottom w:w="0" w:type="dxa"/>
                        <w:right w:w="108" w:type="dxa"/>
                      </w:tblCellMar>
                    </w:tblPrEx>
                    <w:trPr>
                      <w:trHeight w:val="480" w:hRule="atLeast"/>
                    </w:trPr>
                    <w:tc>
                      <w:tcPr>
                        <w:tcW w:w="39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1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3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71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8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480" w:hRule="atLeast"/>
                    </w:trPr>
                    <w:tc>
                      <w:tcPr>
                        <w:tcW w:w="39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3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1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6"/>
                            <w:szCs w:val="16"/>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16"/>
                            <w:szCs w:val="16"/>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6"/>
                            <w:szCs w:val="16"/>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w:t>
                        </w:r>
                      </w:p>
                    </w:tc>
                    <w:tc>
                      <w:tcPr>
                        <w:tcW w:w="5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配电箱、柜、插座箱、电度表、电表箱、等电位</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一层中心供应室设备配电箱 1AT-GY1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Pn=76KW，带双切、漏电火灾探测器；含箱体内部所有元器件；箱体接地；配电箱内部接线；含接线端子；具体参数要求详见系统图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一层中心供应室设备配电箱 1AT-GY2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Pn=168KW，带双切、漏电火灾探测器；含箱体内部所有元器件；箱体接地；配电箱内部接线；含接线端子；具体参数要求详见系统图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一层供应室照明插座配电箱 1AL-GY</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一层中心供应室动力配电箱 1AP-GY</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空调机组配电箱KT-FAU-ZG-101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Pn=20.2KW；含箱体内部所有元器件；箱体接地；配电箱内部接线；含接线端子；具体参数要求详见系统图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空调机组配电箱KT-PAU-ZG-101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儿科住院楼净化空调电源配电箱 3-2AT-JHk</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Pn=90KW，带双切、漏电火灾探测器；含箱体内部所有元器件；箱体接地；配电箱内部接线；含接线端子；具体参数要求详见系统图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二层细胞分子实验室电源配电箱 3-2AT-SYS</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Pn=31KW，带双切、漏电火灾探测器；含箱体内部所有元器件；箱体接地；配电箱内部接线；含接线端子；具体参数要求详见系统图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三层PICU负压病房照明配电箱 3-3AL-FYBF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四层MICU负压病房照明配电箱 3-4AL-FYBF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空调机组配电箱KT-PAU-X-201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空调机组配电箱KT-PAU-P-301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空调机组配电箱KT-PAU-M-401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五层屋面其他净化区域冷热源电源配电箱 5AT-JHLRY5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Pn=160KW，带双切、漏电火灾探测器；含箱体内部所有元器件；箱体接地；配电箱内部接线；含接线端子；具体参数要求详见系统图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一层静脉配置中心电源配电箱 1AT-JP</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Pn=26KW，带双切、漏电火灾探测器；含箱体内部所有元器件；箱体接地；配电箱内部接线；含接线端子；具体参数要求详见系统图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一层静脉配置中心空调电源配电箱 1AT-JPK</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Pn=92.5KW，带双切、漏电火灾探测器；含箱体内部所有元器件；箱体接地；配电箱内部接线；含接线端子；具体参数要求详见系统图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屋面静配、检验科、遗传科区域排风机控制配电箱 WAT-JHPF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Pn=21.7KW，带双切、漏电火灾探测器；含箱体内部所有元器件；箱体接地；配电箱内部接线；含接线端子；具体参数要求详见系统图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空调机组配电箱KT-PAU-JM-101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Pn=14.5KW；含箱体内部所有元器件；箱体接地；配电箱内部接线；含接线端子；具体参数要求详见系统图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空调机组配电箱KT-PAU-JM-102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Pn=78KW；含箱体内部所有元器件；箱体接地；配电箱内部接线；含接线端子；具体参数要求详见系统图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屋面排风机控制箱WAP-YCPF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Pn=8.8kW；含箱体内部所有元器件；箱体接地；配电箱内部接线；含接线端子；具体参数要求详见系统图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屋面排风机控制箱WAP-JMPF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Pn=6.6kW；含箱体内部所有元器件；箱体接地；配电箱内部接线；含接线端子；具体参数要求详见系统图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屋面二层检验科、遗传科净化空调电源配电箱 2AT-JHK</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Pn=175KW，带双切、漏电火灾探测器；含箱体内部所有元器件；箱体接地；配电箱内部接线；含接线端子；具体参数要求详见系统图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空调机组配电箱KT-PAUYC201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Pn=80KW；含箱体内部所有元器件；箱体接地；配电箱内部接线；含接线端子；具体参数要求详见系统图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空调机组配电箱KT-PAUYC202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二层遗传科PCR电源配电箱 2AT-YCPCR</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Pn=67KW，带双切、漏电火灾探测器；含箱体内部所有元器件；箱体接地；配电箱内部接线；含接线端子；具体参数要求详见系统图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四层隔离产房电源配电箱 4AT-GLCF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Pn=36KW，带双切、漏电火灾探测器；含箱体内部所有元器件；箱体接地；配电箱内部接线；含接线端子；具体参数要求详见系统图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KT-PAU-C-401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四层产房手术室电源配电箱 4CF-OP1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三层病理科PCR室照明配电箱 Y3AL-BL1、5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三层病理科PCR室照明配电箱 Y3AL-BL2、3、4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三层病理科空调电源配电箱 Y-3AT-BLk</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Pn=97.5KW，带双切、漏电火灾探测器；含箱体内部所有元器件；箱体接地；配电箱内部接线；含接线端子；具体参数要求详见系统图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空调机组配电箱KT-PAU-BL-301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空调机组配电箱KT-PAU-BL-302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Pn=74KW；含箱体内部所有元器件；箱体接地；配电箱内部接线；含接线端子；具体参数要求详见系统图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四层手术部DSA设备电源配电箱 4AT-DSA</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Pn=90KW，带双切、漏电火灾探测器；含箱体内部所有元器件；箱体接地；配电箱内部接线；含接线端子；具体参数要求详见系统图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四层手术部电源配电箱 4AT-SS1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Pn=125KW，带双切、漏电火灾探测器；含箱体内部所有元器件；箱体接地；配电箱内部接线；含接线端子；具体参数要求详见系统图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四层手术部电源配电箱 4AT-SS2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Pn=122KW，带双切、漏电火灾探测器；含箱体内部所有元器件；箱体接地；配电箱内部接线；含接线端子；具体参数要求详见系统图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五层屋面设备层净化空调电源配电箱 5AT-JHK1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Pn=279KW，带双切、漏电火灾探测器；含箱体内部所有元器件；箱体接地；配电箱内部接线；含接线端子；具体参数要求详见系统图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五层屋面设备层净化空调电源配电箱 5AT-JHK2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Pn=280.7KW，带双切、漏电火灾探测器；含箱体内部所有元器件；箱体接地；配电箱内部接线；含接线端子；具体参数要求详见系统图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四层手术室配电箱 4SS-0P1~4SS-0P20</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四层手术部复苏室照明配电箱 4AL-FS1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Pn=42kW；含箱体内部所有元器件；箱体接地；配电箱内部接线；含接线端子；具体参数要求详见系统图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四层手术部复苏室照明配电箱 4AL-FS2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Pn=17kW；含箱体内部所有元器件；箱体接地；配电箱内部接线；含接线端子；具体参数要求详见系统图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四层手术部照明插座配电箱 4SSAL</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四层手术部动力配电箱 4AP-SS</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四层手术部DSA辅助用房配电箱 4AL-DSA</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KT-AHU-S-401~KT-AHU-S-403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Pn=18KW；含箱体内部所有元器件；箱体接地；配电箱内部接线；含接线端子；具体参数要求详见系统图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KT-AHU-S-406、KT-AHU-S-407</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9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KT-AHU-S-408-411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Pn=27KW；含箱体内部所有元器件；箱体接地；配电箱内部接线；含接线端子；具体参数要求详见系统图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Pn=29KW；含箱体内部所有元器件；箱体接地；配电箱内部接线；含接线端子；具体参数要求详见系统图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Pn=47KW；含箱体内部所有元器件；箱体接地；配电箱内部接线；含接线端子；具体参数要求详见系统图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Pn=41KW；含箱体内部所有元器件；箱体接地；配电箱内部接线；含接线端子；具体参数要求详见系统图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KT-AHU-S-416</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Pn=45KW；含箱体内部所有元器件；箱体接地；配电箱内部接线；含接线端子；具体参数要求详见系统图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51"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排风机控制箱5AP-BL-PF</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Pn=10.7kW；含箱体内部所有元器件；箱体接地；配电箱内部接线；含接线端子；具体参数要求详见系统图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KT-MAU-S-401</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Pn=18KW；含箱体内部所有元器件；箱体接地；配电箱内部接线；含接线端子；具体参数要求详见系统图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KT-MAU-S-402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空调机组配电箱 KT-MAU-S-403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Pn=60KW；含箱体内部所有元器件；箱体接地；配电箱内部接线；含接线端子；具体参数要求详见系统图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五层屋面手术部冷热源电源配电箱 5AT-LRY1、2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Pn=202KW，带双切、漏电火灾探测器；含箱体内部所有元器件；箱体接地；配电箱内部接线；含接线端子；具体参数要求详见系统图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五层屋面其他净化区域冷热源电源配电箱 5AT-LRY3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Pn=172KW，带双切、漏电火灾探测器；含箱体内部所有元器件；箱体接地；配电箱内部接线；含接线端子；具体参数要求详见系统图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五层屋面其他净化区域冷热源电源配电箱 5AT-LRY4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Pn=173KW，带双切、漏电火灾探测器；含箱体内部所有元器件；箱体接地；配电箱内部接线；含接线端子；具体参数要求详见系统图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五层屋面其他净化区域冷热源电源配电箱 5AT-JHLRY5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Pn=160KW，带双切、漏电火灾探测器；含箱体内部所有元器件；箱体接地；配电箱内部接线；含接线端子；具体参数要求详见系统图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屋面层水泵控制柜 5AP-SB1、3</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屋面层水泵控制柜 5AP-SB2</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Pn=44KW；含箱体内部所有元器件；箱体接地；配电箱内部接线；含接线端子；具体参数要求详见系统图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屋面层水泵控制柜 5AP-SB4</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8"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五层屋面层水泵控制柜 5AP-SB5</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Pn=30KW；含箱体内部所有元器件；箱体接地；配电箱内部接线；含接线端子；具体参数要求详见系统图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07"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五层屋面层水泵控制柜 5AP-SB6</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Pn=22KW；含箱体内部所有元器件；箱体接地；配电箱内部接线；含接线端子；具体参数要求详见系统图</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配电箱电气元件：施耐德、西门子、ABB</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隔离变压器</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5KVA，含医用单相隔离变压器，仪用电源、6A熔断器,绝缘测试仪，外接报警显示和测试仪，出线回路电器元件等配套附件；满足设计及使用要求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本德尔、ABB、施耐德</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隔离变压器</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6.3KVA，含医用单相隔离变压器，仪用电源、6A熔断器,绝缘测试仪，外接报警显示和测试仪，出线回路电器元件等配套附件；满足设计及使用要求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本德尔、ABB、施耐德</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隔离变压器</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8.0KVA，含医用单相隔离变压器，仪用电源、6A熔断器,绝缘测试仪，外接报警显示和测试仪，出线回路电器元件等配套附件；满足设计及使用要求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本德尔、ABB、施耐德</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隔离变压器</w:t>
                        </w:r>
                      </w:p>
                    </w:tc>
                    <w:tc>
                      <w:tcPr>
                        <w:tcW w:w="4384" w:type="dxa"/>
                        <w:tcBorders>
                          <w:top w:val="single" w:color="000000" w:sz="4" w:space="0"/>
                          <w:left w:val="single" w:color="000000" w:sz="4" w:space="0"/>
                          <w:bottom w:val="nil"/>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10KVA，含医用单相隔离变压器，仪用电源、6A熔断器,绝缘测试仪，外接报警显示和测试仪，出线回路电器元件等配套附件；满足设计及使用要求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本德尔、ABB、施耐德</w:t>
                        </w:r>
                      </w:p>
                    </w:tc>
                    <w:tc>
                      <w:tcPr>
                        <w:tcW w:w="713"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在线式UPS模块机，140kVA (7*20KVA)，作为发电机组启动切换时间用，供电时间不小于</w:t>
                        </w:r>
                        <w:r>
                          <w:rPr>
                            <w:rFonts w:ascii="宋体" w:hAnsi="宋体" w:cs="宋体"/>
                            <w:color w:val="auto"/>
                            <w:sz w:val="20"/>
                            <w:szCs w:val="20"/>
                            <w:highlight w:val="none"/>
                            <w:lang w:bidi="ar"/>
                          </w:rPr>
                          <w:t>30min</w:t>
                        </w:r>
                        <w:r>
                          <w:rPr>
                            <w:rFonts w:hint="eastAsia" w:ascii="宋体" w:hAnsi="宋体" w:cs="宋体"/>
                            <w:color w:val="auto"/>
                            <w:sz w:val="20"/>
                            <w:szCs w:val="20"/>
                            <w:highlight w:val="none"/>
                            <w:lang w:bidi="ar"/>
                          </w:rPr>
                          <w:t>（可扩容），含配套电池及电池柜；应急时间</w:t>
                        </w:r>
                        <w:r>
                          <w:rPr>
                            <w:rFonts w:ascii="宋体" w:hAnsi="宋体" w:cs="宋体"/>
                            <w:color w:val="auto"/>
                            <w:sz w:val="20"/>
                            <w:szCs w:val="20"/>
                            <w:highlight w:val="none"/>
                            <w:lang w:bidi="ar"/>
                          </w:rPr>
                          <w:t>30</w:t>
                        </w:r>
                        <w:r>
                          <w:rPr>
                            <w:rFonts w:hint="eastAsia" w:ascii="宋体" w:hAnsi="宋体" w:cs="宋体"/>
                            <w:color w:val="auto"/>
                            <w:sz w:val="20"/>
                            <w:szCs w:val="20"/>
                            <w:highlight w:val="none"/>
                            <w:lang w:bidi="ar"/>
                          </w:rPr>
                          <w:t>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在线式UPS模块机 120kVA (6*20KVA)，作为发电机组启动切换时间用，供电时间不小于30min（可扩容），含配套电池及电池柜；应急时间30分钟（可扩容）；调试；满足设计及使用要求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在线式UPS 50kVA，作为发电机组启动切换时间用，供电时间不小于30min（可扩容），含配套电池及电池柜；应急时间30分钟（可扩容）；调试；满足设计及使用要求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三进单出，15KVA/</w:t>
                        </w:r>
                        <w:r>
                          <w:rPr>
                            <w:rFonts w:ascii="宋体" w:hAnsi="宋体" w:cs="宋体"/>
                            <w:color w:val="auto"/>
                            <w:sz w:val="20"/>
                            <w:szCs w:val="20"/>
                            <w:highlight w:val="none"/>
                            <w:lang w:bidi="ar"/>
                          </w:rPr>
                          <w:t>30</w:t>
                        </w:r>
                        <w:r>
                          <w:rPr>
                            <w:rFonts w:hint="eastAsia" w:ascii="宋体" w:hAnsi="宋体" w:cs="宋体"/>
                            <w:color w:val="auto"/>
                            <w:sz w:val="20"/>
                            <w:szCs w:val="20"/>
                            <w:highlight w:val="none"/>
                            <w:lang w:bidi="ar"/>
                          </w:rPr>
                          <w:t>Min（可扩容），含配套电池及电池柜；应急时间</w:t>
                        </w:r>
                        <w:r>
                          <w:rPr>
                            <w:rFonts w:ascii="宋体" w:hAnsi="宋体" w:cs="宋体"/>
                            <w:color w:val="auto"/>
                            <w:sz w:val="20"/>
                            <w:szCs w:val="20"/>
                            <w:highlight w:val="none"/>
                            <w:lang w:bidi="ar"/>
                          </w:rPr>
                          <w:t>30</w:t>
                        </w:r>
                        <w:r>
                          <w:rPr>
                            <w:rFonts w:hint="eastAsia" w:ascii="宋体" w:hAnsi="宋体" w:cs="宋体"/>
                            <w:color w:val="auto"/>
                            <w:sz w:val="20"/>
                            <w:szCs w:val="20"/>
                            <w:highlight w:val="none"/>
                            <w:lang w:bidi="ar"/>
                          </w:rPr>
                          <w:t>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三进三出，20KVA/</w:t>
                        </w:r>
                        <w:r>
                          <w:rPr>
                            <w:rFonts w:ascii="宋体" w:hAnsi="宋体" w:cs="宋体"/>
                            <w:color w:val="auto"/>
                            <w:sz w:val="20"/>
                            <w:szCs w:val="20"/>
                            <w:highlight w:val="none"/>
                            <w:lang w:bidi="ar"/>
                          </w:rPr>
                          <w:t>30M</w:t>
                        </w:r>
                        <w:r>
                          <w:rPr>
                            <w:rFonts w:hint="eastAsia" w:ascii="宋体" w:hAnsi="宋体" w:cs="宋体"/>
                            <w:color w:val="auto"/>
                            <w:sz w:val="20"/>
                            <w:szCs w:val="20"/>
                            <w:highlight w:val="none"/>
                            <w:lang w:bidi="ar"/>
                          </w:rPr>
                          <w:t>in（可扩容），含配套电池及电池柜；应急时间</w:t>
                        </w:r>
                        <w:r>
                          <w:rPr>
                            <w:rFonts w:ascii="宋体" w:hAnsi="宋体" w:cs="宋体"/>
                            <w:color w:val="auto"/>
                            <w:sz w:val="20"/>
                            <w:szCs w:val="20"/>
                            <w:highlight w:val="none"/>
                            <w:lang w:bidi="ar"/>
                          </w:rPr>
                          <w:t>30</w:t>
                        </w:r>
                        <w:r>
                          <w:rPr>
                            <w:rFonts w:hint="eastAsia" w:ascii="宋体" w:hAnsi="宋体" w:cs="宋体"/>
                            <w:color w:val="auto"/>
                            <w:sz w:val="20"/>
                            <w:szCs w:val="20"/>
                            <w:highlight w:val="none"/>
                            <w:lang w:bidi="ar"/>
                          </w:rPr>
                          <w:t>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UPS不间断电源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三进单出，10KVA/30Min（可扩容），含配套电池及电池柜；应急时间30分钟（可扩容）；调试；满足设计及使用要求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易事特、施耐德、艾默生</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局部等电位端子箱</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局部等电位箱安装；含接地跨接线安装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总等电位端子箱</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总等电位箱安装；含接地跨接线安装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开关、插座及灯具</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单联单控开关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单联双控开关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双联单控开关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三联单控开关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四联单控开关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双联双控开关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单联防爆开关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定时开关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紫外线灯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单相二三极暗插座</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768.00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单相二三极暗插座</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16A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防水单相二三极暗插座</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地插座</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防水型,250V 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设备带插座组</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250V,1*16A+3*10A</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TCL、罗格朗、公牛</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52w,1200x600,含光源,吸顶安装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40w,1200x300,含光源,吸顶安装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96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医用净化LED平板灯（带应急电源）</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40w,1200x300，外置式应急电源,全功率60min,含光源,吸顶安装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40w,600x600,含光源,吸顶安装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128.00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医用净化LED平板灯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25w,600x300,含光源,吸顶安装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双管荧光灯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2x28W,含光源,吸顶安装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一体化LED筒灯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9w,含光源,嵌顶安装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一体化LED筒灯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7w,含光源,嵌顶安装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防爆灯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15W,含光源,嵌顶安装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紫外线灯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紫外线灯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40W,含光源,吸顶安装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工作警示灯</w:t>
                        </w:r>
                        <w:r>
                          <w:rPr>
                            <w:rFonts w:ascii="宋体" w:hAnsi="宋体" w:cs="宋体"/>
                            <w:color w:val="auto"/>
                            <w:sz w:val="20"/>
                            <w:szCs w:val="20"/>
                            <w:highlight w:val="none"/>
                            <w:lang w:bidi="ar"/>
                          </w:rPr>
                          <w:t>/术中指示灯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含光源,嵌壁安装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病房地脚灯</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3W,含光源,嵌壁安装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佛山照明、君硕、云镜、佳静</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风机盘管液晶温控开关/多联机室内温控器调速开关</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同设备配套</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桥架、管、线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245.92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300*200，含盖板、桥架、热浸锌吊支架及其接地；配件制作安装；桥架跨接；厚度满足相关规范要求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63.43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400*200，含盖板、桥架、热浸锌吊支架及其接地；配件制作安装；桥架跨接；厚度满足相关规范要求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热镀锌槽式防水桥架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316.80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热镀锌槽式防水桥架</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300*200，含盖板、桥架、热浸锌吊支架及其接地；配件制作安装；桥架跨接；厚度满足相关规范要求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100*50，含盖板、桥架、热浸锌吊支架及其接地；配件制作安装；桥架跨接；厚度满足相关规范要求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576.52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150*75，含盖板、桥架、热浸锌吊支架及其接地；配件制作安装；桥架跨接；厚度满足相关规范要求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114.52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440.54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60.90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热镀锌槽式防水线槽</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SC20，配置形式及部位：砖、混凝土结构明暗配；含热浸锌吊支架、接地及防腐等；开槽补槽粉刷等一切相关费用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59.70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SC25，配置形式及部位：砖、混凝土结构明暗配；含热浸锌吊支架、接地及防腐等；开槽补槽粉刷等一切相关费用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384.44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SC32，配置形式及部位：砖、混凝土结构明暗配；含热浸锌吊支架、接地及防腐等；开槽补槽粉刷等一切相关费用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182.57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SC40，配置形式及部位：砖、混凝土结构明暗配；含热浸锌吊支架、接地及防腐等；开槽补槽粉刷等一切相关费用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249.66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SC50，配置形式及部位：砖、混凝土结构明暗配；含热浸锌吊支架、接地及防腐等；开槽补槽粉刷等一切相关费用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157.49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SC70，配置形式及部位：砖、混凝土结构明暗配；含热浸锌吊支架、接地及防腐等；开槽补槽粉刷等一切相关费用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47.69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SC80，配置形式及部位：砖、混凝土结构明暗配；含热浸锌吊支架、接地及防腐等；开槽补槽粉刷等一切相关费用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45.47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镀锌钢管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SC100，配置形式及部位：砖、混凝土结构明暗配；含热浸锌吊支架、接地及防腐等；开槽补槽粉刷等一切相关费用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6764.30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7607.51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JDG32，配置形式及部位：砖、混凝土结构明暗配；含热浸锌吊支架、接地及防腐等；开槽补槽粉刷等一切相关费用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80.96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套接紧定式镀锌钢导管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JDG40，配置形式及部位：砖、混凝土结构明暗配；含热浸锌吊支架、接地及防腐等；开槽补槽粉刷等一切相关费用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穿聚氯乙烯硬质塑料管敷设</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PC20，配置形式及部位：砖、混凝土结构明暗配；含热浸锌吊支架、接地及防腐等；开槽补槽粉刷等一切相关费用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150.20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穿聚氯乙烯硬质塑料管敷设</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PC25，配置形式及部位：砖、混凝土结构明暗配；含热浸锌吊支架、接地及防腐等；开槽补槽粉刷等一切相关费用</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金属软管</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金属软管敷设 管径20mm以内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853.00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ZR-BVR-16mm²，敷设方式：桥架、配管内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ZR-BV-6mm²，敷设方式：桥架、配管内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2548.04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WDZ-BYJ-2.5mm²，敷设方式：桥架、配管内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31139.73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WDZ-BYJ-4mm²，敷设方式：桥架、配管内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34547.18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WDZ-BYJ-6mm²，敷设方式：桥架、配管内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878.16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风机盘管液晶控制线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Rvv7x1.0，敷设方式：桥架、配管内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468.18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启停按钮控制线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WDZ-KYJY 6x1.5，敷设方式：桥架、配管内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139.30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联动控制通讯线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WDZ-KYJY 4x1.5，敷设方式：桥架、配管内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23.60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WDZ-YJY-3*10mm²，敷设方式：桥架、配管内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36.38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WDZ-YJY-4*2.5mm²，敷设方式：桥架、配管内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1824.32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WDZ-YJY-4*4mm²，敷设方式：桥架、配管内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596.97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230.89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20.50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15.38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WDZ-YJY-5*2.5mm²，敷设方式：桥架、配管内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WDZ-YJY-5*4mm²，敷设方式：桥架、配管内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180.91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493.55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WDZ-YJY-5*10mm²，敷设方式：桥架、配管内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907.88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WDZ-YJY-5*16mm²，敷设方式：桥架、配管内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1743.42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WDZ-YJY-4*25+1x16mm²，敷设方式：桥架、配管内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293.12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WDZ-YJY-4*35+1x16mm²，敷设方式：桥架、配管内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652.41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WDZ-YJY-4*50+1x25mm²，敷设方式：桥架、配管内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73.68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WDZ-YJY-4*70+1x35mm²，敷设方式：桥架、配管内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178.72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WDZ-YJY-4*95+1x50mm²，敷设方式：桥架、配管内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79.44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低烟无卤电力电缆</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WDZ-YJY-4*120+1x70mm²，敷设方式：桥架、配管内</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427.13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铜芯电缆终端头10m2以内制安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铜芯电缆终端头25m2以内制安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铜芯电缆终端头35m2以内制安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电力电缆头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铜芯电缆终端头120m2以内制安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控制电缆头</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终端头6芯以下制安</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钢制灯头盒、开关盒、接线盒安装</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1891.00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接地母线</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40*4镀锌扁钢</w:t>
                        </w:r>
                      </w:p>
                    </w:tc>
                    <w:tc>
                      <w:tcPr>
                        <w:tcW w:w="11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434.06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送配电装置系统调试</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1KV</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双电源系统调试</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61 </w:t>
                        </w:r>
                      </w:p>
                    </w:tc>
                    <w:tc>
                      <w:tcPr>
                        <w:tcW w:w="112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接地装置系统调试</w:t>
                        </w:r>
                      </w:p>
                    </w:tc>
                    <w:tc>
                      <w:tcPr>
                        <w:tcW w:w="438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系统</w:t>
                        </w: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55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1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9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bl>
                <w:p>
                  <w:pPr>
                    <w:pStyle w:val="5"/>
                    <w:rPr>
                      <w:color w:val="auto"/>
                      <w:highlight w:val="none"/>
                    </w:rPr>
                  </w:pPr>
                </w:p>
              </w:tc>
            </w:tr>
            <w:tr>
              <w:tblPrEx>
                <w:tblCellMar>
                  <w:top w:w="0" w:type="dxa"/>
                  <w:left w:w="108" w:type="dxa"/>
                  <w:bottom w:w="0" w:type="dxa"/>
                  <w:right w:w="108" w:type="dxa"/>
                </w:tblCellMar>
              </w:tblPrEx>
              <w:trPr>
                <w:trHeight w:val="405" w:hRule="atLeast"/>
              </w:trPr>
              <w:tc>
                <w:tcPr>
                  <w:tcW w:w="9525" w:type="dxa"/>
                  <w:tcBorders>
                    <w:top w:val="nil"/>
                    <w:left w:val="nil"/>
                    <w:bottom w:val="nil"/>
                    <w:right w:val="nil"/>
                  </w:tcBorders>
                  <w:vAlign w:val="center"/>
                </w:tcPr>
                <w:p>
                  <w:pPr>
                    <w:widowControl/>
                    <w:jc w:val="center"/>
                    <w:textAlignment w:val="center"/>
                    <w:rPr>
                      <w:rFonts w:hint="eastAsia" w:ascii="宋体" w:hAnsi="宋体" w:cs="宋体"/>
                      <w:b/>
                      <w:bCs/>
                      <w:color w:val="auto"/>
                      <w:sz w:val="32"/>
                      <w:szCs w:val="32"/>
                      <w:highlight w:val="none"/>
                      <w:lang w:bidi="ar"/>
                    </w:rPr>
                  </w:pPr>
                </w:p>
                <w:p>
                  <w:pPr>
                    <w:widowControl/>
                    <w:jc w:val="center"/>
                    <w:textAlignment w:val="center"/>
                    <w:rPr>
                      <w:rFonts w:hint="eastAsia" w:ascii="宋体" w:hAnsi="宋体" w:cs="宋体"/>
                      <w:b/>
                      <w:bCs/>
                      <w:color w:val="auto"/>
                      <w:sz w:val="32"/>
                      <w:szCs w:val="32"/>
                      <w:highlight w:val="none"/>
                      <w:lang w:bidi="ar"/>
                    </w:rPr>
                  </w:pPr>
                </w:p>
                <w:p>
                  <w:pPr>
                    <w:widowControl/>
                    <w:jc w:val="center"/>
                    <w:textAlignment w:val="center"/>
                    <w:rPr>
                      <w:rFonts w:hint="eastAsia"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弱电专项工程清单</w:t>
                  </w:r>
                </w:p>
              </w:tc>
            </w:tr>
            <w:tr>
              <w:trPr>
                <w:trHeight w:val="405" w:hRule="atLeast"/>
              </w:trPr>
              <w:tc>
                <w:tcPr>
                  <w:tcW w:w="9525" w:type="dxa"/>
                  <w:tcBorders>
                    <w:top w:val="nil"/>
                    <w:left w:val="nil"/>
                    <w:bottom w:val="nil"/>
                    <w:right w:val="nil"/>
                  </w:tcBorders>
                  <w:vAlign w:val="center"/>
                </w:tcPr>
                <w:tbl>
                  <w:tblPr>
                    <w:tblStyle w:val="27"/>
                    <w:tblW w:w="9270" w:type="dxa"/>
                    <w:tblInd w:w="0" w:type="dxa"/>
                    <w:tblLayout w:type="fixed"/>
                    <w:tblCellMar>
                      <w:top w:w="0" w:type="dxa"/>
                      <w:left w:w="108" w:type="dxa"/>
                      <w:bottom w:w="0" w:type="dxa"/>
                      <w:right w:w="108" w:type="dxa"/>
                    </w:tblCellMar>
                  </w:tblPr>
                  <w:tblGrid>
                    <w:gridCol w:w="389"/>
                    <w:gridCol w:w="945"/>
                    <w:gridCol w:w="4478"/>
                    <w:gridCol w:w="1155"/>
                    <w:gridCol w:w="735"/>
                    <w:gridCol w:w="900"/>
                    <w:gridCol w:w="668"/>
                  </w:tblGrid>
                  <w:tr>
                    <w:tblPrEx>
                      <w:tblCellMar>
                        <w:top w:w="0" w:type="dxa"/>
                        <w:left w:w="108" w:type="dxa"/>
                        <w:bottom w:w="0" w:type="dxa"/>
                        <w:right w:w="108" w:type="dxa"/>
                      </w:tblCellMar>
                    </w:tblPrEx>
                    <w:trPr>
                      <w:trHeight w:val="312" w:hRule="atLeast"/>
                    </w:trPr>
                    <w:tc>
                      <w:tcPr>
                        <w:tcW w:w="3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47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1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7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480" w:hRule="atLeast"/>
                    </w:trPr>
                    <w:tc>
                      <w:tcPr>
                        <w:tcW w:w="3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447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270" w:hRule="atLeast"/>
                    </w:trPr>
                    <w:tc>
                      <w:tcPr>
                        <w:tcW w:w="770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18"/>
                            <w:szCs w:val="18"/>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18"/>
                            <w:szCs w:val="18"/>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桥架、线、管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b/>
                            <w:bCs/>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100*50，含盖板、桥架、热浸锌吊支架及其接地；配件制作安装；桥架跨接；厚度满足相关规范要求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30.42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100*75，含盖板、桥架、热浸锌吊支架及其接地；配件制作安装；桥架跨接；厚度满足相关规范要求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185.05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150*75，含盖板、桥架、热浸锌吊支架及其接地；配件制作安装；桥架跨接；厚度满足相关规范要求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111.42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200*100，含盖板、桥架、热浸锌吊支架及其接地；配件制作安装；桥架跨接；厚度满足相关规范要求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109.38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300*100，含盖板、桥架、热浸锌吊支架及其接地；配件制作安装；桥架跨接；厚度满足相关规范要求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198.05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134"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热镀锌槽式桥架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400*100，含盖板、桥架、热浸锌吊支架及其接地；配件制作安装；桥架跨接；厚度满足相关规范要求</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7.18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网络电话系统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4芯单模光纤点</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nil"/>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IPTV电视插座</w:t>
                        </w:r>
                      </w:p>
                    </w:tc>
                    <w:tc>
                      <w:tcPr>
                        <w:tcW w:w="4478" w:type="dxa"/>
                        <w:tcBorders>
                          <w:top w:val="nil"/>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1).方形 86 式双层面板结构单孔网络面板，安装螺丝孔不得外露；</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2).白色,自带可更换式标签；布线原厂产品。面板光纤接头型号为一头SC/APC，另一头SC/PC</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nil"/>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单孔数据插座(内网)</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1.86*86型面板提供单口，双口，四口可以配套86型底盒使用；颜色：哑光灰白色，不易脏。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2.面板不带防尘盖，可以兼容相同品牌的全系列信息模块。如光纤到桌面耦合器等等。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3.材质采用耐燃ABS工程塑料。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4.透明标示窗，适用多款专用标示带，使标示文字更清楚，标示程序更简易。</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双孔数据插座(内网)</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1.86*86型面板提供单口，双口，四口可以配套86型底盒使用；颜色：哑光灰白色，不易脏。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2.面板不带防尘盖，可以兼容相同品牌的全系列信息模块。如光纤到桌面耦合器等等。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3.材质采用耐燃ABS工程塑料。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4.透明标示窗，适用多款专用标示带，使标示文字更清楚，标示程序更简易。</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129.00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6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双口(内网+电话)插座</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1.86*86型面板提供单口，双口，四口可以配套86型底盒使用；颜色：哑光灰白色，不易脏。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2.面板不带防尘盖，可以兼容相同品牌的全系列信息模块。如光纤到桌面耦合器等等。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3.材质采用耐燃ABS工程塑料。</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4.透明标示窗，适用多款专用标示带，使标示文字更清楚，标示程序更简易。</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免提电话</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3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电视线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WDZ-SYWV-75，敷设方式：桥架、配管内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701.48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网线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23536.67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光纤</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4芯多模光纤，敷设方式：桥架、配管内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1530.95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2682.53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63.72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背景音乐系统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354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扬声器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1、天花扬声器 工作电压70/100V，功率3~6W（多个配接端子），适应不同场合；</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最大声压级97±2dB，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有效频率范围75Hz~20kHz;</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重0.8kg，强力活动夹设计，安装方便；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铝合金材质网罩，永不生锈；优质工程塑料注塑成型，经久耐用，不变形，不褪色；</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扬声器悬边阻尼处理，寿命长，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灵敏度高（91±2dB），声音清晰、音质好，明亮；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单元尺寸4.5"x1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开孔尺寸Ø154-Ø164mm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尺寸80xØ180mm</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音量控制器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1、音量控制器 6W音控，可扩展至30、60、120、200W。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线制：2，3，4.</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尺寸：85*85*60mm。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兼有强插输入和音量控制两种功能。</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呼叫话筒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1、广播寻呼话筒 操作便捷，适应不同；</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支持终端即插即用；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具有延时自动关闭功能；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可弯曲式话筒。话筒输出电压600mV±10mV或20mV±10%（非平衡）</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钟声额定输出电压600mV±10mV或20mV±10%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输出钟声种类CHIMEUP：上音符1-3-5-і-CHIMEDOWN：下音符i-5-3-1-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频率范围100Hz-15kHz</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失真度MIC：≤1%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1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前置六分区定压功放</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1、500W网络化播放功放 采用高档铝合金拉丝面板制造。</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可挂接在网络到达的任何地方，采用自主研发的网络传输协议，动态音频数据传输。双网络接口冗余设计，可跨网段工作。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内置高效率数字功放，100V定压输出，效率高达90%以上。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自带MP3播放器，设有USB插口、SD插口，用以播放本地节目。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功放额定输出功率：500W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醒目的数码显示屏设计，既可显示时钟时间，也可显示播放进度时间。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具有时间帧同步机制，本机时钟与网络化主机时钟实时同步。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内置红外接收模块，可通过红外线遥控器控制，方便易用。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面板集成5个状态指示灯，工作状态一目了然。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面板装有8个快捷按键，方便本地用户日常使用。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内置脱机本地定时点播放功能，定时节目备份存储到SD卡里，并全自动备份定时点节目。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外置一路AUX线路输入、一路话筒输入、一路AUX线路输出，方便扩展本地其它音源广播，与本地功率扩展。</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具有8级以上优先级管理功能，本地话筒带有默音调节电位器，默音电平量可调节。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外置EMC24V与短路干触点两种强播输出接口，可连接扬声器音控器使用，或连接智能电源。</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带有周边设备扩展接口，可外接86盒点播彩屏，可外接双86盒的求助对讲面板、两用对讲面板，也可以连接蓝牙音频接收器。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点播功能：连接86盒点播彩屏后，可实现本地点播主机的海量节目库。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寻呼功能：连接86盒点播彩屏后，可对选定的分区实时寻呼。</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对讲功能：连接求助对讲面板后，可实现求助对讲功能。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蓝牙音频接收功能：连接蓝牙扩展器后可接收蓝牙音频，方便学校、商场等利用蓝牙无线话筒实现本地无线话筒扩声。</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外接线路输入与网络播放节目源是混合的关系，本地话筒与AUX输入通过检测输入信号的大小而打开功放。</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可定制联动触发功能，可定制100V本地紧急线路输入，方便接入消防本地广播系统。</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具有网络播放功能，可播放网络化主机下发的节目源或网络化音频采集器的音频流。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采用高保真CD音质的解码芯片，最大支持48KHZ采样率16bit的MP3/WMA/WAV/PCM音频流数据解码。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全数字化设计，高性能，高保真，语音传输指数高等优点。</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内置看门狗功能，有效保障设备的正常运行。</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采用工业级芯片设计，工作环境温度广，适合室外安装与使用。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内置DSP音效处理芯片，具有高、低音调调节功能，更适用于不同环境的补偿，让广播指标进一步提升。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采用高性能的网络处理芯片，自主研发的实时操作系统，开机启动时间&lt;0.1S，与网络化主机连线时间&lt;2S，实时性强，播放实时节目延时&lt;0.2S.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自主研发的实时操作系统，实时性强，多台网络播放器广播节目播放声音实时同步，之间基本没有任何时间差异。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采用自主研发的网络数据流解码算法，话筒寻呼、外置线路广播，实时性强，保持寻呼状态大于24小时后延时&lt;0.5S.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采用自主研发的网络数据纠错算法，保证传输数据实时性的同时，也保证接收数据的准确性，工作稳定可靠。</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本地输出音量及本地播放状态可控。</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前置六分区定压功放</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1、240W网络化播放功放 采用高档铝合金拉丝面板制造。</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可挂接在网络到达的任何地方，采用自主研发的网络传输协议，动态音频数据传输。双网络接口冗余设计，可跨网段工作。</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内置高效率数字功放，100V定压输出，效率高达90%以上。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自带MP3播放器，设有USB插口、SD插口，用以播放本地节目。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功放额定输出功率：240W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醒目的数码显示屏设计，既可显示时钟时间，也可显示播放进度时间。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具有时间帧同步机制，本机时钟与网络化主机时钟实时同步。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内置红外接收模块，可通过红外线遥控器控制，方便易用。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面板集成5个状态指示灯，工作状态一目了然。</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面板装有8个快捷按键，方便本地用户日常使用。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内置脱机本地定时点播放功能，定时节目备份存储到SD卡里，并全自动备份定时点节目。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外置一路AUX线路输入、一路话筒输入、一路AUX线路输出，方便扩展本地其它音源广播，与本地功率扩展。</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具有8级以上优先级管理功能，本地话筒带有默音调节电位器，默音电平量可调节。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外置EMC24V与短路干触点两种强播输出接口，可连接扬声器音控器使用，或连接智能电源。</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带有周边设备扩展接口，可外接86盒点播彩屏，可外接双86盒的求助对讲面板、两用对讲面板，也可以连接蓝牙音频接收器。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点播功能：连接86盒点播彩屏后，可实现本地点播主机的海量节目库。</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寻呼功能：连接86盒点播彩屏后，可对选定的分区实时寻呼。</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对讲功能：连接求助对讲面板后，可实现求助对讲功能。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蓝牙音频接收功能：连接蓝牙扩展器后可接收蓝牙音频，方便学校、商场等利用蓝牙无线话筒实现本地无线话筒扩声。</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外接线路输入与网络播放节目源是混合的关系，本地话筒与AUX输入通过检测输入信号的大小而打开功放。</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可定制联动触发功能，可定制100V本地紧急线路输入，方便接入消防本地广播系统。</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具有网络播放功能，可播放网络化主机下发的节目源或网络化音频采集器的音频流。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可播放来自系统主机的背景音乐、紧急寻呼、告警信号等，网络节目源具有7级以上优先等级管理功能，分为背景广播、业务广播、紧急广播三大类。</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采用高保真CD音质的解码芯片，最大支持48KHZ采样率16bit的MP3/WMA/WAV/PCM音频流数据解码。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全数字化设计，高性能，高保真，语音传输指数高等优点。</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内置看门狗功能，有效保障设备的正常运行。</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采用工业级芯片设计，工作环境温度广，适合室外安装与使用。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内置DSP音效处理芯片，具有高、低音调调节功能，更适用于不同环境的补偿，让广播指标进一步提升。</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采用高性能的网络处理芯片，自主研发的实时操作系统，开机启动时间&lt;0.1S，与网络化主机连线时间&lt;2S，实时性强，播放实时节目延时&lt;0.2S.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自主研发的实时操作系统，实时性强，多台网络播放器广播节目播放声音实时同步，之间基本没有任何时间差异。</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采用自主研发的网络数据流解码算法，话筒寻呼、外置线路广播，实时性强，保持寻呼状态大于24小时后延时&lt;0.5S.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采用自主研发的网络数据纠错算法，保证传输数据实时性的同时，也保证接收数据的准确性，工作稳定可靠。</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本地输出音量及本地播放状态可控。</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73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多媒体播放机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1、播放器 CD/MP3/MP4/VCD/DVD 播放功能；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高亮度动态 VFD 显示，清晰醒目；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具有曲目直选功能；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具有通电后自动播放功能；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性能规格：</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频率响应 20Hz-20kHz（±3dB）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信噪比 90dB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动态范围 90dB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谐波失真 0.005%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抖晃 可测极限之下</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输出电平 0dBV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保护 AC 保险丝</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电源 AC220V/50Hz</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扩展键盘</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BOSCH、霍尼韦尔（TK-AUDIO）、TOA、TAIDEN</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弱电机柜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18U</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WDZ-RYS-2X1.5，敷设方式：桥架、配管内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1539.38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1008.79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背景音乐系统调试与检测</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监控系统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4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彩色半球形摄像机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400万1/2.7” CMOS ICR日夜型半球型网络摄像机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最低照度彩色：0.01lx(AGC开，RJ45输出)，黑白:0.001lx(AGC开，RJ45输出)，灰度等级不小于11级（合同签订前提供由公安部授权的安防产品或安防工程检验机构出具的检验报告）；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调整角度: 水平:0°~360°；垂直:0°~ 75°；旋转:0°~360°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宽动态范围: 120dB</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视频压缩标准: H.265/H.264/ MJPEG</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最大图像尺寸: 2560 × 1440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存储功能: 支持Micro SD(即TF卡)/Micro SDHC/Micro SDXC卡(256G)断网本地存储及断网续传,NAS(NFS,SMB/CIFS均支持) ,配合黑卡支持SD卡加密及SD卡状态检测功能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通讯接口: 1个RJ45 10M/100M自适应以太网口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音频接口: 1 input (line in) ；1 output (line out)； 1 内置microphone</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报警接口: 1路报警输入,1路报警输出（三极管:超过30毫安建议加继电器）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具有电子防抖、ROI感兴趣区域、SVC可伸缩编码、自动增益、背光补偿、数字降噪、强光抑制、走廊模式、视频水印等功能。（合同签订前提供由公安部授权的安防产品或安防工程检验机构出具的检验报告）；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设备与客户端之间用100米网线进行传输，数据包丢包率小于0.1%。（合同签订前提供由公安部授权的安防产品或安防工程检验机构出具的检验报告）；</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不低于IP67防尘防水等级。（合同签订前提供由公安部授权的安防产品或安防工程检验机构出具的检验报告）；</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摄像机支架</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壁装支架/白色/铝合金/</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摄像机电源</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220VAC/12VDC</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网络交换机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24端口</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华三、华为、浪潮思科</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监视主机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64路NVR录像机+8*4T硬盘+控制键鼠</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监视主机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24路NVR录像机+3*4T硬盘+控制键鼠</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27寸监控显示屏</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27寸</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拾音器(监听器)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拾音器；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拾音范围70平方米；音频传输距离3000米；灵敏度-34dB；信噪比60dB；安装方式：吸顶安装（自带底座转接盘）；连接方式 3芯导线（红-电源 黑-公共地 白-音频）；电源DC 12V（9V-15V）；推荐电源：DC12V/1A，两线；</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弱电机柜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22U</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视频线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2206.26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电源线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WDZ-RYY-2X0.5，敷设方式：桥架、配管内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2206.26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511.10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54.97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监控系统调试与检测</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五</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门禁系统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1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可视对讲室内机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50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可视对讲门口主机（含读卡器）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1、可视对讲门口主机 读卡类型：Mifare卡卡号和内容、CPU卡序列号、身份证序列号；</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通信方式：有线网络、无线WiFi；</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存储容量：10万张卡和30万记录存储；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输入接口：门铃*1、防拆*1、开门按钮*1、门磁*1、报警输入*2；</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输出接口：电锁输出*1、报警（门铃）输出*1；</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工作电压：DC12V；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工作电流：1A(max)（无负载状态）；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使用环境：室内使用，不防水；</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尺寸：137*92*35mm；</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注：不含电源，需单独选配电源</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出门按钮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结构：塑料面板；</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性能：最大耐电流1.25A，电压250V；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输出：常开；</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类型：适合埋入式电器盒使用；</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尺寸：86*86mm；</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79.00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单门磁力锁</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最大拉力：280kg(600Lbs)静态直线拉力；</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支持锁状态反馈，门磁输出；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断电开锁；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具有电锁状态指示灯；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锁体尺寸：长240*宽48.5*厚26.5(mm)；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吸板尺寸：长180*宽38*厚11(mm)；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使用环境：室内；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工作电压：12V/500mA ；</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适用门型：木门、玻璃门、金属门、防火门。</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27.00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51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双门磁力锁</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最大拉力：280kg(600Lbs)*2静态直线拉力；</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支持锁状态反馈，门磁输出；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断电开锁；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具有电锁状态指示灯；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锁体尺寸：长480*宽48.5*厚26.5(mm)；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吸板尺寸：长180*宽38*厚11(mm)；</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使用环境：室内；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工作电压：12V/500mA*2 24V/250mA*2</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适用门型：木门、玻璃门、金属门、防火门。</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0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门禁读卡器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读卡频率：13.56MHz</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按键方式：触摸按键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可识别卡：Mifare卡号、Mifare卡内容、CPU卡序列号</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通讯方式：RS485+Wiegand</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工作电压：DC 12V</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功耗：≤2W</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安装方式：预埋120或86底盒安装</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工作环境：室内，IP64</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外型尺寸：121mm(高)x86.5mm（宽）x14mm（厚）</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29.00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53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双门门禁控制器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处理器：32位处理器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管控门数：2门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通讯方式：上行TCP/IP、RS485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读卡器接口：RS485和Wiegand双通讯接口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存储容量：10万张卡和30万记录存储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工作电压：自带机箱和供电电源（AC220V输入），工作电压DC 12V，功耗≤4W（不带负载）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主机应具有消防联动功能，当检测到消防信号后，可以自动打开门锁（合同签订前提供由公安部授权的安防产品或安防工程检验机构出具的CE、FCC检验报告）；。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主机应具有应急响应功能，可应急开启和应急复位。（合同签订前提供由公安部授权的安防产品或安防工程检验机构出具的CE、FCC检验报告）；</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主机应具防区报警功能，有4个防区输入端口，具有防短、防剪功能，能够联动报警输出。（合同签订前提供由公安部授权的安防产品或安防工程检验机构出具的CE、FCC检验报告）；</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38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四门门禁控制器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处理器：32位处理器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管控门数：4门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通讯方式：上行TCP/IP、RS485</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读卡器接口：RS485和Wiegand双通讯接口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存储容量：10万张卡和30万记录存储</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工作电压：自带机箱和供电电源（AC220V输入），工作电压DC 12V，功耗≤4W（不带负载）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主机应具有消防联动功能，当检测到消防信号后，可以自动打开门锁（合同签订前提供由公安部授权的安防产品或安防工程检验机构出具的CE、FCC检验报告）；。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主机应具有应急响应功能，可应急开启和应急复位。（合同签订前提供由公安部授权的安防产品或安防工程检验机构出具的CE、FCC检验报告）；</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主机应具防区报警功能，有4个防区输入端口，具有防短、防剪功能，能够联动报警输出。（合同签订前提供由公安部授权的安防产品或安防工程检验机构出具的CE、FCC检验报告）；</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大华、宇视、海康威视、英飞拓</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1668.82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WDZ-BYJ-2.5，敷设方式：桥架、配管内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1010.70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WDZ-RVV-2X1.0，敷设方式：桥架、配管内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2921.61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WDZ-RVSP-2X1.0，敷设方式：桥架、配管内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1401.89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WDZ-RVV-4X1.0，敷设方式：桥架、配管内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2285.52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987.87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346.77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198.00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17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门禁系统调试与检测</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符合验收要求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 xml:space="preserve">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六</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呼叫系统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19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呼叫对讲主机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屏幕 ≥10寸多点触控电容显示屏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分辨率 ≥1024*600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操作系统 Android6.0以上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接口 485通讯接口、报警输出口、音频输入接口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支持协议 支持TCP、UDP、RTP、ARP、IGMP、HTTP、SIP</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网络通信速率 ≥100Mbps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患者一览表 支持显示每路床头屏、床旁屏的患者信息，并支持接入病员一览表显示。</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双工对讲 支持与床头屏、其他护士站呼叫主机双工对讲；对讲方式支持免提、手柄、TALK键。</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一键呼叫管理 支持一键快速呼叫预设系统内任一台护士站呼叫主机并全双工可视对讲。</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托管 支持将本管理机的床头屏、床旁屏托管给其它的呼叫主机管理。</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不间断呼叫 支持显示多路床头屏、床旁屏的呼叫，并记忆保持；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不论呼叫主机是在待机还是通话状态下，分机均能正常呼入。</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等待处理 支持设置结束床头屏、床旁屏的主动呼叫后，该路选键一直显示“等待处理”状态，护士需到该病床床头屏处按键取消该状态。</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状态提示 床头屏、床旁屏呼叫、对讲状态支持用红、绿色提示，每路按键可添加备注信息。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未处理事件提醒 支持按规则生成未处理事件，并显示在呼叫主机上。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知晓”语音反馈 患者呼叫时已知该呼叫的目的时，点击后病床分机播放语音“护士已知晓，请稍等”。</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语音播报 床头屏、床旁屏呼叫，支持语音播报“XX号房 XX号床呼叫”。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音量调节 可单独设置白天、夜晚病床智能终端、分机的呼叫音量、通话音量。</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远程操作 支持后台管理系统统一设置。</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8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模拟呼叫分机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尺寸 ≥13寸电容触摸屏</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分辨率 ≥1920×1080</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CPU ≥四核，主频≥1.5GHz </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内存 ≥2G</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存储 ≥4G</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操作系统 Android 4.0以上</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接口 ≥1个IOT、≥1个RJ45网口、≥1个控制接口、≥1个电源接口</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呼叫手柄 挂架手柄（含呼叫键、手柄灯）</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支持协议 支持TCP、UDP、RTP、ARP、IGMP、HTTP、SIP</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网络通信速率 ≥100Mbps</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呼叫/解除 支持可向呼叫主机呼叫与解除呼叫。</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双工对讲 支持与护士站主机手持双工对讲。</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护理定位 护士按下病房分机上的“护理”按键，该病房门口门灯常亮绿色，离开时可再次按下此键解除该功能。</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护理增援 支持按下终端上的“增援”键，可呼唤增派其他医护人员。</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白天与夜晚模式切换 支持手动进行设置，包括音量、亮屏时间、屏幕亮度等的改变。</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广播播放 支持通过网络接收呼叫主机的MP3文件广播或喊话。</w:t>
                        </w:r>
                      </w:p>
                      <w:p>
                        <w:pPr>
                          <w:widowControl/>
                          <w:jc w:val="left"/>
                          <w:textAlignment w:val="center"/>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远程操作 支持后台管理系统统一设置。</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应用扩展 支持接入第三方服务。</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呼叫按钮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分机电源</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DC12V</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呼叫走廊显示屏</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双面显示屏</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住院一览表</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京颐科技、联新、来邦科技、连帆科技</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网络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122.72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RVV-3X1.5，敷设方式：桥架、配管内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304.43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RVV-2X1.5，敷设方式：桥架、配管内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734.16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65.99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637.82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呼叫系统调试与检测</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符合验收要求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项</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七</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自控系统</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RVV2*1.0，敷设方式：桥架、配管内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944.69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RVVP3*1.0，敷设方式：桥架、配管内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966.06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RVVP2*1.0，敷设方式：桥架、配管内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4670.10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3330.66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222.24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八</w:t>
                        </w:r>
                      </w:p>
                    </w:tc>
                    <w:tc>
                      <w:tcPr>
                        <w:tcW w:w="54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手术室及示教室数字化系统</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54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数字化手术室OP1</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核心平台</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PC机、智慧手术室系统软件等</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无线麦克风模块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吸顶音箱模块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BOSE、EDIFIER、PHILIP</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全景摄像机模块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Hikvision、DJI、DRIFT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双触摸屏护士工作站模块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护士工作站配套医用键盘</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48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高清腔镜显示器模块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4K商用显示器模块-55'</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LG、三星、索尼</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3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集控中心安装辅料（1间手术室）</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2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环境氛围模块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台夏光电、三雄极光、德力西</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无影灯</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MAQUET、马丁、德尔格</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示教室</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75"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内嵌式机柜模块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手术示教终端、远程接口等</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5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光纤转播-影音双向模块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972"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全景摄像机模块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7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4K显示器模块-65'</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Philips、索尼、东芝</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0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音频处理模块（含无线麦克风）</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28"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壁挂式音箱</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含术野摄像机万向臂(双臂)</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BOSE、EDIFIER、PHILIP</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66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壁挂机柜模块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会议示教系统机柜、远程接口等</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Toten、戴尔、APC</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82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光纤转播-影音双向模块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高清投影仪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701"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150寸投影幕布</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STORZ卡尔史托斯、MAQUET迈柯唯、Stryker史赛克</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管线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Cat6-4PrUTP，敷设方式：桥架、配管内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79.14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3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SDI-75-5</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美国西蒙、康普、泛达、罗格朗</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45.56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4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RVS-2*1.5，敷设方式：桥架、配管内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23.86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9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25.46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0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JDG25，配置形式及部位：砖、混凝土结构明暗配；含热浸锌吊支架、接地及防腐等；开槽补槽粉刷等一切相关费用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68.57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7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接线盒</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钢制接线盒、过线盒安装</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宋体" w:hAnsi="宋体" w:cs="宋体"/>
                            <w:color w:val="auto"/>
                            <w:sz w:val="20"/>
                            <w:szCs w:val="20"/>
                            <w:highlight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43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九</w:t>
                        </w:r>
                      </w:p>
                    </w:tc>
                    <w:tc>
                      <w:tcPr>
                        <w:tcW w:w="54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r>
                          <w:rPr>
                            <w:rFonts w:hint="eastAsia" w:ascii="宋体" w:hAnsi="宋体" w:cs="宋体"/>
                            <w:b/>
                            <w:bCs/>
                            <w:color w:val="auto"/>
                            <w:sz w:val="20"/>
                            <w:szCs w:val="20"/>
                            <w:highlight w:val="none"/>
                            <w:lang w:bidi="ar"/>
                          </w:rPr>
                          <w:t>智能空气质量检测系统</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智能空气质量监测控制中枢</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离子空气处理主机</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Dephina、clair、ionair</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臭氧检测仪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风速检测仪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voc检测仪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甲醛检测仪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567"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二甲苯检测仪</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逸云天、西门子、菲兰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远程监测报警与质控评价软件模块</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层流粒子布气装置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组合式外排废气处理装置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桌面导流装置</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14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新风型智能化生物安全水气分离式取材工作站台</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染色通风柜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自动染色封片一体通风柜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脱水通风柜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安全型不锈钢标本柜</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由设备厂家提供</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特锐德、思之泉、菲兰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853"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控制线</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RVVP4*1.0，敷设方式：桥架、配管内</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上上、特变、远东</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305.27 </w:t>
                        </w: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r>
                    <w:tblPrEx>
                      <w:tblCellMar>
                        <w:top w:w="0" w:type="dxa"/>
                        <w:left w:w="108" w:type="dxa"/>
                        <w:bottom w:w="0" w:type="dxa"/>
                        <w:right w:w="108" w:type="dxa"/>
                      </w:tblCellMar>
                    </w:tblPrEx>
                    <w:trPr>
                      <w:trHeight w:val="106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 </w:t>
                        </w:r>
                      </w:p>
                    </w:tc>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线管</w:t>
                        </w:r>
                      </w:p>
                    </w:tc>
                    <w:tc>
                      <w:tcPr>
                        <w:tcW w:w="447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JDG20，配置形式及部位：砖、混凝土结构明暗配；含热浸锌吊支架、接地及防腐等；开槽补槽粉刷等一切相关费用</w:t>
                        </w:r>
                      </w:p>
                    </w:tc>
                    <w:tc>
                      <w:tcPr>
                        <w:tcW w:w="11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300.48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20" w:hRule="atLeast"/>
                    </w:trPr>
                    <w:tc>
                      <w:tcPr>
                        <w:tcW w:w="3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54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合价</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Arial Narrow" w:hAnsi="Arial Narrow" w:eastAsia="Arial Narrow" w:cs="Arial Narrow"/>
                            <w:color w:val="auto"/>
                            <w:sz w:val="20"/>
                            <w:szCs w:val="20"/>
                            <w:highlight w:val="none"/>
                          </w:rPr>
                        </w:pPr>
                      </w:p>
                    </w:tc>
                  </w:tr>
                </w:tbl>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pStyle w:val="26"/>
                    <w:rPr>
                      <w:color w:val="auto"/>
                      <w:highlight w:val="none"/>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lang w:bidi="ar"/>
                    </w:rPr>
                  </w:pPr>
                </w:p>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给排水专项工程清单</w:t>
                  </w:r>
                </w:p>
              </w:tc>
            </w:tr>
          </w:tbl>
          <w:p>
            <w:pPr>
              <w:pStyle w:val="10"/>
              <w:rPr>
                <w:color w:val="auto"/>
                <w:highlight w:val="none"/>
              </w:rPr>
            </w:pPr>
          </w:p>
        </w:tc>
      </w:tr>
    </w:tbl>
    <w:p>
      <w:pPr>
        <w:rPr>
          <w:vanish/>
          <w:color w:val="auto"/>
          <w:highlight w:val="none"/>
        </w:rPr>
      </w:pPr>
    </w:p>
    <w:tbl>
      <w:tblPr>
        <w:tblStyle w:val="27"/>
        <w:tblpPr w:leftFromText="180" w:rightFromText="180" w:vertAnchor="text" w:horzAnchor="page" w:tblpX="1503" w:tblpY="49"/>
        <w:tblOverlap w:val="never"/>
        <w:tblW w:w="9309" w:type="dxa"/>
        <w:tblInd w:w="0" w:type="dxa"/>
        <w:tblLayout w:type="fixed"/>
        <w:tblCellMar>
          <w:top w:w="0" w:type="dxa"/>
          <w:left w:w="108" w:type="dxa"/>
          <w:bottom w:w="0" w:type="dxa"/>
          <w:right w:w="108" w:type="dxa"/>
        </w:tblCellMar>
      </w:tblPr>
      <w:tblGrid>
        <w:gridCol w:w="464"/>
        <w:gridCol w:w="922"/>
        <w:gridCol w:w="4473"/>
        <w:gridCol w:w="1147"/>
        <w:gridCol w:w="750"/>
        <w:gridCol w:w="885"/>
        <w:gridCol w:w="668"/>
      </w:tblGrid>
      <w:tr>
        <w:tblPrEx>
          <w:tblCellMar>
            <w:top w:w="0" w:type="dxa"/>
            <w:left w:w="108" w:type="dxa"/>
            <w:bottom w:w="0" w:type="dxa"/>
            <w:right w:w="108" w:type="dxa"/>
          </w:tblCellMar>
        </w:tblPrEx>
        <w:trPr>
          <w:trHeight w:val="342" w:hRule="atLeast"/>
        </w:trPr>
        <w:tc>
          <w:tcPr>
            <w:tcW w:w="4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92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设备、材料名称</w:t>
            </w:r>
          </w:p>
        </w:tc>
        <w:tc>
          <w:tcPr>
            <w:tcW w:w="447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规格/型号</w:t>
            </w:r>
          </w:p>
        </w:tc>
        <w:tc>
          <w:tcPr>
            <w:tcW w:w="11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val="en-US" w:eastAsia="zh-CN" w:bidi="ar"/>
              </w:rPr>
              <w:t>推荐</w:t>
            </w:r>
            <w:r>
              <w:rPr>
                <w:rFonts w:hint="eastAsia" w:ascii="宋体" w:hAnsi="宋体" w:cs="宋体"/>
                <w:b/>
                <w:bCs/>
                <w:color w:val="auto"/>
                <w:sz w:val="20"/>
                <w:szCs w:val="20"/>
                <w:highlight w:val="none"/>
                <w:lang w:bidi="ar"/>
              </w:rPr>
              <w:t>品牌</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8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工程量</w:t>
            </w:r>
          </w:p>
        </w:tc>
        <w:tc>
          <w:tcPr>
            <w:tcW w:w="6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备注</w:t>
            </w:r>
          </w:p>
        </w:tc>
      </w:tr>
      <w:tr>
        <w:tblPrEx>
          <w:tblCellMar>
            <w:top w:w="0" w:type="dxa"/>
            <w:left w:w="108" w:type="dxa"/>
            <w:bottom w:w="0" w:type="dxa"/>
            <w:right w:w="108" w:type="dxa"/>
          </w:tblCellMar>
        </w:tblPrEx>
        <w:trPr>
          <w:trHeight w:val="342" w:hRule="atLeast"/>
        </w:trPr>
        <w:tc>
          <w:tcPr>
            <w:tcW w:w="4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92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47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11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6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b/>
                <w:bCs/>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一</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洁具</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拖把池</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台盆柜式洗脸盆</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含感应水龙头及一切附件，配件采用节水型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立式洗脸盆</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含感应水龙头及一切附件，配件采用节水型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实验室台盆</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含三联水龙头及一切附件，配件采用节水型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倒污池</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蹲便器</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含脚踏阀及一切附件，配件采用节水型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88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坐便器</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一体式，含一切附件，配件采用节水型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东鹏（广东）、箭牌卫浴、九牧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5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不锈钢污洗池</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一人位，含不锈钢台面、龙头及一切附件，配件采用节水型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212"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不锈钢洗手池</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三人位，含洗手、消毒、干洗设备，可调节冷热水温的感应龙头和给皂器及一切附件，配件采用节水型</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铭炫、浩东、智迪锐</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二</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管道</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22.2*1.0；焊接，含管件、刷色环、套管及其所有封堵等一切内容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222.81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28.6*1.0；焊接，含管件、刷色环、套管及其所有封堵等一切内容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57.63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34*1.2；焊接，含管件、刷色环、套管及其所有封堵等一切内容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16.31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42.7*1.2；焊接，含管件、刷色环、套管及其所有封堵等一切内容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29.90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48.6*1.2；焊接，含管件、刷色环、套管及其所有封堵等一切内容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241.90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薄壁不锈钢管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76.1*2.0；焊接，含管件、刷色环、套管及其所有封堵等一切内容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43.44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覆膜不锈钢管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22.2*1.0；焊接，含管件、刷色环、套管及其所有封堵等一切内容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186.40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覆膜不锈钢管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34*1.2；焊接，含管件、刷色环、套管及其所有封堵等一切内容等</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175.80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15.46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DN32；焊接，含管件、刷色环、套管及其所有封堵等一切内容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26.30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DN40；焊接，含管件、刷色环、套管及其所有封堵等一切内容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33.10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190.99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DN65；焊接，含管件、刷色环、套管及其所有封堵等一切内容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18.05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304L不锈钢管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DN80；焊接，含管件、刷色环、套管及其所有封堵等一切内容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29.43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柔性铸铁管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DN50*3.5；不锈钢卡箍连接，含管件、刷色环、套管及其所有封堵等一切内容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63.22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柔性铸铁管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DN75*3.5；不锈钢卡箍连接，含管件、刷色环、套管及其所有封堵等一切内容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173.74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柔性铸铁管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DN100*3.5；不锈钢卡箍连接，含管件、刷色环、套管及其所有封堵等一切内容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174.38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柔性铸铁管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DN150*4.0；不锈钢卡箍连接，含管件、刷色环、套管及其所有封堵等一切内容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16.40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20</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PVC-U管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DN75*2.3，含管件、刷色环、套管及其所有封堵等一切内容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32.22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PVC-U管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DN100*3.2，含管件、刷色环、套管及其所有封堵等一切内容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35.03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32*3.5；焊接，含管件、刷色环、套管及其所有封堵等一切内容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29.04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38*3.5；焊接，含管件、刷色环、套管及其所有封堵等一切内容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40.35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57*3.5；焊接，含管件、刷色环、套管及其所有封堵等一切内容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9.21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89*4.0；焊接，含管件、刷色环、套管及其所有封堵等一切内容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108*4；焊接，含管件、刷色环、套管及其所有封堵等一切内容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18.23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DN150;焊接，含管件、刷色环、套管及其所有封堵等一切内容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12.60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无缝钢管</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DN200;焊接，含管件、刷色环、套管及其所有封堵等一切内容</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28.73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橡塑保温棉</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综合厚度，外壳刷防火漆</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3.19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30</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岩棉保温</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综合厚度，外壳刷防火漆</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m3</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67"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管道支吊架</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1.材质：热浸锌吊支架</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Kg</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1374.37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三</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阀门</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DN32</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铜截止阀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闸阀（铜芯）</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DN65</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闸阀（铜芯）</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DN80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7</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角阀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恒温阀</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DN20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补偿器</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四</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其他</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清扫口DN100</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清扫口DN150</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color w:val="auto"/>
                <w:sz w:val="20"/>
                <w:szCs w:val="20"/>
                <w:highlight w:val="none"/>
              </w:rPr>
            </w:pP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98"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9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地漏</w:t>
            </w:r>
          </w:p>
        </w:tc>
        <w:tc>
          <w:tcPr>
            <w:tcW w:w="44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DN50，不锈钢材质</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个</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17.00 </w:t>
            </w: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20" w:hRule="atLeast"/>
        </w:trPr>
        <w:tc>
          <w:tcPr>
            <w:tcW w:w="46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b/>
                <w:bCs/>
                <w:color w:val="auto"/>
                <w:sz w:val="20"/>
                <w:szCs w:val="20"/>
                <w:highlight w:val="none"/>
              </w:rPr>
            </w:pPr>
          </w:p>
        </w:tc>
        <w:tc>
          <w:tcPr>
            <w:tcW w:w="53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114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ascii="宋体" w:hAnsi="宋体" w:cs="宋体"/>
                <w:b/>
                <w:bCs/>
                <w:color w:val="auto"/>
                <w:sz w:val="20"/>
                <w:szCs w:val="20"/>
                <w:highlight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auto"/>
                <w:sz w:val="20"/>
                <w:szCs w:val="20"/>
                <w:highlight w:val="none"/>
              </w:rPr>
            </w:pPr>
          </w:p>
        </w:tc>
        <w:tc>
          <w:tcPr>
            <w:tcW w:w="66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ascii="宋体" w:hAnsi="宋体" w:cs="宋体"/>
                <w:b/>
                <w:bCs/>
                <w:color w:val="auto"/>
                <w:sz w:val="20"/>
                <w:szCs w:val="20"/>
                <w:highlight w:val="none"/>
              </w:rPr>
            </w:pPr>
          </w:p>
        </w:tc>
      </w:tr>
    </w:tbl>
    <w:p>
      <w:pPr>
        <w:rPr>
          <w:rFonts w:ascii="宋体" w:hAnsi="宋体"/>
          <w:color w:val="auto"/>
          <w:highlight w:val="none"/>
        </w:rPr>
      </w:pPr>
    </w:p>
    <w:p>
      <w:pPr>
        <w:spacing w:before="120" w:after="120" w:line="360" w:lineRule="auto"/>
        <w:jc w:val="left"/>
        <w:rPr>
          <w:rFonts w:ascii="宋体" w:hAnsi="宋体"/>
          <w:color w:val="auto"/>
          <w:highlight w:val="none"/>
        </w:rPr>
      </w:pPr>
      <w:r>
        <w:rPr>
          <w:rFonts w:hint="eastAsia" w:ascii="宋体" w:hAnsi="宋体"/>
          <w:color w:val="auto"/>
          <w:highlight w:val="none"/>
        </w:rPr>
        <w:t>注：1、“含税综合单价”包括深化设计（中标后提供）费、设备材料费、运输保险费、卸货费、保管费、施工费、调试费、技术服务与培训费、试运行费用、验收费、质保期内的维修保养费、备品备件（含专用工具）费、所有措施费、规费、税金（按国家规定）、施工水电费、总承包服务费、政策性文件规定等所有因素的相关费用。</w:t>
      </w:r>
    </w:p>
    <w:p>
      <w:pPr>
        <w:spacing w:line="360" w:lineRule="auto"/>
        <w:rPr>
          <w:rFonts w:ascii="宋体" w:hAnsi="宋体"/>
          <w:color w:val="auto"/>
          <w:highlight w:val="none"/>
        </w:rPr>
      </w:pPr>
      <w:r>
        <w:rPr>
          <w:rFonts w:hint="eastAsia" w:ascii="宋体" w:hAnsi="宋体"/>
          <w:color w:val="auto"/>
          <w:highlight w:val="none"/>
        </w:rPr>
        <w:t>2、投标人可在以上工程量清单之后详细列出认为对于按招标文件、图纸及技术要求完成本工程所必须发生的，但没有包括在上述工程量清单费用中的项目；如认为清单内项目的数量有误，亦可于下方列明具体的“序号、名称、规格参数、品牌、单位、数量、含税综合单价、含税合价”并计算增减费用。</w:t>
      </w:r>
    </w:p>
    <w:p>
      <w:pPr>
        <w:rPr>
          <w:rFonts w:asciiTheme="minorEastAsia" w:hAnsiTheme="minorEastAsia" w:eastAsiaTheme="minorEastAsia" w:cstheme="minorEastAsia"/>
          <w:color w:val="auto"/>
          <w:sz w:val="24"/>
          <w:szCs w:val="24"/>
          <w:highlight w:val="none"/>
        </w:rPr>
      </w:pPr>
    </w:p>
    <w:p>
      <w:pPr>
        <w:pStyle w:val="2"/>
        <w:rPr>
          <w:color w:val="auto"/>
          <w:highlight w:val="none"/>
        </w:rPr>
      </w:pPr>
      <w:bookmarkStart w:id="445" w:name="_Toc24820"/>
      <w:r>
        <w:rPr>
          <w:rFonts w:hint="eastAsia"/>
          <w:color w:val="auto"/>
          <w:highlight w:val="none"/>
        </w:rPr>
        <w:t>第七章</w:t>
      </w:r>
      <w:r>
        <w:rPr>
          <w:color w:val="auto"/>
          <w:highlight w:val="none"/>
        </w:rPr>
        <w:t xml:space="preserve">  </w:t>
      </w:r>
      <w:r>
        <w:rPr>
          <w:rFonts w:hint="eastAsia"/>
          <w:color w:val="auto"/>
          <w:highlight w:val="none"/>
        </w:rPr>
        <w:t>投标文件格式</w:t>
      </w:r>
      <w:bookmarkEnd w:id="445"/>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6"/>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rPr>
          <w:color w:val="auto"/>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rPr>
          <w:rFonts w:asciiTheme="minorEastAsia" w:hAnsiTheme="minorEastAsia" w:eastAsiaTheme="minorEastAsia" w:cstheme="minorEastAsia"/>
          <w:b/>
          <w:bCs/>
          <w:color w:val="auto"/>
          <w:sz w:val="28"/>
          <w:szCs w:val="28"/>
          <w:highlight w:val="none"/>
        </w:rPr>
      </w:pP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1、企业法人营业执照复印件。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2、资质证书、安全生产许可证复印件。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3、医疗器械经营许可证或医疗器械生产许可证复印件。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4、业绩证明材料的中标通知书（或合同）及验收证明的复印件。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5、浙江省外企业须提供浙江省住建厅备案证明或提供在“浙江省建筑市场监管公共服务系统”企业信息备案通过的网页截图（浙江省内企业不作要求）。</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6、项目负责人注册证书、安全生产考核合格证、社保证明复印件。</w:t>
      </w:r>
    </w:p>
    <w:p>
      <w:pPr>
        <w:widowControl/>
        <w:spacing w:line="360" w:lineRule="auto"/>
        <w:ind w:firstLine="21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7、联合体协议书（如有）</w:t>
      </w:r>
    </w:p>
    <w:p>
      <w:pPr>
        <w:spacing w:line="360" w:lineRule="auto"/>
        <w:ind w:firstLine="21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8</w:t>
      </w:r>
      <w:r>
        <w:rPr>
          <w:rFonts w:asciiTheme="minorEastAsia" w:hAnsiTheme="minorEastAsia" w:eastAsiaTheme="minorEastAsia" w:cstheme="minorEastAsia"/>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5年内无行贿犯罪记录；③承诺项目负责人无在建工程。）格式自拟，加盖投标人公章。</w:t>
      </w:r>
    </w:p>
    <w:p>
      <w:pPr>
        <w:pStyle w:val="10"/>
        <w:rPr>
          <w:color w:val="auto"/>
          <w:highlight w:val="none"/>
        </w:rPr>
      </w:pPr>
    </w:p>
    <w:p>
      <w:pPr>
        <w:adjustRightInd w:val="0"/>
        <w:snapToGrid w:val="0"/>
        <w:spacing w:line="360" w:lineRule="auto"/>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注：不能提供上述材料任何一项或不符合审查要求的投标人为资格审查不合格。若是联合体投标的，联合体牵头人须提供上述第1-8点内容；联合体其他成员单位提供上述第1、2、5点内容；第7点内容由牵头人提供，但必须由联合体各方盖章。</w:t>
      </w:r>
    </w:p>
    <w:p>
      <w:pPr>
        <w:widowControl/>
        <w:spacing w:line="360" w:lineRule="auto"/>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※备注：</w:t>
      </w:r>
      <w:r>
        <w:rPr>
          <w:rFonts w:hint="eastAsia" w:ascii="宋体" w:hAnsi="宋体" w:eastAsia="宋体" w:cs="宋体"/>
          <w:b/>
          <w:bCs/>
          <w:color w:val="auto"/>
          <w:sz w:val="24"/>
          <w:szCs w:val="24"/>
          <w:highlight w:val="none"/>
          <w:u w:val="none"/>
          <w:lang w:bidi="ar"/>
        </w:rPr>
        <w:t>项目负责人为一级注册建造师的，则需提供电子注册证书，并在个人签名处手写本人签名，未手写签名或与签名图像笔迹不一致的，该电子证书无效，资格审查不予通过</w:t>
      </w:r>
      <w:r>
        <w:rPr>
          <w:rFonts w:hint="eastAsia" w:ascii="宋体" w:hAnsi="宋体" w:cs="宋体"/>
          <w:b/>
          <w:bCs/>
          <w:color w:val="auto"/>
          <w:sz w:val="24"/>
          <w:szCs w:val="24"/>
          <w:highlight w:val="none"/>
          <w:lang w:bidi="ar"/>
        </w:rPr>
        <w:t>。</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6"/>
        <w:rPr>
          <w:color w:val="auto"/>
          <w:highlight w:val="none"/>
        </w:rPr>
      </w:pPr>
    </w:p>
    <w:p>
      <w:pPr>
        <w:pStyle w:val="10"/>
        <w:rPr>
          <w:rFonts w:asciiTheme="minorEastAsia" w:hAnsiTheme="minorEastAsia" w:eastAsiaTheme="minorEastAsia" w:cstheme="minorEastAsia"/>
          <w:color w:val="auto"/>
          <w:highlight w:val="none"/>
        </w:rPr>
      </w:pPr>
    </w:p>
    <w:p>
      <w:pPr>
        <w:pStyle w:val="44"/>
        <w:spacing w:after="240" w:afterLines="100"/>
        <w:jc w:val="center"/>
        <w:rPr>
          <w:rFonts w:ascii="宋体" w:hAnsi="宋体" w:eastAsia="宋体"/>
          <w:b/>
          <w:bCs/>
          <w:color w:val="auto"/>
          <w:szCs w:val="28"/>
          <w:highlight w:val="none"/>
        </w:rPr>
      </w:pPr>
      <w:r>
        <w:rPr>
          <w:rFonts w:hint="eastAsia" w:ascii="宋体" w:hAnsi="宋体" w:eastAsia="宋体"/>
          <w:b/>
          <w:bCs/>
          <w:color w:val="auto"/>
          <w:szCs w:val="28"/>
          <w:highlight w:val="none"/>
        </w:rPr>
        <w:t>联合体协议书（如有）</w:t>
      </w:r>
    </w:p>
    <w:p>
      <w:pPr>
        <w:ind w:firstLine="420" w:firstLineChars="200"/>
        <w:rPr>
          <w:rFonts w:ascii="宋体" w:hAnsi="宋体"/>
          <w:color w:val="auto"/>
          <w:szCs w:val="21"/>
          <w:highlight w:val="none"/>
        </w:rPr>
      </w:pPr>
    </w:p>
    <w:p>
      <w:pPr>
        <w:spacing w:line="340" w:lineRule="exact"/>
        <w:rPr>
          <w:rFonts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rPr>
      </w:pPr>
      <w:r>
        <w:rPr>
          <w:rFonts w:hint="eastAsia" w:ascii="宋体" w:hAnsi="宋体"/>
          <w:color w:val="auto"/>
          <w:szCs w:val="21"/>
          <w:highlight w:val="none"/>
        </w:rPr>
        <w:t>法定住所：</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rPr>
      </w:pPr>
      <w:r>
        <w:rPr>
          <w:rFonts w:hint="eastAsia" w:ascii="宋体" w:hAnsi="宋体"/>
          <w:color w:val="auto"/>
          <w:szCs w:val="21"/>
          <w:highlight w:val="none"/>
        </w:rPr>
        <w:t>成员二名称：</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rPr>
      </w:pPr>
      <w:r>
        <w:rPr>
          <w:rFonts w:hint="eastAsia" w:ascii="宋体" w:hAnsi="宋体"/>
          <w:color w:val="auto"/>
          <w:szCs w:val="21"/>
          <w:highlight w:val="none"/>
        </w:rPr>
        <w:t>法定代表人：</w:t>
      </w:r>
      <w:r>
        <w:rPr>
          <w:rFonts w:hint="eastAsia" w:ascii="宋体" w:hAnsi="宋体"/>
          <w:color w:val="auto"/>
          <w:szCs w:val="21"/>
          <w:highlight w:val="none"/>
          <w:u w:val="single"/>
        </w:rPr>
        <w:t xml:space="preserve">                                                  </w:t>
      </w:r>
    </w:p>
    <w:p>
      <w:pPr>
        <w:spacing w:line="340" w:lineRule="exact"/>
        <w:rPr>
          <w:rFonts w:ascii="宋体" w:hAnsi="宋体"/>
          <w:color w:val="auto"/>
          <w:szCs w:val="21"/>
          <w:highlight w:val="none"/>
          <w:u w:val="single"/>
        </w:rPr>
      </w:pPr>
      <w:r>
        <w:rPr>
          <w:rFonts w:hint="eastAsia" w:ascii="宋体" w:hAnsi="宋体"/>
          <w:color w:val="auto"/>
          <w:szCs w:val="21"/>
          <w:highlight w:val="none"/>
        </w:rPr>
        <w:t>法定住所：</w:t>
      </w:r>
      <w:r>
        <w:rPr>
          <w:rFonts w:hint="eastAsia" w:ascii="宋体" w:hAnsi="宋体"/>
          <w:color w:val="auto"/>
          <w:szCs w:val="21"/>
          <w:highlight w:val="none"/>
          <w:u w:val="single"/>
        </w:rPr>
        <w:t xml:space="preserve">                                                    </w:t>
      </w:r>
    </w:p>
    <w:p>
      <w:pPr>
        <w:spacing w:line="340" w:lineRule="exact"/>
        <w:ind w:firstLine="525" w:firstLineChars="250"/>
        <w:rPr>
          <w:rFonts w:ascii="宋体" w:hAnsi="宋体"/>
          <w:color w:val="auto"/>
          <w:szCs w:val="21"/>
          <w:highlight w:val="none"/>
        </w:rPr>
      </w:pP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鉴于上述各成员单位经过友好协商，自愿组成</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（联合体名称）联合体，共同参加</w:t>
      </w:r>
      <w:r>
        <w:rPr>
          <w:rFonts w:hint="eastAsia" w:ascii="宋体" w:hAnsi="宋体"/>
          <w:color w:val="auto"/>
          <w:szCs w:val="21"/>
          <w:highlight w:val="none"/>
          <w:u w:val="single"/>
        </w:rPr>
        <w:t xml:space="preserve">                  </w:t>
      </w:r>
      <w:r>
        <w:rPr>
          <w:rFonts w:hint="eastAsia" w:ascii="宋体" w:hAnsi="宋体"/>
          <w:color w:val="auto"/>
          <w:szCs w:val="21"/>
          <w:highlight w:val="none"/>
        </w:rPr>
        <w:t>（招标人名称）（以下简称招标人）</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标段（以下简称本工程）的施工投标并争取赢得本工程施工承包合同（以下简称合同）。现就联合体投标事宜订立如下协议：</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u w:val="single"/>
        </w:rPr>
        <w:t xml:space="preserve">        </w:t>
      </w:r>
      <w:r>
        <w:rPr>
          <w:rFonts w:hint="eastAsia" w:ascii="宋体" w:hAnsi="宋体"/>
          <w:color w:val="auto"/>
          <w:szCs w:val="21"/>
          <w:highlight w:val="none"/>
        </w:rPr>
        <w:t>（某成员单位名称）为</w:t>
      </w:r>
      <w:r>
        <w:rPr>
          <w:rFonts w:hint="eastAsia" w:ascii="宋体" w:hAnsi="宋体"/>
          <w:color w:val="auto"/>
          <w:szCs w:val="21"/>
          <w:highlight w:val="none"/>
          <w:u w:val="single"/>
        </w:rPr>
        <w:t xml:space="preserve">              </w:t>
      </w:r>
      <w:r>
        <w:rPr>
          <w:rFonts w:hint="eastAsia" w:ascii="宋体" w:hAnsi="宋体"/>
          <w:color w:val="auto"/>
          <w:szCs w:val="21"/>
          <w:highlight w:val="none"/>
        </w:rPr>
        <w:t>（联合体名称）牵头人。</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2．在本工程投标阶段，联合体牵头人合法代表联合体各成员负责本工程投标文件编制活动，代表联合体提交和接收相关的资料、信息及指示，并处理与投标和中标有关的一切事务；联合体中标后，联合体牵头人负责合同订立和合同实施阶段的主办、组织和协调工作。</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4．联合体各成员单位内部的职责分工如下：</w:t>
      </w:r>
      <w:r>
        <w:rPr>
          <w:rFonts w:hint="eastAsia" w:ascii="宋体" w:hAnsi="宋体"/>
          <w:color w:val="auto"/>
          <w:szCs w:val="21"/>
          <w:highlight w:val="none"/>
          <w:u w:val="single"/>
        </w:rPr>
        <w:t xml:space="preserve">                                    </w:t>
      </w:r>
      <w:r>
        <w:rPr>
          <w:rFonts w:hint="eastAsia" w:ascii="宋体" w:hAnsi="宋体"/>
          <w:color w:val="auto"/>
          <w:szCs w:val="21"/>
          <w:highlight w:val="none"/>
        </w:rPr>
        <w:t>。按照本条上述分工，联合体成员单位各自所承担的合同工作量比例如下：</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5．投标工作和联合体在中标后工程实施过程中的有关费用按各自承担的工作量分摊。</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6．联合体中标后，本联合体协议是合同的附件，对联合体各成员单位有合同约束力。</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7．本协议书自签署之日起生效，联合体未中标或者中标时合同履行完毕后自动失效。</w:t>
      </w:r>
    </w:p>
    <w:p>
      <w:pPr>
        <w:spacing w:line="340" w:lineRule="exact"/>
        <w:ind w:firstLine="420" w:firstLineChars="200"/>
        <w:rPr>
          <w:rFonts w:ascii="宋体" w:hAnsi="宋体"/>
          <w:color w:val="auto"/>
          <w:szCs w:val="21"/>
          <w:highlight w:val="none"/>
        </w:rPr>
      </w:pPr>
      <w:r>
        <w:rPr>
          <w:rFonts w:hint="eastAsia" w:ascii="宋体" w:hAnsi="宋体"/>
          <w:color w:val="auto"/>
          <w:szCs w:val="21"/>
          <w:highlight w:val="none"/>
        </w:rPr>
        <w:t>8．本协议书一式</w:t>
      </w:r>
      <w:r>
        <w:rPr>
          <w:rFonts w:hint="eastAsia" w:ascii="宋体" w:hAnsi="宋体"/>
          <w:color w:val="auto"/>
          <w:szCs w:val="21"/>
          <w:highlight w:val="none"/>
          <w:u w:val="single"/>
        </w:rPr>
        <w:t xml:space="preserve">            </w:t>
      </w:r>
      <w:r>
        <w:rPr>
          <w:rFonts w:hint="eastAsia" w:ascii="宋体" w:hAnsi="宋体"/>
          <w:color w:val="auto"/>
          <w:szCs w:val="21"/>
          <w:highlight w:val="none"/>
        </w:rPr>
        <w:t>份，联合体成员和招标人各执一份。</w:t>
      </w:r>
    </w:p>
    <w:p>
      <w:pPr>
        <w:spacing w:line="340" w:lineRule="exact"/>
        <w:ind w:firstLine="1260" w:firstLineChars="600"/>
        <w:rPr>
          <w:rFonts w:ascii="宋体" w:hAnsi="宋体"/>
          <w:color w:val="auto"/>
          <w:szCs w:val="21"/>
          <w:highlight w:val="none"/>
        </w:rPr>
      </w:pPr>
      <w:r>
        <w:rPr>
          <w:rFonts w:hint="eastAsia" w:ascii="宋体" w:hAnsi="宋体"/>
          <w:color w:val="auto"/>
          <w:szCs w:val="21"/>
          <w:highlight w:val="none"/>
        </w:rPr>
        <w:t>牵头人名称：</w:t>
      </w:r>
      <w:r>
        <w:rPr>
          <w:rFonts w:hint="eastAsia" w:ascii="宋体" w:hAnsi="宋体"/>
          <w:color w:val="auto"/>
          <w:szCs w:val="21"/>
          <w:highlight w:val="none"/>
          <w:u w:val="single"/>
        </w:rPr>
        <w:t xml:space="preserve">                           </w:t>
      </w:r>
      <w:r>
        <w:rPr>
          <w:rFonts w:hint="eastAsia" w:ascii="宋体" w:hAnsi="宋体"/>
          <w:color w:val="auto"/>
          <w:szCs w:val="21"/>
          <w:highlight w:val="none"/>
        </w:rPr>
        <w:t>（盖单位公章）</w:t>
      </w:r>
    </w:p>
    <w:p>
      <w:pPr>
        <w:spacing w:line="340" w:lineRule="exact"/>
        <w:ind w:firstLine="1260" w:firstLineChars="600"/>
        <w:rPr>
          <w:rFonts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（签字或盖章）</w:t>
      </w:r>
    </w:p>
    <w:p>
      <w:pPr>
        <w:spacing w:line="340" w:lineRule="exact"/>
        <w:ind w:firstLine="1785" w:firstLineChars="850"/>
        <w:rPr>
          <w:rFonts w:ascii="宋体" w:hAnsi="宋体"/>
          <w:color w:val="auto"/>
          <w:szCs w:val="21"/>
          <w:highlight w:val="none"/>
        </w:rPr>
      </w:pPr>
    </w:p>
    <w:p>
      <w:pPr>
        <w:spacing w:line="340" w:lineRule="exact"/>
        <w:ind w:firstLine="1260" w:firstLineChars="600"/>
        <w:rPr>
          <w:rFonts w:ascii="宋体" w:hAnsi="宋体"/>
          <w:color w:val="auto"/>
          <w:szCs w:val="21"/>
          <w:highlight w:val="none"/>
        </w:rPr>
      </w:pPr>
      <w:r>
        <w:rPr>
          <w:rFonts w:hint="eastAsia" w:ascii="宋体" w:hAnsi="宋体"/>
          <w:color w:val="auto"/>
          <w:szCs w:val="21"/>
          <w:highlight w:val="none"/>
        </w:rPr>
        <w:t>成员二名称：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（盖单位公章）</w:t>
      </w:r>
    </w:p>
    <w:p>
      <w:pPr>
        <w:spacing w:line="340" w:lineRule="exact"/>
        <w:ind w:firstLine="1260" w:firstLineChars="600"/>
        <w:rPr>
          <w:rFonts w:ascii="宋体" w:hAnsi="宋体"/>
          <w:color w:val="auto"/>
          <w:szCs w:val="21"/>
          <w:highlight w:val="none"/>
        </w:rPr>
      </w:pPr>
      <w:r>
        <w:rPr>
          <w:rFonts w:hint="eastAsia" w:ascii="宋体" w:hAnsi="宋体"/>
          <w:color w:val="auto"/>
          <w:szCs w:val="21"/>
          <w:highlight w:val="none"/>
        </w:rPr>
        <w:t>法定代表人或其委托代理人：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（签字或盖章）</w:t>
      </w:r>
    </w:p>
    <w:p>
      <w:pPr>
        <w:spacing w:line="340" w:lineRule="exact"/>
        <w:ind w:firstLine="2100" w:firstLineChars="1000"/>
        <w:rPr>
          <w:rFonts w:ascii="宋体" w:hAnsi="宋体"/>
          <w:color w:val="auto"/>
          <w:szCs w:val="21"/>
          <w:highlight w:val="none"/>
        </w:rPr>
      </w:pPr>
    </w:p>
    <w:p>
      <w:pPr>
        <w:spacing w:line="340" w:lineRule="exact"/>
        <w:jc w:val="right"/>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p>
    <w:p>
      <w:pPr>
        <w:spacing w:line="340" w:lineRule="exact"/>
        <w:jc w:val="center"/>
        <w:rPr>
          <w:rFonts w:ascii="黑体" w:hAnsi="宋体" w:eastAsia="黑体"/>
          <w:color w:val="auto"/>
          <w:szCs w:val="21"/>
          <w:highlight w:val="none"/>
        </w:rPr>
      </w:pPr>
    </w:p>
    <w:p>
      <w:pPr>
        <w:spacing w:line="340" w:lineRule="exact"/>
        <w:jc w:val="center"/>
        <w:rPr>
          <w:rFonts w:ascii="宋体" w:hAnsi="宋体"/>
          <w:color w:val="auto"/>
          <w:szCs w:val="21"/>
          <w:highlight w:val="none"/>
        </w:rPr>
      </w:pPr>
      <w:r>
        <w:rPr>
          <w:rFonts w:hint="eastAsia" w:ascii="黑体" w:hAnsi="宋体" w:eastAsia="黑体"/>
          <w:color w:val="auto"/>
          <w:szCs w:val="21"/>
          <w:highlight w:val="none"/>
        </w:rPr>
        <w:t>备注：1、</w:t>
      </w:r>
      <w:r>
        <w:rPr>
          <w:rFonts w:hint="eastAsia" w:ascii="宋体" w:hAnsi="宋体"/>
          <w:color w:val="auto"/>
          <w:szCs w:val="21"/>
          <w:highlight w:val="none"/>
        </w:rPr>
        <w:t>本协议书由委托代理人签字的，应附法定代表人签字的联合协议签署授权委托书。</w:t>
      </w:r>
    </w:p>
    <w:p>
      <w:pPr>
        <w:pStyle w:val="10"/>
        <w:rPr>
          <w:rFonts w:ascii="宋体" w:hAnsi="宋体"/>
          <w:color w:val="auto"/>
          <w:szCs w:val="21"/>
          <w:highlight w:val="none"/>
        </w:rPr>
      </w:pPr>
    </w:p>
    <w:p>
      <w:pPr>
        <w:pStyle w:val="22"/>
        <w:rPr>
          <w:rFonts w:ascii="宋体" w:hAnsi="宋体"/>
          <w:color w:val="auto"/>
          <w:szCs w:val="21"/>
          <w:highlight w:val="none"/>
        </w:rPr>
      </w:pPr>
    </w:p>
    <w:p>
      <w:pPr>
        <w:rPr>
          <w:rFonts w:ascii="宋体" w:hAnsi="宋体"/>
          <w:color w:val="auto"/>
          <w:szCs w:val="21"/>
          <w:highlight w:val="none"/>
        </w:rPr>
      </w:pPr>
    </w:p>
    <w:p>
      <w:pPr>
        <w:pStyle w:val="10"/>
        <w:rPr>
          <w:color w:val="auto"/>
          <w:highlight w:val="none"/>
        </w:rPr>
      </w:pPr>
    </w:p>
    <w:p>
      <w:pPr>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6"/>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6"/>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6"/>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7"/>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pStyle w:val="26"/>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6"/>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6"/>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8"/>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8"/>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8"/>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w:t>
      </w:r>
      <w:r>
        <w:rPr>
          <w:rFonts w:hint="eastAsia" w:asciiTheme="minorEastAsia" w:hAnsiTheme="minorEastAsia" w:eastAsiaTheme="minorEastAsia" w:cstheme="minorEastAsia"/>
          <w:color w:val="auto"/>
          <w:sz w:val="24"/>
          <w:szCs w:val="24"/>
          <w:highlight w:val="none"/>
          <w:lang w:val="en-US" w:eastAsia="zh-CN"/>
        </w:rPr>
        <w:t>四</w:t>
      </w:r>
      <w:r>
        <w:rPr>
          <w:rFonts w:hint="eastAsia" w:asciiTheme="minorEastAsia" w:hAnsiTheme="minorEastAsia" w:eastAsiaTheme="minorEastAsia" w:cstheme="minorEastAsia"/>
          <w:color w:val="auto"/>
          <w:sz w:val="24"/>
          <w:szCs w:val="24"/>
          <w:highlight w:val="none"/>
        </w:rPr>
        <w:t>）</w:t>
      </w:r>
    </w:p>
    <w:p>
      <w:pPr>
        <w:pStyle w:val="8"/>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8"/>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8"/>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8"/>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6"/>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6"/>
        <w:ind w:firstLine="0" w:firstLineChars="0"/>
        <w:rPr>
          <w:color w:val="auto"/>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pStyle w:val="26"/>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6"/>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0"/>
        <w:rPr>
          <w:color w:val="auto"/>
          <w:highlight w:val="none"/>
        </w:rPr>
      </w:pPr>
    </w:p>
    <w:p>
      <w:pPr>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6" w:name="_Toc320271436"/>
      <w:bookmarkStart w:id="447" w:name="_Toc372212493"/>
      <w:bookmarkStart w:id="448"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6"/>
      <w:bookmarkEnd w:id="447"/>
      <w:r>
        <w:rPr>
          <w:rFonts w:hint="eastAsia" w:asciiTheme="minorEastAsia" w:hAnsiTheme="minorEastAsia" w:eastAsiaTheme="minorEastAsia" w:cstheme="minorEastAsia"/>
          <w:b/>
          <w:bCs/>
          <w:color w:val="auto"/>
          <w:sz w:val="24"/>
          <w:szCs w:val="24"/>
          <w:highlight w:val="none"/>
        </w:rPr>
        <w:t>函</w:t>
      </w:r>
      <w:bookmarkEnd w:id="448"/>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元，品牌___/_____，产地</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6"/>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6"/>
        <w:ind w:firstLine="340"/>
        <w:rPr>
          <w:color w:val="auto"/>
          <w:highlight w:val="none"/>
        </w:rPr>
      </w:pPr>
    </w:p>
    <w:p>
      <w:pPr>
        <w:rPr>
          <w:color w:val="auto"/>
          <w:highlight w:val="none"/>
        </w:rPr>
      </w:pPr>
    </w:p>
    <w:p>
      <w:pPr>
        <w:pStyle w:val="2"/>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2"/>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7"/>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2"/>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2"/>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7"/>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sectPr>
          <w:footerReference r:id="rId6" w:type="default"/>
          <w:pgSz w:w="11905" w:h="16838"/>
          <w:pgMar w:top="1417" w:right="1134" w:bottom="1417" w:left="1134" w:header="680" w:footer="680" w:gutter="0"/>
          <w:cols w:space="0" w:num="1"/>
          <w:docGrid w:linePitch="312" w:charSpace="0"/>
        </w:sectPr>
      </w:pPr>
    </w:p>
    <w:p>
      <w:pPr>
        <w:pStyle w:val="2"/>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格式四</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7"/>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总</w:t>
            </w:r>
            <w:r>
              <w:rPr>
                <w:rFonts w:hint="eastAsia" w:asciiTheme="minorEastAsia" w:hAnsiTheme="minorEastAsia" w:eastAsiaTheme="minorEastAsia" w:cstheme="minorEastAsia"/>
                <w:color w:val="auto"/>
                <w:sz w:val="24"/>
                <w:szCs w:val="24"/>
                <w:highlight w:val="none"/>
              </w:rPr>
              <w:t>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ascii="宋体" w:hAnsi="宋体" w:cs="宋体"/>
                <w:color w:val="auto"/>
                <w:sz w:val="20"/>
                <w:szCs w:val="20"/>
                <w:highlight w:val="none"/>
              </w:rPr>
              <w:t>3</w:t>
            </w:r>
            <w:r>
              <w:rPr>
                <w:rStyle w:val="40"/>
                <w:rFonts w:hint="eastAsia" w:ascii="宋体" w:hAnsi="宋体" w:cs="宋体"/>
                <w:color w:val="auto"/>
                <w:sz w:val="20"/>
                <w:szCs w:val="20"/>
                <w:highlight w:val="none"/>
              </w:rPr>
              <w:t>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0"/>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40"/>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4"/>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4"/>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6"/>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6"/>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72"/>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72"/>
        <w:adjustRightInd w:val="0"/>
        <w:snapToGrid w:val="0"/>
        <w:spacing w:line="312" w:lineRule="auto"/>
        <w:ind w:right="241" w:rightChars="115" w:firstLine="400" w:firstLineChars="200"/>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6"/>
        <w:ind w:firstLine="0" w:firstLineChars="0"/>
        <w:rPr>
          <w:color w:val="auto"/>
          <w:highlight w:val="none"/>
        </w:rPr>
      </w:pPr>
    </w:p>
    <w:p>
      <w:pPr>
        <w:rPr>
          <w:color w:val="auto"/>
          <w:highlight w:val="none"/>
        </w:rPr>
      </w:pPr>
    </w:p>
    <w:p>
      <w:pPr>
        <w:pStyle w:val="26"/>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6"/>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6"/>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6"/>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p>
      <w:pPr>
        <w:rPr>
          <w:color w:val="auto"/>
          <w:highlight w:val="none"/>
        </w:rPr>
      </w:pPr>
    </w:p>
    <w:p>
      <w:pPr>
        <w:rPr>
          <w:color w:val="auto"/>
          <w:highlight w:val="none"/>
        </w:rPr>
      </w:pPr>
    </w:p>
    <w:p>
      <w:pPr>
        <w:rPr>
          <w:color w:val="auto"/>
          <w:highlight w:val="none"/>
        </w:rPr>
      </w:pPr>
    </w:p>
    <w:sectPr>
      <w:pgSz w:w="16838" w:h="11905" w:orient="landscape"/>
      <w:pgMar w:top="1134" w:right="1417" w:bottom="1134" w:left="1417" w:header="680" w:footer="680" w:gutter="0"/>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7432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7432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TM5V8yAgAAZA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MzlXzICAABk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28</w:t>
    </w:r>
    <w:r>
      <w:fldChar w:fldCharType="end"/>
    </w:r>
  </w:p>
  <w:p>
    <w:pPr>
      <w:pStyle w:val="17"/>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outside" w:y="1"/>
      <w:rPr>
        <w:rStyle w:val="31"/>
      </w:rPr>
    </w:pPr>
    <w:r>
      <w:fldChar w:fldCharType="begin"/>
    </w:r>
    <w:r>
      <w:rPr>
        <w:rStyle w:val="31"/>
      </w:rPr>
      <w:instrText xml:space="preserve">PAGE  </w:instrText>
    </w:r>
    <w:r>
      <w:fldChar w:fldCharType="separate"/>
    </w:r>
    <w:r>
      <w:rPr>
        <w:rStyle w:val="31"/>
      </w:rPr>
      <w:t>16</w:t>
    </w:r>
    <w:r>
      <w:fldChar w:fldCharType="end"/>
    </w:r>
  </w:p>
  <w:p>
    <w:pPr>
      <w:pStyle w:val="1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1"/>
      </w:rPr>
    </w:pPr>
    <w:r>
      <w:fldChar w:fldCharType="begin"/>
    </w:r>
    <w:r>
      <w:rPr>
        <w:rStyle w:val="31"/>
      </w:rPr>
      <w:instrText xml:space="preserve">PAGE  </w:instrText>
    </w:r>
    <w:r>
      <w:fldChar w:fldCharType="separate"/>
    </w:r>
    <w:r>
      <w:rPr>
        <w:rStyle w:val="31"/>
      </w:rPr>
      <w:t>32</w:t>
    </w:r>
    <w:r>
      <w:fldChar w:fldCharType="end"/>
    </w:r>
  </w:p>
  <w:p>
    <w:pPr>
      <w:pStyle w:val="17"/>
      <w:ind w:right="360" w:firstLine="180"/>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92EBF6"/>
    <w:multiLevelType w:val="singleLevel"/>
    <w:tmpl w:val="AB92EBF6"/>
    <w:lvl w:ilvl="0" w:tentative="0">
      <w:start w:val="1"/>
      <w:numFmt w:val="decimal"/>
      <w:suff w:val="nothing"/>
      <w:lvlText w:val="%1、"/>
      <w:lvlJc w:val="left"/>
    </w:lvl>
  </w:abstractNum>
  <w:abstractNum w:abstractNumId="1">
    <w:nsid w:val="CF79A0DF"/>
    <w:multiLevelType w:val="singleLevel"/>
    <w:tmpl w:val="CF79A0DF"/>
    <w:lvl w:ilvl="0" w:tentative="0">
      <w:start w:val="9"/>
      <w:numFmt w:val="decimal"/>
      <w:suff w:val="nothing"/>
      <w:lvlText w:val="%1、"/>
      <w:lvlJc w:val="left"/>
    </w:lvl>
  </w:abstractNum>
  <w:abstractNum w:abstractNumId="2">
    <w:nsid w:val="E0E1E3CC"/>
    <w:multiLevelType w:val="singleLevel"/>
    <w:tmpl w:val="E0E1E3CC"/>
    <w:lvl w:ilvl="0" w:tentative="0">
      <w:start w:val="1"/>
      <w:numFmt w:val="decimal"/>
      <w:suff w:val="nothing"/>
      <w:lvlText w:val="%1、"/>
      <w:lvlJc w:val="left"/>
    </w:lvl>
  </w:abstractNum>
  <w:abstractNum w:abstractNumId="3">
    <w:nsid w:val="F7D000BB"/>
    <w:multiLevelType w:val="singleLevel"/>
    <w:tmpl w:val="F7D000BB"/>
    <w:lvl w:ilvl="0" w:tentative="0">
      <w:start w:val="1"/>
      <w:numFmt w:val="decimal"/>
      <w:suff w:val="nothing"/>
      <w:lvlText w:val="%1、"/>
      <w:lvlJc w:val="left"/>
    </w:lvl>
  </w:abstractNum>
  <w:abstractNum w:abstractNumId="4">
    <w:nsid w:val="00000001"/>
    <w:multiLevelType w:val="singleLevel"/>
    <w:tmpl w:val="00000001"/>
    <w:lvl w:ilvl="0" w:tentative="0">
      <w:start w:val="1"/>
      <w:numFmt w:val="decimalEnclosedCircleChinese"/>
      <w:suff w:val="nothing"/>
      <w:lvlText w:val="%1　"/>
      <w:lvlJc w:val="left"/>
      <w:pPr>
        <w:ind w:left="0" w:firstLine="400"/>
      </w:pPr>
      <w:rPr>
        <w:rFonts w:hint="eastAsia"/>
      </w:rPr>
    </w:lvl>
  </w:abstractNum>
  <w:abstractNum w:abstractNumId="5">
    <w:nsid w:val="00000008"/>
    <w:multiLevelType w:val="multilevel"/>
    <w:tmpl w:val="00000008"/>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6">
    <w:nsid w:val="00000009"/>
    <w:multiLevelType w:val="singleLevel"/>
    <w:tmpl w:val="00000009"/>
    <w:lvl w:ilvl="0" w:tentative="0">
      <w:start w:val="1"/>
      <w:numFmt w:val="decimalEnclosedCircleChinese"/>
      <w:suff w:val="nothing"/>
      <w:lvlText w:val="%1　"/>
      <w:lvlJc w:val="left"/>
      <w:pPr>
        <w:ind w:left="0" w:firstLine="400"/>
      </w:pPr>
      <w:rPr>
        <w:rFonts w:hint="eastAsia"/>
        <w:lang w:val="en-US"/>
      </w:rPr>
    </w:lvl>
  </w:abstractNum>
  <w:abstractNum w:abstractNumId="7">
    <w:nsid w:val="0000000E"/>
    <w:multiLevelType w:val="singleLevel"/>
    <w:tmpl w:val="0000000E"/>
    <w:lvl w:ilvl="0" w:tentative="0">
      <w:start w:val="1"/>
      <w:numFmt w:val="decimalEnclosedCircleChinese"/>
      <w:suff w:val="nothing"/>
      <w:lvlText w:val="%1　"/>
      <w:lvlJc w:val="left"/>
      <w:pPr>
        <w:ind w:left="0" w:firstLine="400"/>
      </w:pPr>
      <w:rPr>
        <w:rFonts w:hint="eastAsia"/>
      </w:rPr>
    </w:lvl>
  </w:abstractNum>
  <w:abstractNum w:abstractNumId="8">
    <w:nsid w:val="00000014"/>
    <w:multiLevelType w:val="singleLevel"/>
    <w:tmpl w:val="00000014"/>
    <w:lvl w:ilvl="0" w:tentative="0">
      <w:start w:val="1"/>
      <w:numFmt w:val="decimalEnclosedCircleChinese"/>
      <w:suff w:val="nothing"/>
      <w:lvlText w:val="%1　"/>
      <w:lvlJc w:val="left"/>
      <w:pPr>
        <w:ind w:left="0" w:firstLine="400"/>
      </w:pPr>
      <w:rPr>
        <w:rFonts w:hint="eastAsia"/>
      </w:rPr>
    </w:lvl>
  </w:abstractNum>
  <w:abstractNum w:abstractNumId="9">
    <w:nsid w:val="0000001A"/>
    <w:multiLevelType w:val="singleLevel"/>
    <w:tmpl w:val="0000001A"/>
    <w:lvl w:ilvl="0" w:tentative="0">
      <w:start w:val="1"/>
      <w:numFmt w:val="decimalEnclosedCircleChinese"/>
      <w:suff w:val="nothing"/>
      <w:lvlText w:val="%1　"/>
      <w:lvlJc w:val="left"/>
      <w:pPr>
        <w:ind w:left="0" w:firstLine="400"/>
      </w:pPr>
      <w:rPr>
        <w:rFonts w:hint="eastAsia"/>
      </w:rPr>
    </w:lvl>
  </w:abstractNum>
  <w:abstractNum w:abstractNumId="10">
    <w:nsid w:val="0000001B"/>
    <w:multiLevelType w:val="singleLevel"/>
    <w:tmpl w:val="0000001B"/>
    <w:lvl w:ilvl="0" w:tentative="0">
      <w:start w:val="1"/>
      <w:numFmt w:val="lowerLetter"/>
      <w:lvlText w:val="%1."/>
      <w:lvlJc w:val="left"/>
      <w:pPr>
        <w:ind w:left="425" w:hanging="425"/>
      </w:pPr>
      <w:rPr>
        <w:rFonts w:hint="default"/>
      </w:rPr>
    </w:lvl>
  </w:abstractNum>
  <w:abstractNum w:abstractNumId="11">
    <w:nsid w:val="00000035"/>
    <w:multiLevelType w:val="singleLevel"/>
    <w:tmpl w:val="00000035"/>
    <w:lvl w:ilvl="0" w:tentative="0">
      <w:start w:val="1"/>
      <w:numFmt w:val="decimalEnclosedCircleChinese"/>
      <w:suff w:val="nothing"/>
      <w:lvlText w:val="%1　"/>
      <w:lvlJc w:val="left"/>
      <w:pPr>
        <w:ind w:left="25" w:firstLine="400"/>
      </w:pPr>
      <w:rPr>
        <w:rFonts w:hint="eastAsia"/>
      </w:rPr>
    </w:lvl>
  </w:abstractNum>
  <w:abstractNum w:abstractNumId="12">
    <w:nsid w:val="00000039"/>
    <w:multiLevelType w:val="singleLevel"/>
    <w:tmpl w:val="00000039"/>
    <w:lvl w:ilvl="0" w:tentative="0">
      <w:start w:val="1"/>
      <w:numFmt w:val="decimalEnclosedCircleChinese"/>
      <w:suff w:val="nothing"/>
      <w:lvlText w:val="%1　"/>
      <w:lvlJc w:val="left"/>
      <w:pPr>
        <w:ind w:left="0" w:firstLine="400"/>
      </w:pPr>
    </w:lvl>
  </w:abstractNum>
  <w:abstractNum w:abstractNumId="13">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14">
    <w:nsid w:val="0000004D"/>
    <w:multiLevelType w:val="singleLevel"/>
    <w:tmpl w:val="0000004D"/>
    <w:lvl w:ilvl="0" w:tentative="0">
      <w:start w:val="1"/>
      <w:numFmt w:val="decimalEnclosedCircleChinese"/>
      <w:suff w:val="nothing"/>
      <w:lvlText w:val="%1　"/>
      <w:lvlJc w:val="left"/>
      <w:pPr>
        <w:ind w:left="0" w:firstLine="400"/>
      </w:pPr>
      <w:rPr>
        <w:rFonts w:hint="eastAsia"/>
      </w:rPr>
    </w:lvl>
  </w:abstractNum>
  <w:abstractNum w:abstractNumId="15">
    <w:nsid w:val="00000060"/>
    <w:multiLevelType w:val="singleLevel"/>
    <w:tmpl w:val="00000060"/>
    <w:lvl w:ilvl="0" w:tentative="0">
      <w:start w:val="1"/>
      <w:numFmt w:val="decimalEnclosedCircleChinese"/>
      <w:suff w:val="nothing"/>
      <w:lvlText w:val="%1　"/>
      <w:lvlJc w:val="left"/>
      <w:pPr>
        <w:ind w:left="0" w:firstLine="400"/>
      </w:pPr>
      <w:rPr>
        <w:rFonts w:cs="Times New Roman"/>
      </w:rPr>
    </w:lvl>
  </w:abstractNum>
  <w:abstractNum w:abstractNumId="16">
    <w:nsid w:val="00000061"/>
    <w:multiLevelType w:val="singleLevel"/>
    <w:tmpl w:val="00000061"/>
    <w:lvl w:ilvl="0" w:tentative="0">
      <w:start w:val="1"/>
      <w:numFmt w:val="decimalEnclosedCircleChinese"/>
      <w:suff w:val="nothing"/>
      <w:lvlText w:val="%1　"/>
      <w:lvlJc w:val="left"/>
      <w:pPr>
        <w:ind w:left="0" w:firstLine="400"/>
      </w:pPr>
    </w:lvl>
  </w:abstractNum>
  <w:abstractNum w:abstractNumId="17">
    <w:nsid w:val="02687F34"/>
    <w:multiLevelType w:val="multilevel"/>
    <w:tmpl w:val="02687F34"/>
    <w:lvl w:ilvl="0" w:tentative="0">
      <w:start w:val="1"/>
      <w:numFmt w:val="chineseCountingThousand"/>
      <w:lvlText w:val="(%1)"/>
      <w:lvlJc w:val="left"/>
      <w:pPr>
        <w:ind w:left="987"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34F1C54"/>
    <w:multiLevelType w:val="singleLevel"/>
    <w:tmpl w:val="034F1C54"/>
    <w:lvl w:ilvl="0" w:tentative="0">
      <w:start w:val="1"/>
      <w:numFmt w:val="decimalEnclosedCircleChinese"/>
      <w:suff w:val="nothing"/>
      <w:lvlText w:val="%1　"/>
      <w:lvlJc w:val="left"/>
      <w:pPr>
        <w:ind w:left="0" w:firstLine="400"/>
      </w:pPr>
      <w:rPr>
        <w:rFonts w:hint="eastAsia"/>
      </w:rPr>
    </w:lvl>
  </w:abstractNum>
  <w:abstractNum w:abstractNumId="19">
    <w:nsid w:val="03B02AB1"/>
    <w:multiLevelType w:val="singleLevel"/>
    <w:tmpl w:val="03B02AB1"/>
    <w:lvl w:ilvl="0" w:tentative="0">
      <w:start w:val="1"/>
      <w:numFmt w:val="decimalEnclosedCircleChinese"/>
      <w:suff w:val="nothing"/>
      <w:lvlText w:val="%1　"/>
      <w:lvlJc w:val="left"/>
      <w:pPr>
        <w:ind w:left="0" w:firstLine="400"/>
      </w:pPr>
    </w:lvl>
  </w:abstractNum>
  <w:abstractNum w:abstractNumId="20">
    <w:nsid w:val="03B86AFB"/>
    <w:multiLevelType w:val="singleLevel"/>
    <w:tmpl w:val="03B86AFB"/>
    <w:lvl w:ilvl="0" w:tentative="0">
      <w:start w:val="1"/>
      <w:numFmt w:val="decimalEnclosedCircleChinese"/>
      <w:suff w:val="nothing"/>
      <w:lvlText w:val="%1　"/>
      <w:lvlJc w:val="left"/>
      <w:pPr>
        <w:ind w:left="0" w:firstLine="400"/>
      </w:pPr>
      <w:rPr>
        <w:rFonts w:hint="eastAsia"/>
        <w:lang w:val="en-US"/>
      </w:rPr>
    </w:lvl>
  </w:abstractNum>
  <w:abstractNum w:abstractNumId="21">
    <w:nsid w:val="045C6CDD"/>
    <w:multiLevelType w:val="multilevel"/>
    <w:tmpl w:val="045C6CD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0C886773"/>
    <w:multiLevelType w:val="multilevel"/>
    <w:tmpl w:val="0C88677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0F7D6AFC"/>
    <w:multiLevelType w:val="singleLevel"/>
    <w:tmpl w:val="0F7D6AFC"/>
    <w:lvl w:ilvl="0" w:tentative="0">
      <w:start w:val="1"/>
      <w:numFmt w:val="decimalEnclosedCircleChinese"/>
      <w:suff w:val="nothing"/>
      <w:lvlText w:val="%1　"/>
      <w:lvlJc w:val="left"/>
      <w:pPr>
        <w:ind w:left="0" w:firstLine="400"/>
      </w:pPr>
      <w:rPr>
        <w:rFonts w:hint="eastAsia"/>
      </w:rPr>
    </w:lvl>
  </w:abstractNum>
  <w:abstractNum w:abstractNumId="24">
    <w:nsid w:val="0FAE41A4"/>
    <w:multiLevelType w:val="multilevel"/>
    <w:tmpl w:val="0FAE41A4"/>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25">
    <w:nsid w:val="10140013"/>
    <w:multiLevelType w:val="singleLevel"/>
    <w:tmpl w:val="10140013"/>
    <w:lvl w:ilvl="0" w:tentative="0">
      <w:start w:val="1"/>
      <w:numFmt w:val="decimalEnclosedCircleChinese"/>
      <w:suff w:val="nothing"/>
      <w:lvlText w:val="%1　"/>
      <w:lvlJc w:val="left"/>
      <w:pPr>
        <w:ind w:left="0" w:firstLine="400"/>
      </w:pPr>
      <w:rPr>
        <w:rFonts w:hint="eastAsia"/>
      </w:rPr>
    </w:lvl>
  </w:abstractNum>
  <w:abstractNum w:abstractNumId="26">
    <w:nsid w:val="118002D6"/>
    <w:multiLevelType w:val="singleLevel"/>
    <w:tmpl w:val="118002D6"/>
    <w:lvl w:ilvl="0" w:tentative="0">
      <w:start w:val="1"/>
      <w:numFmt w:val="decimalEnclosedCircleChinese"/>
      <w:suff w:val="nothing"/>
      <w:lvlText w:val="%1　"/>
      <w:lvlJc w:val="left"/>
      <w:pPr>
        <w:ind w:left="0" w:firstLine="400"/>
      </w:pPr>
    </w:lvl>
  </w:abstractNum>
  <w:abstractNum w:abstractNumId="27">
    <w:nsid w:val="11A46BDD"/>
    <w:multiLevelType w:val="multilevel"/>
    <w:tmpl w:val="11A46BD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13BC47A6"/>
    <w:multiLevelType w:val="singleLevel"/>
    <w:tmpl w:val="13BC47A6"/>
    <w:lvl w:ilvl="0" w:tentative="0">
      <w:start w:val="1"/>
      <w:numFmt w:val="decimalEnclosedCircleChinese"/>
      <w:suff w:val="nothing"/>
      <w:lvlText w:val="%1　"/>
      <w:lvlJc w:val="left"/>
      <w:pPr>
        <w:ind w:left="0" w:firstLine="400"/>
      </w:pPr>
      <w:rPr>
        <w:rFonts w:cs="Times New Roman"/>
      </w:rPr>
    </w:lvl>
  </w:abstractNum>
  <w:abstractNum w:abstractNumId="29">
    <w:nsid w:val="14117802"/>
    <w:multiLevelType w:val="singleLevel"/>
    <w:tmpl w:val="14117802"/>
    <w:lvl w:ilvl="0" w:tentative="0">
      <w:start w:val="1"/>
      <w:numFmt w:val="decimalEnclosedCircleChinese"/>
      <w:suff w:val="nothing"/>
      <w:lvlText w:val="%1　"/>
      <w:lvlJc w:val="left"/>
      <w:pPr>
        <w:ind w:left="0" w:firstLine="400"/>
      </w:pPr>
      <w:rPr>
        <w:rFonts w:hint="eastAsia"/>
      </w:rPr>
    </w:lvl>
  </w:abstractNum>
  <w:abstractNum w:abstractNumId="30">
    <w:nsid w:val="145678EB"/>
    <w:multiLevelType w:val="singleLevel"/>
    <w:tmpl w:val="145678EB"/>
    <w:lvl w:ilvl="0" w:tentative="0">
      <w:start w:val="1"/>
      <w:numFmt w:val="decimal"/>
      <w:suff w:val="nothing"/>
      <w:lvlText w:val="%1、"/>
      <w:lvlJc w:val="left"/>
    </w:lvl>
  </w:abstractNum>
  <w:abstractNum w:abstractNumId="31">
    <w:nsid w:val="15313E01"/>
    <w:multiLevelType w:val="singleLevel"/>
    <w:tmpl w:val="15313E01"/>
    <w:lvl w:ilvl="0" w:tentative="0">
      <w:start w:val="1"/>
      <w:numFmt w:val="decimalEnclosedCircleChinese"/>
      <w:suff w:val="nothing"/>
      <w:lvlText w:val="%1　"/>
      <w:lvlJc w:val="left"/>
      <w:pPr>
        <w:ind w:left="0" w:firstLine="400"/>
      </w:pPr>
      <w:rPr>
        <w:rFonts w:cs="Times New Roman"/>
      </w:rPr>
    </w:lvl>
  </w:abstractNum>
  <w:abstractNum w:abstractNumId="32">
    <w:nsid w:val="1913278D"/>
    <w:multiLevelType w:val="singleLevel"/>
    <w:tmpl w:val="1913278D"/>
    <w:lvl w:ilvl="0" w:tentative="0">
      <w:start w:val="1"/>
      <w:numFmt w:val="decimalEnclosedCircleChinese"/>
      <w:suff w:val="nothing"/>
      <w:lvlText w:val="%1　"/>
      <w:lvlJc w:val="left"/>
      <w:pPr>
        <w:ind w:left="0" w:firstLine="400"/>
      </w:pPr>
      <w:rPr>
        <w:rFonts w:hint="eastAsia"/>
      </w:rPr>
    </w:lvl>
  </w:abstractNum>
  <w:abstractNum w:abstractNumId="33">
    <w:nsid w:val="1CE127FC"/>
    <w:multiLevelType w:val="singleLevel"/>
    <w:tmpl w:val="1CE127FC"/>
    <w:lvl w:ilvl="0" w:tentative="0">
      <w:start w:val="1"/>
      <w:numFmt w:val="decimalEnclosedCircleChinese"/>
      <w:suff w:val="nothing"/>
      <w:lvlText w:val="%1　"/>
      <w:lvlJc w:val="left"/>
      <w:pPr>
        <w:ind w:left="20" w:firstLine="400"/>
      </w:pPr>
      <w:rPr>
        <w:rFonts w:hint="eastAsia"/>
      </w:rPr>
    </w:lvl>
  </w:abstractNum>
  <w:abstractNum w:abstractNumId="34">
    <w:nsid w:val="1EE315E4"/>
    <w:multiLevelType w:val="multilevel"/>
    <w:tmpl w:val="1EE315E4"/>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1FBA5196"/>
    <w:multiLevelType w:val="singleLevel"/>
    <w:tmpl w:val="1FBA5196"/>
    <w:lvl w:ilvl="0" w:tentative="0">
      <w:start w:val="1"/>
      <w:numFmt w:val="decimalEnclosedCircleChinese"/>
      <w:suff w:val="nothing"/>
      <w:lvlText w:val="%1　"/>
      <w:lvlJc w:val="left"/>
      <w:pPr>
        <w:ind w:left="0" w:firstLine="400"/>
      </w:pPr>
      <w:rPr>
        <w:rFonts w:hint="eastAsia"/>
        <w:lang w:val="en-US"/>
      </w:rPr>
    </w:lvl>
  </w:abstractNum>
  <w:abstractNum w:abstractNumId="36">
    <w:nsid w:val="2329215B"/>
    <w:multiLevelType w:val="multilevel"/>
    <w:tmpl w:val="2329215B"/>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247F67C1"/>
    <w:multiLevelType w:val="singleLevel"/>
    <w:tmpl w:val="247F67C1"/>
    <w:lvl w:ilvl="0" w:tentative="0">
      <w:start w:val="1"/>
      <w:numFmt w:val="decimalEnclosedCircleChinese"/>
      <w:suff w:val="nothing"/>
      <w:lvlText w:val="%1　"/>
      <w:lvlJc w:val="left"/>
      <w:pPr>
        <w:ind w:left="0" w:firstLine="400"/>
      </w:pPr>
    </w:lvl>
  </w:abstractNum>
  <w:abstractNum w:abstractNumId="38">
    <w:nsid w:val="287F54FE"/>
    <w:multiLevelType w:val="singleLevel"/>
    <w:tmpl w:val="287F54FE"/>
    <w:lvl w:ilvl="0" w:tentative="0">
      <w:start w:val="1"/>
      <w:numFmt w:val="decimalEnclosedCircleChinese"/>
      <w:suff w:val="nothing"/>
      <w:lvlText w:val="%1　"/>
      <w:lvlJc w:val="left"/>
      <w:pPr>
        <w:ind w:left="0" w:firstLine="400"/>
      </w:pPr>
      <w:rPr>
        <w:rFonts w:hint="eastAsia"/>
      </w:rPr>
    </w:lvl>
  </w:abstractNum>
  <w:abstractNum w:abstractNumId="39">
    <w:nsid w:val="2AE13562"/>
    <w:multiLevelType w:val="singleLevel"/>
    <w:tmpl w:val="2AE13562"/>
    <w:lvl w:ilvl="0" w:tentative="0">
      <w:start w:val="1"/>
      <w:numFmt w:val="decimalEnclosedCircleChinese"/>
      <w:suff w:val="nothing"/>
      <w:lvlText w:val="%1　"/>
      <w:lvlJc w:val="left"/>
      <w:pPr>
        <w:ind w:left="0" w:firstLine="400"/>
      </w:pPr>
      <w:rPr>
        <w:rFonts w:cs="Times New Roman"/>
      </w:rPr>
    </w:lvl>
  </w:abstractNum>
  <w:abstractNum w:abstractNumId="40">
    <w:nsid w:val="3213353C"/>
    <w:multiLevelType w:val="singleLevel"/>
    <w:tmpl w:val="3213353C"/>
    <w:lvl w:ilvl="0" w:tentative="0">
      <w:start w:val="1"/>
      <w:numFmt w:val="decimalEnclosedCircleChinese"/>
      <w:suff w:val="nothing"/>
      <w:lvlText w:val="%1　"/>
      <w:lvlJc w:val="left"/>
      <w:pPr>
        <w:ind w:left="0" w:firstLine="400"/>
      </w:pPr>
      <w:rPr>
        <w:rFonts w:hint="eastAsia"/>
      </w:rPr>
    </w:lvl>
  </w:abstractNum>
  <w:abstractNum w:abstractNumId="41">
    <w:nsid w:val="32787329"/>
    <w:multiLevelType w:val="multilevel"/>
    <w:tmpl w:val="32787329"/>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42">
    <w:nsid w:val="342A5B6A"/>
    <w:multiLevelType w:val="singleLevel"/>
    <w:tmpl w:val="342A5B6A"/>
    <w:lvl w:ilvl="0" w:tentative="0">
      <w:start w:val="1"/>
      <w:numFmt w:val="lowerLetter"/>
      <w:lvlText w:val="%1."/>
      <w:lvlJc w:val="left"/>
      <w:pPr>
        <w:ind w:left="425" w:hanging="425"/>
      </w:pPr>
      <w:rPr>
        <w:rFonts w:hint="default"/>
      </w:rPr>
    </w:lvl>
  </w:abstractNum>
  <w:abstractNum w:abstractNumId="43">
    <w:nsid w:val="34B25666"/>
    <w:multiLevelType w:val="singleLevel"/>
    <w:tmpl w:val="34B25666"/>
    <w:lvl w:ilvl="0" w:tentative="0">
      <w:start w:val="1"/>
      <w:numFmt w:val="lowerLetter"/>
      <w:lvlText w:val="%1."/>
      <w:lvlJc w:val="left"/>
      <w:pPr>
        <w:ind w:left="425" w:hanging="425"/>
      </w:pPr>
      <w:rPr>
        <w:rFonts w:hint="default"/>
      </w:rPr>
    </w:lvl>
  </w:abstractNum>
  <w:abstractNum w:abstractNumId="44">
    <w:nsid w:val="35567492"/>
    <w:multiLevelType w:val="multilevel"/>
    <w:tmpl w:val="3556749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6D55821"/>
    <w:multiLevelType w:val="singleLevel"/>
    <w:tmpl w:val="36D55821"/>
    <w:lvl w:ilvl="0" w:tentative="0">
      <w:start w:val="1"/>
      <w:numFmt w:val="decimalEnclosedCircleChinese"/>
      <w:suff w:val="nothing"/>
      <w:lvlText w:val="%1　"/>
      <w:lvlJc w:val="left"/>
      <w:pPr>
        <w:ind w:left="0" w:firstLine="400"/>
      </w:pPr>
      <w:rPr>
        <w:rFonts w:cs="Times New Roman"/>
      </w:rPr>
    </w:lvl>
  </w:abstractNum>
  <w:abstractNum w:abstractNumId="46">
    <w:nsid w:val="376442E7"/>
    <w:multiLevelType w:val="singleLevel"/>
    <w:tmpl w:val="376442E7"/>
    <w:lvl w:ilvl="0" w:tentative="0">
      <w:start w:val="1"/>
      <w:numFmt w:val="decimalEnclosedCircleChinese"/>
      <w:suff w:val="nothing"/>
      <w:lvlText w:val="%1　"/>
      <w:lvlJc w:val="left"/>
      <w:pPr>
        <w:ind w:left="0" w:firstLine="400"/>
      </w:pPr>
      <w:rPr>
        <w:rFonts w:hint="eastAsia"/>
      </w:rPr>
    </w:lvl>
  </w:abstractNum>
  <w:abstractNum w:abstractNumId="47">
    <w:nsid w:val="38415516"/>
    <w:multiLevelType w:val="singleLevel"/>
    <w:tmpl w:val="38415516"/>
    <w:lvl w:ilvl="0" w:tentative="0">
      <w:start w:val="1"/>
      <w:numFmt w:val="decimalEnclosedCircleChinese"/>
      <w:suff w:val="nothing"/>
      <w:lvlText w:val="%1　"/>
      <w:lvlJc w:val="left"/>
      <w:pPr>
        <w:ind w:left="0" w:firstLine="400"/>
      </w:pPr>
      <w:rPr>
        <w:rFonts w:hint="eastAsia"/>
        <w:lang w:val="en-US"/>
      </w:rPr>
    </w:lvl>
  </w:abstractNum>
  <w:abstractNum w:abstractNumId="48">
    <w:nsid w:val="3BB70BB1"/>
    <w:multiLevelType w:val="multilevel"/>
    <w:tmpl w:val="3BB70BB1"/>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49">
    <w:nsid w:val="3C5A0592"/>
    <w:multiLevelType w:val="singleLevel"/>
    <w:tmpl w:val="3C5A0592"/>
    <w:lvl w:ilvl="0" w:tentative="0">
      <w:start w:val="1"/>
      <w:numFmt w:val="decimalEnclosedCircleChinese"/>
      <w:suff w:val="nothing"/>
      <w:lvlText w:val="%1　"/>
      <w:lvlJc w:val="left"/>
      <w:pPr>
        <w:ind w:left="0" w:firstLine="400"/>
      </w:pPr>
      <w:rPr>
        <w:rFonts w:hint="eastAsia"/>
      </w:rPr>
    </w:lvl>
  </w:abstractNum>
  <w:abstractNum w:abstractNumId="50">
    <w:nsid w:val="42E17886"/>
    <w:multiLevelType w:val="singleLevel"/>
    <w:tmpl w:val="42E17886"/>
    <w:lvl w:ilvl="0" w:tentative="0">
      <w:start w:val="1"/>
      <w:numFmt w:val="decimalEnclosedCircleChinese"/>
      <w:suff w:val="nothing"/>
      <w:lvlText w:val="%1　"/>
      <w:lvlJc w:val="left"/>
      <w:pPr>
        <w:ind w:left="0" w:firstLine="400"/>
      </w:pPr>
    </w:lvl>
  </w:abstractNum>
  <w:abstractNum w:abstractNumId="51">
    <w:nsid w:val="44484BC5"/>
    <w:multiLevelType w:val="singleLevel"/>
    <w:tmpl w:val="44484BC5"/>
    <w:lvl w:ilvl="0" w:tentative="0">
      <w:start w:val="1"/>
      <w:numFmt w:val="decimalEnclosedCircleChinese"/>
      <w:suff w:val="nothing"/>
      <w:lvlText w:val="%1　"/>
      <w:lvlJc w:val="left"/>
      <w:pPr>
        <w:ind w:left="0" w:firstLine="400"/>
      </w:pPr>
      <w:rPr>
        <w:rFonts w:cs="Times New Roman"/>
      </w:rPr>
    </w:lvl>
  </w:abstractNum>
  <w:abstractNum w:abstractNumId="52">
    <w:nsid w:val="459768FC"/>
    <w:multiLevelType w:val="singleLevel"/>
    <w:tmpl w:val="459768FC"/>
    <w:lvl w:ilvl="0" w:tentative="0">
      <w:start w:val="1"/>
      <w:numFmt w:val="decimalEnclosedCircleChinese"/>
      <w:suff w:val="nothing"/>
      <w:lvlText w:val="%1　"/>
      <w:lvlJc w:val="left"/>
      <w:pPr>
        <w:ind w:left="0" w:firstLine="400"/>
      </w:pPr>
      <w:rPr>
        <w:rFonts w:hint="eastAsia"/>
        <w:lang w:val="en-US"/>
      </w:rPr>
    </w:lvl>
  </w:abstractNum>
  <w:abstractNum w:abstractNumId="53">
    <w:nsid w:val="4653225F"/>
    <w:multiLevelType w:val="multilevel"/>
    <w:tmpl w:val="4653225F"/>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54">
    <w:nsid w:val="48202E57"/>
    <w:multiLevelType w:val="singleLevel"/>
    <w:tmpl w:val="48202E57"/>
    <w:lvl w:ilvl="0" w:tentative="0">
      <w:start w:val="1"/>
      <w:numFmt w:val="decimalEnclosedCircleChinese"/>
      <w:suff w:val="nothing"/>
      <w:lvlText w:val="%1　"/>
      <w:lvlJc w:val="left"/>
      <w:pPr>
        <w:ind w:left="0" w:firstLine="400"/>
      </w:pPr>
      <w:rPr>
        <w:rFonts w:cs="Times New Roman"/>
      </w:rPr>
    </w:lvl>
  </w:abstractNum>
  <w:abstractNum w:abstractNumId="55">
    <w:nsid w:val="4AFC7754"/>
    <w:multiLevelType w:val="singleLevel"/>
    <w:tmpl w:val="4AFC7754"/>
    <w:lvl w:ilvl="0" w:tentative="0">
      <w:start w:val="1"/>
      <w:numFmt w:val="decimalEnclosedCircleChinese"/>
      <w:suff w:val="nothing"/>
      <w:lvlText w:val="%1　"/>
      <w:lvlJc w:val="left"/>
      <w:pPr>
        <w:ind w:left="0" w:firstLine="400"/>
      </w:pPr>
      <w:rPr>
        <w:rFonts w:hint="eastAsia"/>
        <w:lang w:val="en-US"/>
      </w:rPr>
    </w:lvl>
  </w:abstractNum>
  <w:abstractNum w:abstractNumId="56">
    <w:nsid w:val="4E6D606E"/>
    <w:multiLevelType w:val="multilevel"/>
    <w:tmpl w:val="4E6D606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4E8E6BC1"/>
    <w:multiLevelType w:val="singleLevel"/>
    <w:tmpl w:val="4E8E6BC1"/>
    <w:lvl w:ilvl="0" w:tentative="0">
      <w:start w:val="1"/>
      <w:numFmt w:val="decimalEnclosedCircleChinese"/>
      <w:suff w:val="nothing"/>
      <w:lvlText w:val="%1　"/>
      <w:lvlJc w:val="left"/>
      <w:pPr>
        <w:ind w:left="0" w:firstLine="400"/>
      </w:pPr>
      <w:rPr>
        <w:rFonts w:hint="eastAsia"/>
        <w:lang w:val="en-US"/>
      </w:rPr>
    </w:lvl>
  </w:abstractNum>
  <w:abstractNum w:abstractNumId="58">
    <w:nsid w:val="4EE84FDA"/>
    <w:multiLevelType w:val="singleLevel"/>
    <w:tmpl w:val="4EE84FDA"/>
    <w:lvl w:ilvl="0" w:tentative="0">
      <w:start w:val="1"/>
      <w:numFmt w:val="decimalEnclosedCircleChinese"/>
      <w:suff w:val="nothing"/>
      <w:lvlText w:val="%1　"/>
      <w:lvlJc w:val="left"/>
      <w:pPr>
        <w:ind w:left="0" w:firstLine="400"/>
      </w:pPr>
      <w:rPr>
        <w:rFonts w:hint="eastAsia"/>
      </w:rPr>
    </w:lvl>
  </w:abstractNum>
  <w:abstractNum w:abstractNumId="59">
    <w:nsid w:val="50D65CBC"/>
    <w:multiLevelType w:val="multilevel"/>
    <w:tmpl w:val="50D65CBC"/>
    <w:lvl w:ilvl="0" w:tentative="0">
      <w:start w:val="1"/>
      <w:numFmt w:val="decimal"/>
      <w:lvlText w:val="%1."/>
      <w:lvlJc w:val="left"/>
      <w:pPr>
        <w:ind w:left="420" w:hanging="420"/>
      </w:pPr>
    </w:lvl>
    <w:lvl w:ilvl="1" w:tentative="0">
      <w:start w:val="1"/>
      <w:numFmt w:val="decimalEnclosedCircle"/>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2387045"/>
    <w:multiLevelType w:val="multilevel"/>
    <w:tmpl w:val="52387045"/>
    <w:lvl w:ilvl="0" w:tentative="0">
      <w:start w:val="2"/>
      <w:numFmt w:val="decimal"/>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1">
    <w:nsid w:val="52A30708"/>
    <w:multiLevelType w:val="multilevel"/>
    <w:tmpl w:val="52A307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541C7C43"/>
    <w:multiLevelType w:val="singleLevel"/>
    <w:tmpl w:val="541C7C43"/>
    <w:lvl w:ilvl="0" w:tentative="0">
      <w:start w:val="1"/>
      <w:numFmt w:val="decimalEnclosedCircleChinese"/>
      <w:suff w:val="nothing"/>
      <w:lvlText w:val="%1　"/>
      <w:lvlJc w:val="left"/>
      <w:pPr>
        <w:ind w:left="0" w:firstLine="400"/>
      </w:pPr>
      <w:rPr>
        <w:rFonts w:cs="Times New Roman"/>
      </w:rPr>
    </w:lvl>
  </w:abstractNum>
  <w:abstractNum w:abstractNumId="63">
    <w:nsid w:val="57226AEC"/>
    <w:multiLevelType w:val="singleLevel"/>
    <w:tmpl w:val="57226AEC"/>
    <w:lvl w:ilvl="0" w:tentative="0">
      <w:start w:val="1"/>
      <w:numFmt w:val="decimalEnclosedCircleChinese"/>
      <w:suff w:val="nothing"/>
      <w:lvlText w:val="%1　"/>
      <w:lvlJc w:val="left"/>
      <w:pPr>
        <w:ind w:left="0" w:firstLine="400"/>
      </w:pPr>
    </w:lvl>
  </w:abstractNum>
  <w:abstractNum w:abstractNumId="64">
    <w:nsid w:val="58A6327D"/>
    <w:multiLevelType w:val="singleLevel"/>
    <w:tmpl w:val="58A6327D"/>
    <w:lvl w:ilvl="0" w:tentative="0">
      <w:start w:val="1"/>
      <w:numFmt w:val="decimalEnclosedCircleChinese"/>
      <w:suff w:val="nothing"/>
      <w:lvlText w:val="%1　"/>
      <w:lvlJc w:val="left"/>
      <w:pPr>
        <w:ind w:left="0" w:firstLine="400"/>
      </w:pPr>
      <w:rPr>
        <w:rFonts w:hint="eastAsia"/>
        <w:lang w:val="en-US"/>
      </w:rPr>
    </w:lvl>
  </w:abstractNum>
  <w:abstractNum w:abstractNumId="65">
    <w:nsid w:val="58BE4464"/>
    <w:multiLevelType w:val="multilevel"/>
    <w:tmpl w:val="58BE4464"/>
    <w:lvl w:ilvl="0" w:tentative="0">
      <w:start w:val="1"/>
      <w:numFmt w:val="decimal"/>
      <w:lvlText w:val="%1."/>
      <w:lvlJc w:val="left"/>
      <w:pPr>
        <w:tabs>
          <w:tab w:val="left" w:pos="420"/>
        </w:tabs>
        <w:ind w:left="840" w:hanging="420"/>
      </w:p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66">
    <w:nsid w:val="5A0533C5"/>
    <w:multiLevelType w:val="singleLevel"/>
    <w:tmpl w:val="5A0533C5"/>
    <w:lvl w:ilvl="0" w:tentative="0">
      <w:start w:val="1"/>
      <w:numFmt w:val="decimalEnclosedCircleChinese"/>
      <w:suff w:val="nothing"/>
      <w:lvlText w:val="%1　"/>
      <w:lvlJc w:val="left"/>
      <w:pPr>
        <w:ind w:left="0" w:firstLine="400"/>
      </w:pPr>
      <w:rPr>
        <w:rFonts w:hint="eastAsia"/>
        <w:lang w:val="en-US"/>
      </w:rPr>
    </w:lvl>
  </w:abstractNum>
  <w:abstractNum w:abstractNumId="67">
    <w:nsid w:val="5A717338"/>
    <w:multiLevelType w:val="multilevel"/>
    <w:tmpl w:val="5A717338"/>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68">
    <w:nsid w:val="5A791B97"/>
    <w:multiLevelType w:val="multilevel"/>
    <w:tmpl w:val="5A791B97"/>
    <w:lvl w:ilvl="0" w:tentative="0">
      <w:start w:val="2"/>
      <w:numFmt w:val="decimal"/>
      <w:suff w:val="nothing"/>
      <w:lvlText w:val="%1　"/>
      <w:lvlJc w:val="left"/>
      <w:pPr>
        <w:ind w:left="0" w:firstLine="40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A99637B"/>
    <w:multiLevelType w:val="singleLevel"/>
    <w:tmpl w:val="5A99637B"/>
    <w:lvl w:ilvl="0" w:tentative="0">
      <w:start w:val="1"/>
      <w:numFmt w:val="decimalEnclosedCircleChinese"/>
      <w:suff w:val="nothing"/>
      <w:lvlText w:val="%1　"/>
      <w:lvlJc w:val="left"/>
      <w:pPr>
        <w:ind w:left="0" w:firstLine="400"/>
      </w:pPr>
      <w:rPr>
        <w:rFonts w:cs="Times New Roman"/>
      </w:rPr>
    </w:lvl>
  </w:abstractNum>
  <w:abstractNum w:abstractNumId="70">
    <w:nsid w:val="5E553130"/>
    <w:multiLevelType w:val="singleLevel"/>
    <w:tmpl w:val="5E553130"/>
    <w:lvl w:ilvl="0" w:tentative="0">
      <w:start w:val="1"/>
      <w:numFmt w:val="decimalEnclosedCircleChinese"/>
      <w:suff w:val="nothing"/>
      <w:lvlText w:val="%1　"/>
      <w:lvlJc w:val="left"/>
      <w:pPr>
        <w:ind w:left="0" w:firstLine="400"/>
      </w:pPr>
      <w:rPr>
        <w:rFonts w:hint="eastAsia"/>
        <w:lang w:val="en-US"/>
      </w:rPr>
    </w:lvl>
  </w:abstractNum>
  <w:abstractNum w:abstractNumId="71">
    <w:nsid w:val="5F8000D2"/>
    <w:multiLevelType w:val="multilevel"/>
    <w:tmpl w:val="5F8000D2"/>
    <w:lvl w:ilvl="0" w:tentative="0">
      <w:start w:val="1"/>
      <w:numFmt w:val="decimalEnclosedCircleChinese"/>
      <w:lvlText w:val="%1　"/>
      <w:lvlJc w:val="left"/>
      <w:pPr>
        <w:ind w:left="820" w:hanging="420"/>
      </w:pPr>
      <w:rPr>
        <w:rFonts w:hint="eastAsia"/>
      </w:rPr>
    </w:lvl>
    <w:lvl w:ilvl="1" w:tentative="0">
      <w:start w:val="1"/>
      <w:numFmt w:val="lowerLetter"/>
      <w:lvlText w:val="%2)"/>
      <w:lvlJc w:val="left"/>
      <w:pPr>
        <w:ind w:left="1240" w:hanging="420"/>
      </w:pPr>
    </w:lvl>
    <w:lvl w:ilvl="2" w:tentative="0">
      <w:start w:val="1"/>
      <w:numFmt w:val="lowerRoman"/>
      <w:lvlText w:val="%3."/>
      <w:lvlJc w:val="right"/>
      <w:pPr>
        <w:ind w:left="1660" w:hanging="420"/>
      </w:pPr>
    </w:lvl>
    <w:lvl w:ilvl="3" w:tentative="0">
      <w:start w:val="1"/>
      <w:numFmt w:val="decimal"/>
      <w:lvlText w:val="%4."/>
      <w:lvlJc w:val="left"/>
      <w:pPr>
        <w:ind w:left="2080" w:hanging="420"/>
      </w:pPr>
    </w:lvl>
    <w:lvl w:ilvl="4" w:tentative="0">
      <w:start w:val="1"/>
      <w:numFmt w:val="lowerLetter"/>
      <w:lvlText w:val="%5)"/>
      <w:lvlJc w:val="left"/>
      <w:pPr>
        <w:ind w:left="2500" w:hanging="420"/>
      </w:pPr>
    </w:lvl>
    <w:lvl w:ilvl="5" w:tentative="0">
      <w:start w:val="1"/>
      <w:numFmt w:val="lowerRoman"/>
      <w:lvlText w:val="%6."/>
      <w:lvlJc w:val="right"/>
      <w:pPr>
        <w:ind w:left="2920" w:hanging="420"/>
      </w:pPr>
    </w:lvl>
    <w:lvl w:ilvl="6" w:tentative="0">
      <w:start w:val="1"/>
      <w:numFmt w:val="decimal"/>
      <w:lvlText w:val="%7."/>
      <w:lvlJc w:val="left"/>
      <w:pPr>
        <w:ind w:left="3340" w:hanging="420"/>
      </w:pPr>
    </w:lvl>
    <w:lvl w:ilvl="7" w:tentative="0">
      <w:start w:val="1"/>
      <w:numFmt w:val="lowerLetter"/>
      <w:lvlText w:val="%8)"/>
      <w:lvlJc w:val="left"/>
      <w:pPr>
        <w:ind w:left="3760" w:hanging="420"/>
      </w:pPr>
    </w:lvl>
    <w:lvl w:ilvl="8" w:tentative="0">
      <w:start w:val="1"/>
      <w:numFmt w:val="lowerRoman"/>
      <w:lvlText w:val="%9."/>
      <w:lvlJc w:val="right"/>
      <w:pPr>
        <w:ind w:left="4180" w:hanging="420"/>
      </w:pPr>
    </w:lvl>
  </w:abstractNum>
  <w:abstractNum w:abstractNumId="72">
    <w:nsid w:val="623A17A8"/>
    <w:multiLevelType w:val="singleLevel"/>
    <w:tmpl w:val="623A17A8"/>
    <w:lvl w:ilvl="0" w:tentative="0">
      <w:start w:val="1"/>
      <w:numFmt w:val="decimalEnclosedCircleChinese"/>
      <w:suff w:val="nothing"/>
      <w:lvlText w:val="%1　"/>
      <w:lvlJc w:val="left"/>
      <w:pPr>
        <w:ind w:left="0" w:firstLine="400"/>
      </w:pPr>
      <w:rPr>
        <w:rFonts w:hint="eastAsia"/>
        <w:lang w:val="en-US"/>
      </w:rPr>
    </w:lvl>
  </w:abstractNum>
  <w:abstractNum w:abstractNumId="73">
    <w:nsid w:val="634704D1"/>
    <w:multiLevelType w:val="singleLevel"/>
    <w:tmpl w:val="634704D1"/>
    <w:lvl w:ilvl="0" w:tentative="0">
      <w:start w:val="2"/>
      <w:numFmt w:val="decimal"/>
      <w:suff w:val="nothing"/>
      <w:lvlText w:val="（%1）"/>
      <w:lvlJc w:val="left"/>
    </w:lvl>
  </w:abstractNum>
  <w:abstractNum w:abstractNumId="74">
    <w:nsid w:val="64A31530"/>
    <w:multiLevelType w:val="multilevel"/>
    <w:tmpl w:val="64A31530"/>
    <w:lvl w:ilvl="0" w:tentative="0">
      <w:start w:val="4"/>
      <w:numFmt w:val="decimal"/>
      <w:lvlText w:val="%1."/>
      <w:lvlJc w:val="left"/>
      <w:pPr>
        <w:tabs>
          <w:tab w:val="left" w:pos="420"/>
        </w:tabs>
        <w:ind w:left="840" w:hanging="420"/>
      </w:pPr>
      <w:rPr>
        <w:rFonts w:hint="eastAsia"/>
      </w:rPr>
    </w:lvl>
    <w:lvl w:ilvl="1" w:tentative="0">
      <w:start w:val="1"/>
      <w:numFmt w:val="lowerLetter"/>
      <w:lvlText w:val="%2)"/>
      <w:lvlJc w:val="left"/>
      <w:pPr>
        <w:tabs>
          <w:tab w:val="left" w:pos="420"/>
        </w:tabs>
        <w:ind w:left="1260" w:hanging="42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75">
    <w:nsid w:val="675E6064"/>
    <w:multiLevelType w:val="multilevel"/>
    <w:tmpl w:val="675E606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679A52D2"/>
    <w:multiLevelType w:val="singleLevel"/>
    <w:tmpl w:val="679A52D2"/>
    <w:lvl w:ilvl="0" w:tentative="0">
      <w:start w:val="1"/>
      <w:numFmt w:val="decimalEnclosedCircleChinese"/>
      <w:suff w:val="nothing"/>
      <w:lvlText w:val="%1　"/>
      <w:lvlJc w:val="left"/>
      <w:pPr>
        <w:ind w:left="0" w:firstLine="400"/>
      </w:pPr>
      <w:rPr>
        <w:rFonts w:hint="eastAsia"/>
        <w:lang w:val="en-US"/>
      </w:rPr>
    </w:lvl>
  </w:abstractNum>
  <w:abstractNum w:abstractNumId="77">
    <w:nsid w:val="6ACC9DC8"/>
    <w:multiLevelType w:val="singleLevel"/>
    <w:tmpl w:val="6ACC9DC8"/>
    <w:lvl w:ilvl="0" w:tentative="0">
      <w:start w:val="1"/>
      <w:numFmt w:val="decimalEnclosedCircleChinese"/>
      <w:suff w:val="space"/>
      <w:lvlText w:val="%1"/>
      <w:lvlJc w:val="left"/>
      <w:rPr>
        <w:rFonts w:hint="eastAsia"/>
      </w:rPr>
    </w:lvl>
  </w:abstractNum>
  <w:abstractNum w:abstractNumId="78">
    <w:nsid w:val="6C1650EF"/>
    <w:multiLevelType w:val="singleLevel"/>
    <w:tmpl w:val="6C1650EF"/>
    <w:lvl w:ilvl="0" w:tentative="0">
      <w:start w:val="1"/>
      <w:numFmt w:val="decimalEnclosedCircleChinese"/>
      <w:suff w:val="nothing"/>
      <w:lvlText w:val="%1　"/>
      <w:lvlJc w:val="left"/>
      <w:pPr>
        <w:ind w:left="0" w:firstLine="400"/>
      </w:pPr>
      <w:rPr>
        <w:rFonts w:cs="Times New Roman"/>
      </w:rPr>
    </w:lvl>
  </w:abstractNum>
  <w:abstractNum w:abstractNumId="79">
    <w:nsid w:val="6EE109A4"/>
    <w:multiLevelType w:val="multilevel"/>
    <w:tmpl w:val="6EE109A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73EA16A8"/>
    <w:multiLevelType w:val="multilevel"/>
    <w:tmpl w:val="73EA16A8"/>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740830D7"/>
    <w:multiLevelType w:val="singleLevel"/>
    <w:tmpl w:val="740830D7"/>
    <w:lvl w:ilvl="0" w:tentative="0">
      <w:start w:val="1"/>
      <w:numFmt w:val="decimalEnclosedCircleChinese"/>
      <w:suff w:val="nothing"/>
      <w:lvlText w:val="%1　"/>
      <w:lvlJc w:val="left"/>
      <w:pPr>
        <w:ind w:left="0" w:firstLine="400"/>
      </w:pPr>
      <w:rPr>
        <w:rFonts w:cs="Times New Roman"/>
      </w:rPr>
    </w:lvl>
  </w:abstractNum>
  <w:abstractNum w:abstractNumId="82">
    <w:nsid w:val="74651AA0"/>
    <w:multiLevelType w:val="multilevel"/>
    <w:tmpl w:val="74651AA0"/>
    <w:lvl w:ilvl="0" w:tentative="0">
      <w:start w:val="1"/>
      <w:numFmt w:val="lowerLetter"/>
      <w:lvlText w:val="%1."/>
      <w:lvlJc w:val="left"/>
      <w:pPr>
        <w:ind w:left="846" w:hanging="4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83">
    <w:nsid w:val="762F3E2C"/>
    <w:multiLevelType w:val="singleLevel"/>
    <w:tmpl w:val="762F3E2C"/>
    <w:lvl w:ilvl="0" w:tentative="0">
      <w:start w:val="1"/>
      <w:numFmt w:val="decimalEnclosedCircleChinese"/>
      <w:suff w:val="nothing"/>
      <w:lvlText w:val="%1　"/>
      <w:lvlJc w:val="left"/>
      <w:pPr>
        <w:ind w:left="0" w:firstLine="400"/>
      </w:pPr>
      <w:rPr>
        <w:rFonts w:hint="eastAsia"/>
        <w:lang w:val="en-US"/>
      </w:rPr>
    </w:lvl>
  </w:abstractNum>
  <w:abstractNum w:abstractNumId="84">
    <w:nsid w:val="7A404B99"/>
    <w:multiLevelType w:val="singleLevel"/>
    <w:tmpl w:val="7A404B99"/>
    <w:lvl w:ilvl="0" w:tentative="0">
      <w:start w:val="1"/>
      <w:numFmt w:val="decimalEnclosedCircleChinese"/>
      <w:suff w:val="nothing"/>
      <w:lvlText w:val="%1　"/>
      <w:lvlJc w:val="left"/>
      <w:pPr>
        <w:ind w:left="0" w:firstLine="400"/>
      </w:pPr>
      <w:rPr>
        <w:rFonts w:cs="Times New Roman"/>
      </w:rPr>
    </w:lvl>
  </w:abstractNum>
  <w:abstractNum w:abstractNumId="85">
    <w:nsid w:val="7B287C18"/>
    <w:multiLevelType w:val="singleLevel"/>
    <w:tmpl w:val="7B287C18"/>
    <w:lvl w:ilvl="0" w:tentative="0">
      <w:start w:val="1"/>
      <w:numFmt w:val="decimalEnclosedCircleChinese"/>
      <w:suff w:val="nothing"/>
      <w:lvlText w:val="%1　"/>
      <w:lvlJc w:val="left"/>
      <w:pPr>
        <w:ind w:left="0" w:firstLine="400"/>
      </w:pPr>
      <w:rPr>
        <w:rFonts w:hint="eastAsia"/>
      </w:rPr>
    </w:lvl>
  </w:abstractNum>
  <w:abstractNum w:abstractNumId="86">
    <w:nsid w:val="7D6A1F05"/>
    <w:multiLevelType w:val="singleLevel"/>
    <w:tmpl w:val="7D6A1F05"/>
    <w:lvl w:ilvl="0" w:tentative="0">
      <w:start w:val="1"/>
      <w:numFmt w:val="decimalEnclosedCircleChinese"/>
      <w:suff w:val="nothing"/>
      <w:lvlText w:val="%1　"/>
      <w:lvlJc w:val="left"/>
      <w:pPr>
        <w:ind w:left="0" w:firstLine="400"/>
      </w:pPr>
      <w:rPr>
        <w:rFonts w:hint="eastAsia"/>
      </w:rPr>
    </w:lvl>
  </w:abstractNum>
  <w:abstractNum w:abstractNumId="87">
    <w:nsid w:val="7ED74025"/>
    <w:multiLevelType w:val="singleLevel"/>
    <w:tmpl w:val="7ED74025"/>
    <w:lvl w:ilvl="0" w:tentative="0">
      <w:start w:val="1"/>
      <w:numFmt w:val="decimalEnclosedCircleChinese"/>
      <w:suff w:val="nothing"/>
      <w:lvlText w:val="%1　"/>
      <w:lvlJc w:val="left"/>
      <w:pPr>
        <w:ind w:left="0" w:firstLine="400"/>
      </w:pPr>
      <w:rPr>
        <w:rFonts w:hint="eastAsia"/>
      </w:rPr>
    </w:lvl>
  </w:abstractNum>
  <w:num w:numId="1">
    <w:abstractNumId w:val="0"/>
  </w:num>
  <w:num w:numId="2">
    <w:abstractNumId w:val="1"/>
  </w:num>
  <w:num w:numId="3">
    <w:abstractNumId w:val="30"/>
  </w:num>
  <w:num w:numId="4">
    <w:abstractNumId w:val="2"/>
  </w:num>
  <w:num w:numId="5">
    <w:abstractNumId w:val="73"/>
  </w:num>
  <w:num w:numId="6">
    <w:abstractNumId w:val="13"/>
  </w:num>
  <w:num w:numId="7">
    <w:abstractNumId w:val="14"/>
  </w:num>
  <w:num w:numId="8">
    <w:abstractNumId w:val="65"/>
  </w:num>
  <w:num w:numId="9">
    <w:abstractNumId w:val="8"/>
  </w:num>
  <w:num w:numId="10">
    <w:abstractNumId w:val="11"/>
  </w:num>
  <w:num w:numId="11">
    <w:abstractNumId w:val="4"/>
  </w:num>
  <w:num w:numId="12">
    <w:abstractNumId w:val="74"/>
  </w:num>
  <w:num w:numId="13">
    <w:abstractNumId w:val="46"/>
  </w:num>
  <w:num w:numId="14">
    <w:abstractNumId w:val="57"/>
  </w:num>
  <w:num w:numId="15">
    <w:abstractNumId w:val="7"/>
  </w:num>
  <w:num w:numId="16">
    <w:abstractNumId w:val="17"/>
  </w:num>
  <w:num w:numId="17">
    <w:abstractNumId w:val="79"/>
  </w:num>
  <w:num w:numId="18">
    <w:abstractNumId w:val="9"/>
  </w:num>
  <w:num w:numId="19">
    <w:abstractNumId w:val="86"/>
  </w:num>
  <w:num w:numId="20">
    <w:abstractNumId w:val="87"/>
  </w:num>
  <w:num w:numId="21">
    <w:abstractNumId w:val="38"/>
  </w:num>
  <w:num w:numId="22">
    <w:abstractNumId w:val="33"/>
  </w:num>
  <w:num w:numId="23">
    <w:abstractNumId w:val="32"/>
  </w:num>
  <w:num w:numId="24">
    <w:abstractNumId w:val="49"/>
  </w:num>
  <w:num w:numId="25">
    <w:abstractNumId w:val="10"/>
  </w:num>
  <w:num w:numId="26">
    <w:abstractNumId w:val="5"/>
  </w:num>
  <w:num w:numId="27">
    <w:abstractNumId w:val="44"/>
  </w:num>
  <w:num w:numId="28">
    <w:abstractNumId w:val="71"/>
  </w:num>
  <w:num w:numId="29">
    <w:abstractNumId w:val="48"/>
  </w:num>
  <w:num w:numId="30">
    <w:abstractNumId w:val="24"/>
  </w:num>
  <w:num w:numId="31">
    <w:abstractNumId w:val="67"/>
  </w:num>
  <w:num w:numId="32">
    <w:abstractNumId w:val="25"/>
  </w:num>
  <w:num w:numId="33">
    <w:abstractNumId w:val="29"/>
  </w:num>
  <w:num w:numId="34">
    <w:abstractNumId w:val="58"/>
  </w:num>
  <w:num w:numId="35">
    <w:abstractNumId w:val="61"/>
  </w:num>
  <w:num w:numId="36">
    <w:abstractNumId w:val="15"/>
  </w:num>
  <w:num w:numId="37">
    <w:abstractNumId w:val="40"/>
  </w:num>
  <w:num w:numId="38">
    <w:abstractNumId w:val="23"/>
  </w:num>
  <w:num w:numId="39">
    <w:abstractNumId w:val="59"/>
  </w:num>
  <w:num w:numId="40">
    <w:abstractNumId w:val="39"/>
  </w:num>
  <w:num w:numId="41">
    <w:abstractNumId w:val="54"/>
  </w:num>
  <w:num w:numId="42">
    <w:abstractNumId w:val="28"/>
  </w:num>
  <w:num w:numId="43">
    <w:abstractNumId w:val="12"/>
  </w:num>
  <w:num w:numId="44">
    <w:abstractNumId w:val="37"/>
  </w:num>
  <w:num w:numId="45">
    <w:abstractNumId w:val="16"/>
  </w:num>
  <w:num w:numId="46">
    <w:abstractNumId w:val="19"/>
  </w:num>
  <w:num w:numId="47">
    <w:abstractNumId w:val="51"/>
  </w:num>
  <w:num w:numId="48">
    <w:abstractNumId w:val="45"/>
  </w:num>
  <w:num w:numId="49">
    <w:abstractNumId w:val="52"/>
  </w:num>
  <w:num w:numId="50">
    <w:abstractNumId w:val="80"/>
  </w:num>
  <w:num w:numId="51">
    <w:abstractNumId w:val="22"/>
  </w:num>
  <w:num w:numId="52">
    <w:abstractNumId w:val="41"/>
  </w:num>
  <w:num w:numId="53">
    <w:abstractNumId w:val="6"/>
  </w:num>
  <w:num w:numId="54">
    <w:abstractNumId w:val="77"/>
  </w:num>
  <w:num w:numId="55">
    <w:abstractNumId w:val="47"/>
  </w:num>
  <w:num w:numId="56">
    <w:abstractNumId w:val="81"/>
  </w:num>
  <w:num w:numId="57">
    <w:abstractNumId w:val="31"/>
  </w:num>
  <w:num w:numId="58">
    <w:abstractNumId w:val="78"/>
  </w:num>
  <w:num w:numId="59">
    <w:abstractNumId w:val="82"/>
  </w:num>
  <w:num w:numId="60">
    <w:abstractNumId w:val="83"/>
  </w:num>
  <w:num w:numId="61">
    <w:abstractNumId w:val="60"/>
  </w:num>
  <w:num w:numId="62">
    <w:abstractNumId w:val="18"/>
  </w:num>
  <w:num w:numId="63">
    <w:abstractNumId w:val="85"/>
  </w:num>
  <w:num w:numId="64">
    <w:abstractNumId w:val="36"/>
  </w:num>
  <w:num w:numId="65">
    <w:abstractNumId w:val="69"/>
  </w:num>
  <w:num w:numId="66">
    <w:abstractNumId w:val="84"/>
  </w:num>
  <w:num w:numId="67">
    <w:abstractNumId w:val="62"/>
  </w:num>
  <w:num w:numId="68">
    <w:abstractNumId w:val="26"/>
  </w:num>
  <w:num w:numId="69">
    <w:abstractNumId w:val="63"/>
  </w:num>
  <w:num w:numId="70">
    <w:abstractNumId w:val="50"/>
  </w:num>
  <w:num w:numId="71">
    <w:abstractNumId w:val="34"/>
  </w:num>
  <w:num w:numId="72">
    <w:abstractNumId w:val="21"/>
  </w:num>
  <w:num w:numId="73">
    <w:abstractNumId w:val="53"/>
  </w:num>
  <w:num w:numId="74">
    <w:abstractNumId w:val="20"/>
  </w:num>
  <w:num w:numId="75">
    <w:abstractNumId w:val="72"/>
  </w:num>
  <w:num w:numId="76">
    <w:abstractNumId w:val="55"/>
  </w:num>
  <w:num w:numId="77">
    <w:abstractNumId w:val="56"/>
  </w:num>
  <w:num w:numId="78">
    <w:abstractNumId w:val="70"/>
  </w:num>
  <w:num w:numId="79">
    <w:abstractNumId w:val="66"/>
  </w:num>
  <w:num w:numId="80">
    <w:abstractNumId w:val="43"/>
  </w:num>
  <w:num w:numId="81">
    <w:abstractNumId w:val="42"/>
  </w:num>
  <w:num w:numId="82">
    <w:abstractNumId w:val="68"/>
  </w:num>
  <w:num w:numId="83">
    <w:abstractNumId w:val="27"/>
  </w:num>
  <w:num w:numId="84">
    <w:abstractNumId w:val="35"/>
  </w:num>
  <w:num w:numId="85">
    <w:abstractNumId w:val="64"/>
  </w:num>
  <w:num w:numId="86">
    <w:abstractNumId w:val="76"/>
  </w:num>
  <w:num w:numId="87">
    <w:abstractNumId w:val="75"/>
  </w:num>
  <w:num w:numId="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HorizontalSpacing w:val="210"/>
  <w:drawingGridVerticalSpacing w:val="-794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3NGUzNTliNGZhODg5YmM4ODdiNGRjMDM0ZTQxZDIifQ=="/>
  </w:docVars>
  <w:rsids>
    <w:rsidRoot w:val="003F2ED6"/>
    <w:rsid w:val="00011ECD"/>
    <w:rsid w:val="00076221"/>
    <w:rsid w:val="00092F51"/>
    <w:rsid w:val="000B18F0"/>
    <w:rsid w:val="000F1046"/>
    <w:rsid w:val="000F135C"/>
    <w:rsid w:val="00102ED9"/>
    <w:rsid w:val="001132C6"/>
    <w:rsid w:val="00133027"/>
    <w:rsid w:val="00157B73"/>
    <w:rsid w:val="00171641"/>
    <w:rsid w:val="00172A1E"/>
    <w:rsid w:val="001800FD"/>
    <w:rsid w:val="001B1DE3"/>
    <w:rsid w:val="001B3A70"/>
    <w:rsid w:val="001D5398"/>
    <w:rsid w:val="00223CBC"/>
    <w:rsid w:val="00233081"/>
    <w:rsid w:val="00252453"/>
    <w:rsid w:val="0026665C"/>
    <w:rsid w:val="0026717C"/>
    <w:rsid w:val="002926D1"/>
    <w:rsid w:val="002B53DD"/>
    <w:rsid w:val="00313F21"/>
    <w:rsid w:val="00322C22"/>
    <w:rsid w:val="00324A78"/>
    <w:rsid w:val="00337C06"/>
    <w:rsid w:val="00347E38"/>
    <w:rsid w:val="0038457F"/>
    <w:rsid w:val="00385320"/>
    <w:rsid w:val="003953E5"/>
    <w:rsid w:val="003B64EA"/>
    <w:rsid w:val="003B6C91"/>
    <w:rsid w:val="003D2A99"/>
    <w:rsid w:val="003F2ED6"/>
    <w:rsid w:val="00412BA6"/>
    <w:rsid w:val="00437458"/>
    <w:rsid w:val="00453FBC"/>
    <w:rsid w:val="00454987"/>
    <w:rsid w:val="004841B8"/>
    <w:rsid w:val="004A0F00"/>
    <w:rsid w:val="00531609"/>
    <w:rsid w:val="0054531B"/>
    <w:rsid w:val="005867C8"/>
    <w:rsid w:val="00596BB3"/>
    <w:rsid w:val="005A7877"/>
    <w:rsid w:val="005F1887"/>
    <w:rsid w:val="005F194D"/>
    <w:rsid w:val="00600C83"/>
    <w:rsid w:val="0061142A"/>
    <w:rsid w:val="006156FB"/>
    <w:rsid w:val="00642511"/>
    <w:rsid w:val="00662032"/>
    <w:rsid w:val="006960CD"/>
    <w:rsid w:val="006A5BF3"/>
    <w:rsid w:val="006D5299"/>
    <w:rsid w:val="00724DF7"/>
    <w:rsid w:val="007743CF"/>
    <w:rsid w:val="00796396"/>
    <w:rsid w:val="007D2D2E"/>
    <w:rsid w:val="007F2242"/>
    <w:rsid w:val="008021CD"/>
    <w:rsid w:val="00802517"/>
    <w:rsid w:val="00833E0B"/>
    <w:rsid w:val="0084105F"/>
    <w:rsid w:val="00850F37"/>
    <w:rsid w:val="00874A0D"/>
    <w:rsid w:val="00877D83"/>
    <w:rsid w:val="00890384"/>
    <w:rsid w:val="008944CE"/>
    <w:rsid w:val="008B6CA6"/>
    <w:rsid w:val="008D0030"/>
    <w:rsid w:val="008F3318"/>
    <w:rsid w:val="00910DE3"/>
    <w:rsid w:val="00941337"/>
    <w:rsid w:val="009475ED"/>
    <w:rsid w:val="009618E5"/>
    <w:rsid w:val="00977D02"/>
    <w:rsid w:val="00984E24"/>
    <w:rsid w:val="00986EA5"/>
    <w:rsid w:val="00997E08"/>
    <w:rsid w:val="009B088D"/>
    <w:rsid w:val="009B1D96"/>
    <w:rsid w:val="009E4E44"/>
    <w:rsid w:val="009F2921"/>
    <w:rsid w:val="00A179E3"/>
    <w:rsid w:val="00A20975"/>
    <w:rsid w:val="00A72F8E"/>
    <w:rsid w:val="00AC3A5D"/>
    <w:rsid w:val="00AE2AE1"/>
    <w:rsid w:val="00B15818"/>
    <w:rsid w:val="00B16145"/>
    <w:rsid w:val="00B16EA5"/>
    <w:rsid w:val="00B8616B"/>
    <w:rsid w:val="00C047F0"/>
    <w:rsid w:val="00C3308E"/>
    <w:rsid w:val="00C37F2A"/>
    <w:rsid w:val="00C54E0F"/>
    <w:rsid w:val="00CA2EF8"/>
    <w:rsid w:val="00D04981"/>
    <w:rsid w:val="00D227D6"/>
    <w:rsid w:val="00D2563E"/>
    <w:rsid w:val="00D27D65"/>
    <w:rsid w:val="00D44CB4"/>
    <w:rsid w:val="00D47160"/>
    <w:rsid w:val="00D50438"/>
    <w:rsid w:val="00D53EE8"/>
    <w:rsid w:val="00D64325"/>
    <w:rsid w:val="00D94D68"/>
    <w:rsid w:val="00DA60AE"/>
    <w:rsid w:val="00DD2D95"/>
    <w:rsid w:val="00DF3E56"/>
    <w:rsid w:val="00DF3E74"/>
    <w:rsid w:val="00E418B9"/>
    <w:rsid w:val="00E44730"/>
    <w:rsid w:val="00E70AEE"/>
    <w:rsid w:val="00E70CCA"/>
    <w:rsid w:val="00E77556"/>
    <w:rsid w:val="00E81341"/>
    <w:rsid w:val="00EA7B11"/>
    <w:rsid w:val="00EC4116"/>
    <w:rsid w:val="00F23F82"/>
    <w:rsid w:val="00F33613"/>
    <w:rsid w:val="00F5656F"/>
    <w:rsid w:val="00FB197F"/>
    <w:rsid w:val="00FD0792"/>
    <w:rsid w:val="00FE21DA"/>
    <w:rsid w:val="010643D2"/>
    <w:rsid w:val="01170F7B"/>
    <w:rsid w:val="01252684"/>
    <w:rsid w:val="017B4D40"/>
    <w:rsid w:val="019D0525"/>
    <w:rsid w:val="01FE0316"/>
    <w:rsid w:val="0218174A"/>
    <w:rsid w:val="02354705"/>
    <w:rsid w:val="02494A32"/>
    <w:rsid w:val="02CD0E66"/>
    <w:rsid w:val="02D06F7F"/>
    <w:rsid w:val="03220DB1"/>
    <w:rsid w:val="032A4307"/>
    <w:rsid w:val="033D2B90"/>
    <w:rsid w:val="0381097B"/>
    <w:rsid w:val="03A04854"/>
    <w:rsid w:val="03B0513A"/>
    <w:rsid w:val="03D56774"/>
    <w:rsid w:val="03F97150"/>
    <w:rsid w:val="041A4B26"/>
    <w:rsid w:val="042837E4"/>
    <w:rsid w:val="042F2D99"/>
    <w:rsid w:val="04900C3F"/>
    <w:rsid w:val="05420BC0"/>
    <w:rsid w:val="055A6F90"/>
    <w:rsid w:val="057115C5"/>
    <w:rsid w:val="05A75462"/>
    <w:rsid w:val="05C72ADD"/>
    <w:rsid w:val="05ED3A79"/>
    <w:rsid w:val="065761A5"/>
    <w:rsid w:val="069224BE"/>
    <w:rsid w:val="069B1A69"/>
    <w:rsid w:val="069B2990"/>
    <w:rsid w:val="06F3702C"/>
    <w:rsid w:val="07217C7D"/>
    <w:rsid w:val="074B2202"/>
    <w:rsid w:val="075B40DD"/>
    <w:rsid w:val="078779E0"/>
    <w:rsid w:val="07AF4972"/>
    <w:rsid w:val="07E01420"/>
    <w:rsid w:val="08024C97"/>
    <w:rsid w:val="0817436F"/>
    <w:rsid w:val="085E38DD"/>
    <w:rsid w:val="085E70A2"/>
    <w:rsid w:val="088834A8"/>
    <w:rsid w:val="08AA0FDD"/>
    <w:rsid w:val="09487C0D"/>
    <w:rsid w:val="099361CD"/>
    <w:rsid w:val="09C6554D"/>
    <w:rsid w:val="09F53720"/>
    <w:rsid w:val="0A17516A"/>
    <w:rsid w:val="0A203944"/>
    <w:rsid w:val="0A3648BE"/>
    <w:rsid w:val="0A536E92"/>
    <w:rsid w:val="0A6F2DDF"/>
    <w:rsid w:val="0A9414BC"/>
    <w:rsid w:val="0A993B42"/>
    <w:rsid w:val="0AD57493"/>
    <w:rsid w:val="0AD95861"/>
    <w:rsid w:val="0B042481"/>
    <w:rsid w:val="0B114F47"/>
    <w:rsid w:val="0B205E71"/>
    <w:rsid w:val="0B7011A9"/>
    <w:rsid w:val="0B8239E5"/>
    <w:rsid w:val="0C0A1E81"/>
    <w:rsid w:val="0C161F23"/>
    <w:rsid w:val="0C2C496A"/>
    <w:rsid w:val="0C2F0F17"/>
    <w:rsid w:val="0C597449"/>
    <w:rsid w:val="0C620A55"/>
    <w:rsid w:val="0CFA7752"/>
    <w:rsid w:val="0D9D24E2"/>
    <w:rsid w:val="0DA07C55"/>
    <w:rsid w:val="0E483512"/>
    <w:rsid w:val="0E6F03C7"/>
    <w:rsid w:val="0E7A4BF5"/>
    <w:rsid w:val="0E7A69DB"/>
    <w:rsid w:val="0E977A54"/>
    <w:rsid w:val="0E9960EA"/>
    <w:rsid w:val="0EDC350C"/>
    <w:rsid w:val="0F02680A"/>
    <w:rsid w:val="0F1E2E01"/>
    <w:rsid w:val="0F382024"/>
    <w:rsid w:val="0F5A72E2"/>
    <w:rsid w:val="0F7F0CD1"/>
    <w:rsid w:val="0F8D75C2"/>
    <w:rsid w:val="103129C3"/>
    <w:rsid w:val="10966690"/>
    <w:rsid w:val="10A25C3C"/>
    <w:rsid w:val="10D702F3"/>
    <w:rsid w:val="10D842E1"/>
    <w:rsid w:val="10F12720"/>
    <w:rsid w:val="10F36003"/>
    <w:rsid w:val="11003F91"/>
    <w:rsid w:val="11200E0E"/>
    <w:rsid w:val="11596EDE"/>
    <w:rsid w:val="115C0A93"/>
    <w:rsid w:val="11F947DD"/>
    <w:rsid w:val="1231797F"/>
    <w:rsid w:val="12474CDC"/>
    <w:rsid w:val="126E08E5"/>
    <w:rsid w:val="12B87C38"/>
    <w:rsid w:val="12EF4562"/>
    <w:rsid w:val="13096083"/>
    <w:rsid w:val="130C223A"/>
    <w:rsid w:val="131E5E73"/>
    <w:rsid w:val="138B2BA4"/>
    <w:rsid w:val="13916FB5"/>
    <w:rsid w:val="13E024F7"/>
    <w:rsid w:val="14131B76"/>
    <w:rsid w:val="142524E7"/>
    <w:rsid w:val="1470009E"/>
    <w:rsid w:val="148E0DD7"/>
    <w:rsid w:val="152C3B9A"/>
    <w:rsid w:val="1562509C"/>
    <w:rsid w:val="15AC33FE"/>
    <w:rsid w:val="161A5B51"/>
    <w:rsid w:val="16754EC2"/>
    <w:rsid w:val="16930926"/>
    <w:rsid w:val="16A246B2"/>
    <w:rsid w:val="16BD34B9"/>
    <w:rsid w:val="16F57468"/>
    <w:rsid w:val="172B1D93"/>
    <w:rsid w:val="17492CC0"/>
    <w:rsid w:val="174D6D27"/>
    <w:rsid w:val="175375A6"/>
    <w:rsid w:val="1766592F"/>
    <w:rsid w:val="17743711"/>
    <w:rsid w:val="17ED2EC7"/>
    <w:rsid w:val="17F860F9"/>
    <w:rsid w:val="180F08DE"/>
    <w:rsid w:val="18207BC5"/>
    <w:rsid w:val="18B07712"/>
    <w:rsid w:val="18E1364A"/>
    <w:rsid w:val="18E56FD1"/>
    <w:rsid w:val="19241AC7"/>
    <w:rsid w:val="193024C3"/>
    <w:rsid w:val="19680F65"/>
    <w:rsid w:val="19B44F84"/>
    <w:rsid w:val="19C370FB"/>
    <w:rsid w:val="19C374C4"/>
    <w:rsid w:val="1A1915F5"/>
    <w:rsid w:val="1A230873"/>
    <w:rsid w:val="1A3E393E"/>
    <w:rsid w:val="1A5546C4"/>
    <w:rsid w:val="1A933706"/>
    <w:rsid w:val="1AC47160"/>
    <w:rsid w:val="1AFC45F8"/>
    <w:rsid w:val="1B3E00A7"/>
    <w:rsid w:val="1B4B59C7"/>
    <w:rsid w:val="1B536CDA"/>
    <w:rsid w:val="1BA25287"/>
    <w:rsid w:val="1BA65996"/>
    <w:rsid w:val="1BB47375"/>
    <w:rsid w:val="1BC8002C"/>
    <w:rsid w:val="1BCE4629"/>
    <w:rsid w:val="1BD0252A"/>
    <w:rsid w:val="1BF7266A"/>
    <w:rsid w:val="1C1F2C3A"/>
    <w:rsid w:val="1C5E01AD"/>
    <w:rsid w:val="1C6D1392"/>
    <w:rsid w:val="1CD80E41"/>
    <w:rsid w:val="1CD96D90"/>
    <w:rsid w:val="1D246639"/>
    <w:rsid w:val="1D6B1A0F"/>
    <w:rsid w:val="1DB0666F"/>
    <w:rsid w:val="1E2F7F65"/>
    <w:rsid w:val="1EDD32D7"/>
    <w:rsid w:val="1F222924"/>
    <w:rsid w:val="1F4544B4"/>
    <w:rsid w:val="1F673EBF"/>
    <w:rsid w:val="1FBD527D"/>
    <w:rsid w:val="2015576A"/>
    <w:rsid w:val="20180053"/>
    <w:rsid w:val="20243093"/>
    <w:rsid w:val="20426CFD"/>
    <w:rsid w:val="20D165E0"/>
    <w:rsid w:val="20F25CF1"/>
    <w:rsid w:val="216449AA"/>
    <w:rsid w:val="217541B0"/>
    <w:rsid w:val="21C21F40"/>
    <w:rsid w:val="21C727E1"/>
    <w:rsid w:val="21D07A25"/>
    <w:rsid w:val="21DB5FE2"/>
    <w:rsid w:val="21EA0920"/>
    <w:rsid w:val="223607E1"/>
    <w:rsid w:val="223D4D9F"/>
    <w:rsid w:val="22983CFE"/>
    <w:rsid w:val="22A63EC2"/>
    <w:rsid w:val="22AD6C31"/>
    <w:rsid w:val="22DC5938"/>
    <w:rsid w:val="22EC55E4"/>
    <w:rsid w:val="22EE2A71"/>
    <w:rsid w:val="22F356B8"/>
    <w:rsid w:val="23112007"/>
    <w:rsid w:val="231A4985"/>
    <w:rsid w:val="23467533"/>
    <w:rsid w:val="237E5F10"/>
    <w:rsid w:val="23FD212F"/>
    <w:rsid w:val="241A4A22"/>
    <w:rsid w:val="24397D4F"/>
    <w:rsid w:val="2480073C"/>
    <w:rsid w:val="25111399"/>
    <w:rsid w:val="251D5245"/>
    <w:rsid w:val="252D3DA3"/>
    <w:rsid w:val="25673626"/>
    <w:rsid w:val="256C54BF"/>
    <w:rsid w:val="257C4F29"/>
    <w:rsid w:val="25874E25"/>
    <w:rsid w:val="259167F1"/>
    <w:rsid w:val="25C77AC0"/>
    <w:rsid w:val="265D7677"/>
    <w:rsid w:val="2695312C"/>
    <w:rsid w:val="269E7603"/>
    <w:rsid w:val="26F53A39"/>
    <w:rsid w:val="273A33DC"/>
    <w:rsid w:val="27756113"/>
    <w:rsid w:val="27DC55D7"/>
    <w:rsid w:val="27F84584"/>
    <w:rsid w:val="2801387C"/>
    <w:rsid w:val="28035A15"/>
    <w:rsid w:val="28753FAD"/>
    <w:rsid w:val="287E155D"/>
    <w:rsid w:val="289135FD"/>
    <w:rsid w:val="290E0883"/>
    <w:rsid w:val="29676195"/>
    <w:rsid w:val="297909E4"/>
    <w:rsid w:val="297E1B4D"/>
    <w:rsid w:val="29C14A7E"/>
    <w:rsid w:val="29C83E24"/>
    <w:rsid w:val="2A0D4760"/>
    <w:rsid w:val="2A58454F"/>
    <w:rsid w:val="2A6C706D"/>
    <w:rsid w:val="2AB204A5"/>
    <w:rsid w:val="2ACB2EF2"/>
    <w:rsid w:val="2AF13BEE"/>
    <w:rsid w:val="2AF160F0"/>
    <w:rsid w:val="2AFE1262"/>
    <w:rsid w:val="2B511F09"/>
    <w:rsid w:val="2B5D2E86"/>
    <w:rsid w:val="2B810B41"/>
    <w:rsid w:val="2BB3671D"/>
    <w:rsid w:val="2C4F1FE4"/>
    <w:rsid w:val="2C5E53FF"/>
    <w:rsid w:val="2CC55E62"/>
    <w:rsid w:val="2DA31DDE"/>
    <w:rsid w:val="2DA735D6"/>
    <w:rsid w:val="2DAE34B9"/>
    <w:rsid w:val="2DC12790"/>
    <w:rsid w:val="2E69320E"/>
    <w:rsid w:val="2E7A6958"/>
    <w:rsid w:val="2EA5422A"/>
    <w:rsid w:val="2EB11D5E"/>
    <w:rsid w:val="2EB23898"/>
    <w:rsid w:val="2EB75EBD"/>
    <w:rsid w:val="2EE73866"/>
    <w:rsid w:val="2F0118B9"/>
    <w:rsid w:val="2F4250B0"/>
    <w:rsid w:val="2F6855EB"/>
    <w:rsid w:val="2FAA0A76"/>
    <w:rsid w:val="2FF402B1"/>
    <w:rsid w:val="303D44B0"/>
    <w:rsid w:val="304D3CBB"/>
    <w:rsid w:val="308C5BA3"/>
    <w:rsid w:val="30A648F1"/>
    <w:rsid w:val="30AD2A34"/>
    <w:rsid w:val="30BA410F"/>
    <w:rsid w:val="30C64B11"/>
    <w:rsid w:val="31115D00"/>
    <w:rsid w:val="31431A75"/>
    <w:rsid w:val="31723D70"/>
    <w:rsid w:val="318225C0"/>
    <w:rsid w:val="319A66D0"/>
    <w:rsid w:val="31A96A1A"/>
    <w:rsid w:val="31C4442B"/>
    <w:rsid w:val="32272687"/>
    <w:rsid w:val="32294E3B"/>
    <w:rsid w:val="32397FF3"/>
    <w:rsid w:val="32633A0A"/>
    <w:rsid w:val="327E1ACD"/>
    <w:rsid w:val="32862C04"/>
    <w:rsid w:val="32936AA7"/>
    <w:rsid w:val="329D5CD4"/>
    <w:rsid w:val="32FE2812"/>
    <w:rsid w:val="33B42114"/>
    <w:rsid w:val="3404533F"/>
    <w:rsid w:val="342614F6"/>
    <w:rsid w:val="344F5AC7"/>
    <w:rsid w:val="351505EF"/>
    <w:rsid w:val="35413416"/>
    <w:rsid w:val="356D6A1F"/>
    <w:rsid w:val="358F6DAA"/>
    <w:rsid w:val="359C4D40"/>
    <w:rsid w:val="35B50EA1"/>
    <w:rsid w:val="35C41DF1"/>
    <w:rsid w:val="363429C0"/>
    <w:rsid w:val="36654023"/>
    <w:rsid w:val="36A940AE"/>
    <w:rsid w:val="370A1DC3"/>
    <w:rsid w:val="372E5140"/>
    <w:rsid w:val="3787407F"/>
    <w:rsid w:val="37AF01DF"/>
    <w:rsid w:val="37C25041"/>
    <w:rsid w:val="37CB2842"/>
    <w:rsid w:val="37E34E12"/>
    <w:rsid w:val="38973FE4"/>
    <w:rsid w:val="391B5A4F"/>
    <w:rsid w:val="39717879"/>
    <w:rsid w:val="397963A9"/>
    <w:rsid w:val="39905C98"/>
    <w:rsid w:val="3A717C9C"/>
    <w:rsid w:val="3A76452D"/>
    <w:rsid w:val="3AD50AC5"/>
    <w:rsid w:val="3AF90CBF"/>
    <w:rsid w:val="3B2E6F01"/>
    <w:rsid w:val="3B5B7ABE"/>
    <w:rsid w:val="3B9E0EF3"/>
    <w:rsid w:val="3BF108E5"/>
    <w:rsid w:val="3C4F6449"/>
    <w:rsid w:val="3D7D3B8B"/>
    <w:rsid w:val="3DA365C7"/>
    <w:rsid w:val="3DDB222A"/>
    <w:rsid w:val="3E05231B"/>
    <w:rsid w:val="3E1068C3"/>
    <w:rsid w:val="3E1115B5"/>
    <w:rsid w:val="3E2C77C7"/>
    <w:rsid w:val="3E400E82"/>
    <w:rsid w:val="3E4E4A8A"/>
    <w:rsid w:val="3E506E48"/>
    <w:rsid w:val="3E522735"/>
    <w:rsid w:val="3E5A3F84"/>
    <w:rsid w:val="3E7B4B61"/>
    <w:rsid w:val="3EB15A4F"/>
    <w:rsid w:val="3EC820AA"/>
    <w:rsid w:val="3ED242F2"/>
    <w:rsid w:val="3EE06BC4"/>
    <w:rsid w:val="3EE558B5"/>
    <w:rsid w:val="3FC719B7"/>
    <w:rsid w:val="3FE34ECE"/>
    <w:rsid w:val="3FED117E"/>
    <w:rsid w:val="3FFC4B0C"/>
    <w:rsid w:val="4024150B"/>
    <w:rsid w:val="403F00D7"/>
    <w:rsid w:val="40AD17CA"/>
    <w:rsid w:val="40D70CA4"/>
    <w:rsid w:val="412218A0"/>
    <w:rsid w:val="416B2613"/>
    <w:rsid w:val="41DA140E"/>
    <w:rsid w:val="41ED35E8"/>
    <w:rsid w:val="41F20501"/>
    <w:rsid w:val="4208153F"/>
    <w:rsid w:val="42164427"/>
    <w:rsid w:val="42224B5B"/>
    <w:rsid w:val="42342DD3"/>
    <w:rsid w:val="426F0CF6"/>
    <w:rsid w:val="43041FD8"/>
    <w:rsid w:val="4322227B"/>
    <w:rsid w:val="43521B67"/>
    <w:rsid w:val="437716FE"/>
    <w:rsid w:val="43A766C9"/>
    <w:rsid w:val="43A82CFB"/>
    <w:rsid w:val="43AA4B02"/>
    <w:rsid w:val="43D56F87"/>
    <w:rsid w:val="43EB0E95"/>
    <w:rsid w:val="442A6638"/>
    <w:rsid w:val="443365B6"/>
    <w:rsid w:val="44475ABD"/>
    <w:rsid w:val="44602DE3"/>
    <w:rsid w:val="447632A8"/>
    <w:rsid w:val="44CE2877"/>
    <w:rsid w:val="44CE68FD"/>
    <w:rsid w:val="44DA50F5"/>
    <w:rsid w:val="44EF58FF"/>
    <w:rsid w:val="44F448E3"/>
    <w:rsid w:val="44F921B1"/>
    <w:rsid w:val="45417326"/>
    <w:rsid w:val="45487E01"/>
    <w:rsid w:val="455478B1"/>
    <w:rsid w:val="45B61032"/>
    <w:rsid w:val="46220E84"/>
    <w:rsid w:val="463260EC"/>
    <w:rsid w:val="468D6F55"/>
    <w:rsid w:val="46910CC3"/>
    <w:rsid w:val="46CC65EB"/>
    <w:rsid w:val="46F30B6A"/>
    <w:rsid w:val="473A499B"/>
    <w:rsid w:val="473E1EA9"/>
    <w:rsid w:val="474F3CF6"/>
    <w:rsid w:val="476A452D"/>
    <w:rsid w:val="47827CE8"/>
    <w:rsid w:val="479A55EE"/>
    <w:rsid w:val="47BE7472"/>
    <w:rsid w:val="48573328"/>
    <w:rsid w:val="487E0894"/>
    <w:rsid w:val="488F1F8D"/>
    <w:rsid w:val="48CD316B"/>
    <w:rsid w:val="48F56F3A"/>
    <w:rsid w:val="493836DA"/>
    <w:rsid w:val="49C27385"/>
    <w:rsid w:val="49E94521"/>
    <w:rsid w:val="4A717966"/>
    <w:rsid w:val="4AEA4F86"/>
    <w:rsid w:val="4B7B063E"/>
    <w:rsid w:val="4BAB2E26"/>
    <w:rsid w:val="4BDA6084"/>
    <w:rsid w:val="4C173EE4"/>
    <w:rsid w:val="4C477AD4"/>
    <w:rsid w:val="4C607139"/>
    <w:rsid w:val="4C7048AE"/>
    <w:rsid w:val="4CDF40DB"/>
    <w:rsid w:val="4CF57B8D"/>
    <w:rsid w:val="4D036064"/>
    <w:rsid w:val="4D96081D"/>
    <w:rsid w:val="4DBC6C66"/>
    <w:rsid w:val="4DEC5E09"/>
    <w:rsid w:val="4E471B2D"/>
    <w:rsid w:val="4E4C74A7"/>
    <w:rsid w:val="4E5C0BD0"/>
    <w:rsid w:val="4E7B18EF"/>
    <w:rsid w:val="4E9C5BF5"/>
    <w:rsid w:val="4EB361A2"/>
    <w:rsid w:val="4EB42958"/>
    <w:rsid w:val="4EC41BBF"/>
    <w:rsid w:val="4ED56B2B"/>
    <w:rsid w:val="4EDB5803"/>
    <w:rsid w:val="4F025BC0"/>
    <w:rsid w:val="4F0B2432"/>
    <w:rsid w:val="4F0C0455"/>
    <w:rsid w:val="4F3B3E0A"/>
    <w:rsid w:val="4F611DDF"/>
    <w:rsid w:val="4FA21F5E"/>
    <w:rsid w:val="50121DF1"/>
    <w:rsid w:val="506D3A2E"/>
    <w:rsid w:val="50747597"/>
    <w:rsid w:val="507F7EB0"/>
    <w:rsid w:val="50D90E3F"/>
    <w:rsid w:val="51057895"/>
    <w:rsid w:val="51455C9A"/>
    <w:rsid w:val="51585983"/>
    <w:rsid w:val="52027174"/>
    <w:rsid w:val="52491F14"/>
    <w:rsid w:val="52714A0D"/>
    <w:rsid w:val="528C2675"/>
    <w:rsid w:val="52936A04"/>
    <w:rsid w:val="52C77298"/>
    <w:rsid w:val="52CA4B93"/>
    <w:rsid w:val="531B299D"/>
    <w:rsid w:val="53393D03"/>
    <w:rsid w:val="535860DC"/>
    <w:rsid w:val="53800563"/>
    <w:rsid w:val="539E7A17"/>
    <w:rsid w:val="53C67F4C"/>
    <w:rsid w:val="53FB0385"/>
    <w:rsid w:val="54777D5C"/>
    <w:rsid w:val="548364B3"/>
    <w:rsid w:val="54851D9C"/>
    <w:rsid w:val="54B016B6"/>
    <w:rsid w:val="54D62F0C"/>
    <w:rsid w:val="55C1444A"/>
    <w:rsid w:val="562557A0"/>
    <w:rsid w:val="56274318"/>
    <w:rsid w:val="562F75FD"/>
    <w:rsid w:val="566A5479"/>
    <w:rsid w:val="567F1EA1"/>
    <w:rsid w:val="568B471F"/>
    <w:rsid w:val="56F5325E"/>
    <w:rsid w:val="57596F0B"/>
    <w:rsid w:val="57C85437"/>
    <w:rsid w:val="57D97FF1"/>
    <w:rsid w:val="57EA5D36"/>
    <w:rsid w:val="58027B27"/>
    <w:rsid w:val="584379F8"/>
    <w:rsid w:val="585C2844"/>
    <w:rsid w:val="589E4548"/>
    <w:rsid w:val="58A6629F"/>
    <w:rsid w:val="58B82542"/>
    <w:rsid w:val="58BB71A9"/>
    <w:rsid w:val="58C20E22"/>
    <w:rsid w:val="59051B84"/>
    <w:rsid w:val="59732B7C"/>
    <w:rsid w:val="59821164"/>
    <w:rsid w:val="59C21B40"/>
    <w:rsid w:val="59CA5C05"/>
    <w:rsid w:val="59D7322F"/>
    <w:rsid w:val="5A3E2375"/>
    <w:rsid w:val="5A8A4A8E"/>
    <w:rsid w:val="5ABE5EBD"/>
    <w:rsid w:val="5B4041A6"/>
    <w:rsid w:val="5B8C24DA"/>
    <w:rsid w:val="5B8D5D01"/>
    <w:rsid w:val="5BDA5E81"/>
    <w:rsid w:val="5BE7347F"/>
    <w:rsid w:val="5C1C0DCA"/>
    <w:rsid w:val="5C53230B"/>
    <w:rsid w:val="5D2E096D"/>
    <w:rsid w:val="5D37191C"/>
    <w:rsid w:val="5D4553CB"/>
    <w:rsid w:val="5D546FD5"/>
    <w:rsid w:val="5D8E7BFC"/>
    <w:rsid w:val="5DAB695E"/>
    <w:rsid w:val="5DB77C77"/>
    <w:rsid w:val="5DBD497D"/>
    <w:rsid w:val="5E00208B"/>
    <w:rsid w:val="5E1145B0"/>
    <w:rsid w:val="5E8661D8"/>
    <w:rsid w:val="5ED92F78"/>
    <w:rsid w:val="5F39299A"/>
    <w:rsid w:val="5F734CCA"/>
    <w:rsid w:val="5F816B3B"/>
    <w:rsid w:val="5FEC6A29"/>
    <w:rsid w:val="5FF97043"/>
    <w:rsid w:val="600528DB"/>
    <w:rsid w:val="60104A1E"/>
    <w:rsid w:val="605E1DEA"/>
    <w:rsid w:val="606971B1"/>
    <w:rsid w:val="606C55D1"/>
    <w:rsid w:val="608929C5"/>
    <w:rsid w:val="609A57C2"/>
    <w:rsid w:val="61050003"/>
    <w:rsid w:val="6132762C"/>
    <w:rsid w:val="61697A7D"/>
    <w:rsid w:val="61D42936"/>
    <w:rsid w:val="61E51291"/>
    <w:rsid w:val="61F41846"/>
    <w:rsid w:val="62861EAA"/>
    <w:rsid w:val="62F9197F"/>
    <w:rsid w:val="633820A6"/>
    <w:rsid w:val="637162CF"/>
    <w:rsid w:val="637B3E86"/>
    <w:rsid w:val="63A10C80"/>
    <w:rsid w:val="63C7008B"/>
    <w:rsid w:val="63EE5991"/>
    <w:rsid w:val="6434736D"/>
    <w:rsid w:val="644E0A32"/>
    <w:rsid w:val="649E3B5C"/>
    <w:rsid w:val="64DC7CEB"/>
    <w:rsid w:val="65015019"/>
    <w:rsid w:val="650776F1"/>
    <w:rsid w:val="65590509"/>
    <w:rsid w:val="656454BD"/>
    <w:rsid w:val="65F11B35"/>
    <w:rsid w:val="66010AF6"/>
    <w:rsid w:val="663B294F"/>
    <w:rsid w:val="66707DFA"/>
    <w:rsid w:val="669034B3"/>
    <w:rsid w:val="669E1837"/>
    <w:rsid w:val="66F32F0E"/>
    <w:rsid w:val="671036AF"/>
    <w:rsid w:val="671B7EEA"/>
    <w:rsid w:val="673B20F9"/>
    <w:rsid w:val="67423763"/>
    <w:rsid w:val="67BD2AF6"/>
    <w:rsid w:val="67E12090"/>
    <w:rsid w:val="67FC61B8"/>
    <w:rsid w:val="68086D13"/>
    <w:rsid w:val="68615817"/>
    <w:rsid w:val="68820673"/>
    <w:rsid w:val="68DB4AEF"/>
    <w:rsid w:val="6969768F"/>
    <w:rsid w:val="696B24A9"/>
    <w:rsid w:val="698A2A90"/>
    <w:rsid w:val="69965724"/>
    <w:rsid w:val="6A177650"/>
    <w:rsid w:val="6A227B2A"/>
    <w:rsid w:val="6A355461"/>
    <w:rsid w:val="6A4467AA"/>
    <w:rsid w:val="6A4F6858"/>
    <w:rsid w:val="6A6C17DD"/>
    <w:rsid w:val="6ACC3EEB"/>
    <w:rsid w:val="6BA2466B"/>
    <w:rsid w:val="6BBF10CF"/>
    <w:rsid w:val="6C6E3242"/>
    <w:rsid w:val="6C880ED2"/>
    <w:rsid w:val="6D2166C8"/>
    <w:rsid w:val="6D3535AA"/>
    <w:rsid w:val="6D3951DB"/>
    <w:rsid w:val="6D47619E"/>
    <w:rsid w:val="6DAD24D7"/>
    <w:rsid w:val="6DE06546"/>
    <w:rsid w:val="6E042333"/>
    <w:rsid w:val="6E071E61"/>
    <w:rsid w:val="6E1845CD"/>
    <w:rsid w:val="6E9E335D"/>
    <w:rsid w:val="6ED72DF8"/>
    <w:rsid w:val="6ED91546"/>
    <w:rsid w:val="6EFE29E5"/>
    <w:rsid w:val="6F272654"/>
    <w:rsid w:val="6F543D73"/>
    <w:rsid w:val="6F6748D6"/>
    <w:rsid w:val="6FEB22F2"/>
    <w:rsid w:val="6FF92610"/>
    <w:rsid w:val="704E7517"/>
    <w:rsid w:val="70624CFC"/>
    <w:rsid w:val="707725B8"/>
    <w:rsid w:val="7086386B"/>
    <w:rsid w:val="708E0AAD"/>
    <w:rsid w:val="70B54896"/>
    <w:rsid w:val="711853A1"/>
    <w:rsid w:val="71457A92"/>
    <w:rsid w:val="71C865FF"/>
    <w:rsid w:val="71F57801"/>
    <w:rsid w:val="71F675CF"/>
    <w:rsid w:val="720D2F9D"/>
    <w:rsid w:val="723E546F"/>
    <w:rsid w:val="725A7695"/>
    <w:rsid w:val="72802232"/>
    <w:rsid w:val="72A2470E"/>
    <w:rsid w:val="72AB48E6"/>
    <w:rsid w:val="72AB775A"/>
    <w:rsid w:val="72EB12A6"/>
    <w:rsid w:val="7317696F"/>
    <w:rsid w:val="73391AC7"/>
    <w:rsid w:val="73AA2DD2"/>
    <w:rsid w:val="73BA3636"/>
    <w:rsid w:val="74102BF5"/>
    <w:rsid w:val="74480ED8"/>
    <w:rsid w:val="7458316E"/>
    <w:rsid w:val="7474148A"/>
    <w:rsid w:val="74755C01"/>
    <w:rsid w:val="74A262E2"/>
    <w:rsid w:val="74A905A6"/>
    <w:rsid w:val="74AD5CC5"/>
    <w:rsid w:val="74B53F76"/>
    <w:rsid w:val="74CE637B"/>
    <w:rsid w:val="74CF48DE"/>
    <w:rsid w:val="75397541"/>
    <w:rsid w:val="75673FA9"/>
    <w:rsid w:val="760F1667"/>
    <w:rsid w:val="7622537E"/>
    <w:rsid w:val="7624642E"/>
    <w:rsid w:val="763E18BE"/>
    <w:rsid w:val="768D0F54"/>
    <w:rsid w:val="76963B64"/>
    <w:rsid w:val="7726768C"/>
    <w:rsid w:val="77485B4B"/>
    <w:rsid w:val="77654CBC"/>
    <w:rsid w:val="779450E4"/>
    <w:rsid w:val="77B466DA"/>
    <w:rsid w:val="77C36F3B"/>
    <w:rsid w:val="77D24A15"/>
    <w:rsid w:val="77D90BB8"/>
    <w:rsid w:val="77F9134D"/>
    <w:rsid w:val="78312A9B"/>
    <w:rsid w:val="783B224C"/>
    <w:rsid w:val="78516088"/>
    <w:rsid w:val="78954C88"/>
    <w:rsid w:val="78983EF5"/>
    <w:rsid w:val="78B20E9C"/>
    <w:rsid w:val="78E52B1B"/>
    <w:rsid w:val="79C65CA7"/>
    <w:rsid w:val="7A345BCB"/>
    <w:rsid w:val="7A392094"/>
    <w:rsid w:val="7A71774B"/>
    <w:rsid w:val="7A994AA6"/>
    <w:rsid w:val="7ABB0D0D"/>
    <w:rsid w:val="7B0539A3"/>
    <w:rsid w:val="7B092148"/>
    <w:rsid w:val="7B8B2FF9"/>
    <w:rsid w:val="7BEF445B"/>
    <w:rsid w:val="7C512BEB"/>
    <w:rsid w:val="7C791F26"/>
    <w:rsid w:val="7C7E2DAB"/>
    <w:rsid w:val="7CA725BB"/>
    <w:rsid w:val="7CC95C11"/>
    <w:rsid w:val="7D011B24"/>
    <w:rsid w:val="7D365589"/>
    <w:rsid w:val="7D6B357F"/>
    <w:rsid w:val="7D756C01"/>
    <w:rsid w:val="7D7C4B80"/>
    <w:rsid w:val="7DBF27B3"/>
    <w:rsid w:val="7DE16BA9"/>
    <w:rsid w:val="7EBC560B"/>
    <w:rsid w:val="7F326B39"/>
    <w:rsid w:val="7F372864"/>
    <w:rsid w:val="7F4D0FEB"/>
    <w:rsid w:val="7F721770"/>
    <w:rsid w:val="7F7D6EC7"/>
    <w:rsid w:val="7F8159B0"/>
    <w:rsid w:val="7F8E2E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line="360" w:lineRule="auto"/>
      <w:ind w:firstLine="200" w:firstLineChars="200"/>
      <w:outlineLvl w:val="2"/>
    </w:pPr>
    <w:rPr>
      <w:b/>
      <w:bCs/>
      <w:szCs w:val="32"/>
    </w:rPr>
  </w:style>
  <w:style w:type="paragraph" w:styleId="5">
    <w:name w:val="heading 4"/>
    <w:basedOn w:val="1"/>
    <w:next w:val="1"/>
    <w:link w:val="57"/>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qFormat/>
    <w:uiPriority w:val="0"/>
    <w:pPr>
      <w:keepNext/>
      <w:keepLines/>
      <w:spacing w:before="280" w:after="290" w:line="372" w:lineRule="auto"/>
      <w:outlineLvl w:val="4"/>
    </w:pPr>
    <w:rPr>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7">
    <w:name w:val="toc 7"/>
    <w:next w:val="1"/>
    <w:qFormat/>
    <w:uiPriority w:val="0"/>
    <w:pPr>
      <w:ind w:left="1260"/>
    </w:pPr>
    <w:rPr>
      <w:rFonts w:ascii="Calibri" w:hAnsi="Calibri" w:eastAsia="宋体" w:cs="Times New Roman"/>
      <w:sz w:val="18"/>
      <w:szCs w:val="18"/>
      <w:lang w:val="en-US" w:eastAsia="zh-CN" w:bidi="ar-SA"/>
    </w:rPr>
  </w:style>
  <w:style w:type="paragraph" w:styleId="8">
    <w:name w:val="Normal Indent"/>
    <w:basedOn w:val="1"/>
    <w:qFormat/>
    <w:uiPriority w:val="99"/>
    <w:pPr>
      <w:ind w:firstLine="420" w:firstLineChars="200"/>
    </w:pPr>
  </w:style>
  <w:style w:type="paragraph" w:styleId="9">
    <w:name w:val="annotation text"/>
    <w:basedOn w:val="1"/>
    <w:qFormat/>
    <w:uiPriority w:val="0"/>
    <w:pPr>
      <w:jc w:val="left"/>
    </w:pPr>
  </w:style>
  <w:style w:type="paragraph" w:styleId="10">
    <w:name w:val="Body Text"/>
    <w:basedOn w:val="1"/>
    <w:next w:val="11"/>
    <w:qFormat/>
    <w:uiPriority w:val="1"/>
    <w:rPr>
      <w:sz w:val="24"/>
      <w:szCs w:val="24"/>
    </w:rPr>
  </w:style>
  <w:style w:type="paragraph" w:styleId="11">
    <w:name w:val="Body Text 2"/>
    <w:basedOn w:val="1"/>
    <w:next w:val="10"/>
    <w:qFormat/>
    <w:uiPriority w:val="0"/>
    <w:pPr>
      <w:spacing w:line="480" w:lineRule="auto"/>
    </w:pPr>
  </w:style>
  <w:style w:type="paragraph" w:styleId="12">
    <w:name w:val="toc 5"/>
    <w:next w:val="1"/>
    <w:qFormat/>
    <w:uiPriority w:val="0"/>
    <w:pPr>
      <w:ind w:left="840"/>
    </w:pPr>
    <w:rPr>
      <w:rFonts w:ascii="Calibri" w:hAnsi="Calibri" w:eastAsia="宋体" w:cs="Times New Roman"/>
      <w:sz w:val="18"/>
      <w:szCs w:val="18"/>
      <w:lang w:val="en-US" w:eastAsia="zh-CN" w:bidi="ar-SA"/>
    </w:rPr>
  </w:style>
  <w:style w:type="paragraph" w:styleId="13">
    <w:name w:val="toc 3"/>
    <w:next w:val="1"/>
    <w:qFormat/>
    <w:uiPriority w:val="0"/>
    <w:pPr>
      <w:ind w:left="420"/>
    </w:pPr>
    <w:rPr>
      <w:rFonts w:ascii="Calibri" w:hAnsi="Calibri" w:eastAsia="宋体" w:cs="Times New Roman"/>
      <w:i/>
      <w:iCs/>
      <w:lang w:val="en-US" w:eastAsia="zh-CN" w:bidi="ar-SA"/>
    </w:rPr>
  </w:style>
  <w:style w:type="paragraph" w:styleId="14">
    <w:name w:val="Plain Text"/>
    <w:basedOn w:val="1"/>
    <w:qFormat/>
    <w:uiPriority w:val="0"/>
    <w:rPr>
      <w:rFonts w:ascii="宋体" w:hAnsi="Courier New" w:cs="Courier New"/>
      <w:szCs w:val="21"/>
    </w:rPr>
  </w:style>
  <w:style w:type="paragraph" w:styleId="15">
    <w:name w:val="toc 8"/>
    <w:next w:val="1"/>
    <w:qFormat/>
    <w:uiPriority w:val="0"/>
    <w:pPr>
      <w:ind w:left="1470"/>
    </w:pPr>
    <w:rPr>
      <w:rFonts w:ascii="Calibri" w:hAnsi="Calibri" w:eastAsia="宋体" w:cs="Times New Roman"/>
      <w:sz w:val="18"/>
      <w:szCs w:val="18"/>
      <w:lang w:val="en-US" w:eastAsia="zh-CN" w:bidi="ar-SA"/>
    </w:rPr>
  </w:style>
  <w:style w:type="paragraph" w:styleId="16">
    <w:name w:val="Date"/>
    <w:basedOn w:val="1"/>
    <w:next w:val="1"/>
    <w:qFormat/>
    <w:uiPriority w:val="0"/>
    <w:rPr>
      <w:rFonts w:eastAsia="仿宋_GB2312"/>
      <w:sz w:val="28"/>
      <w:szCs w:val="20"/>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55"/>
    <w:qFormat/>
    <w:uiPriority w:val="0"/>
    <w:pPr>
      <w:pBdr>
        <w:bottom w:val="single" w:color="auto" w:sz="6" w:space="1"/>
      </w:pBdr>
      <w:tabs>
        <w:tab w:val="center" w:pos="4153"/>
        <w:tab w:val="right" w:pos="8306"/>
      </w:tabs>
      <w:snapToGrid w:val="0"/>
      <w:jc w:val="center"/>
    </w:pPr>
    <w:rPr>
      <w:sz w:val="18"/>
      <w:szCs w:val="18"/>
    </w:rPr>
  </w:style>
  <w:style w:type="paragraph" w:styleId="19">
    <w:name w:val="toc 1"/>
    <w:next w:val="1"/>
    <w:qFormat/>
    <w:uiPriority w:val="0"/>
    <w:pPr>
      <w:spacing w:beforeLines="38" w:afterLines="38"/>
    </w:pPr>
    <w:rPr>
      <w:rFonts w:ascii="Calibri" w:hAnsi="Calibri" w:eastAsia="宋体" w:cs="Times New Roman"/>
      <w:b/>
      <w:bCs/>
      <w:lang w:val="en-US" w:eastAsia="zh-CN" w:bidi="ar-SA"/>
    </w:rPr>
  </w:style>
  <w:style w:type="paragraph" w:styleId="20">
    <w:name w:val="toc 4"/>
    <w:next w:val="1"/>
    <w:qFormat/>
    <w:uiPriority w:val="0"/>
    <w:pPr>
      <w:ind w:left="630"/>
    </w:pPr>
    <w:rPr>
      <w:rFonts w:ascii="Calibri" w:hAnsi="Calibri" w:eastAsia="宋体" w:cs="Times New Roman"/>
      <w:sz w:val="18"/>
      <w:szCs w:val="18"/>
      <w:lang w:val="en-US" w:eastAsia="zh-CN" w:bidi="ar-SA"/>
    </w:rPr>
  </w:style>
  <w:style w:type="paragraph" w:styleId="21">
    <w:name w:val="toc 6"/>
    <w:next w:val="1"/>
    <w:qFormat/>
    <w:uiPriority w:val="0"/>
    <w:pPr>
      <w:ind w:left="1050"/>
    </w:pPr>
    <w:rPr>
      <w:rFonts w:ascii="Calibri" w:hAnsi="Calibri" w:eastAsia="宋体" w:cs="Times New Roman"/>
      <w:sz w:val="18"/>
      <w:szCs w:val="18"/>
      <w:lang w:val="en-US" w:eastAsia="zh-CN" w:bidi="ar-SA"/>
    </w:rPr>
  </w:style>
  <w:style w:type="paragraph" w:styleId="22">
    <w:name w:val="toc 2"/>
    <w:basedOn w:val="1"/>
    <w:next w:val="1"/>
    <w:qFormat/>
    <w:uiPriority w:val="0"/>
    <w:pPr>
      <w:ind w:left="210"/>
    </w:pPr>
    <w:rPr>
      <w:rFonts w:ascii="Calibri" w:hAnsi="Calibri"/>
      <w:smallCaps/>
    </w:rPr>
  </w:style>
  <w:style w:type="paragraph" w:styleId="23">
    <w:name w:val="toc 9"/>
    <w:next w:val="1"/>
    <w:qFormat/>
    <w:uiPriority w:val="0"/>
    <w:pPr>
      <w:ind w:left="1680"/>
    </w:pPr>
    <w:rPr>
      <w:rFonts w:ascii="Calibri" w:hAnsi="Calibri" w:eastAsia="宋体" w:cs="Times New Roman"/>
      <w:sz w:val="18"/>
      <w:szCs w:val="18"/>
      <w:lang w:val="en-US" w:eastAsia="zh-CN" w:bidi="ar-SA"/>
    </w:rPr>
  </w:style>
  <w:style w:type="paragraph" w:styleId="24">
    <w:name w:val="Normal (Web)"/>
    <w:basedOn w:val="1"/>
    <w:qFormat/>
    <w:uiPriority w:val="0"/>
    <w:pPr>
      <w:widowControl/>
      <w:spacing w:before="100" w:beforeAutospacing="1" w:after="100" w:afterAutospacing="1"/>
      <w:jc w:val="left"/>
    </w:pPr>
    <w:rPr>
      <w:sz w:val="24"/>
    </w:rPr>
  </w:style>
  <w:style w:type="paragraph" w:styleId="25">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6">
    <w:name w:val="Body Text First Indent"/>
    <w:basedOn w:val="10"/>
    <w:next w:val="1"/>
    <w:qFormat/>
    <w:uiPriority w:val="0"/>
    <w:pPr>
      <w:ind w:firstLine="420" w:firstLineChars="100"/>
    </w:pPr>
    <w:rPr>
      <w:sz w:val="34"/>
      <w:szCs w:val="20"/>
    </w:rPr>
  </w:style>
  <w:style w:type="table" w:styleId="28">
    <w:name w:val="Table Grid"/>
    <w:basedOn w:val="27"/>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page number"/>
    <w:basedOn w:val="29"/>
    <w:qFormat/>
    <w:uiPriority w:val="0"/>
  </w:style>
  <w:style w:type="character" w:styleId="32">
    <w:name w:val="FollowedHyperlink"/>
    <w:basedOn w:val="29"/>
    <w:qFormat/>
    <w:uiPriority w:val="0"/>
    <w:rPr>
      <w:color w:val="3F88BF"/>
      <w:u w:val="none"/>
    </w:rPr>
  </w:style>
  <w:style w:type="character" w:styleId="33">
    <w:name w:val="Emphasis"/>
    <w:basedOn w:val="29"/>
    <w:qFormat/>
    <w:uiPriority w:val="0"/>
  </w:style>
  <w:style w:type="character" w:styleId="34">
    <w:name w:val="HTML Definition"/>
    <w:basedOn w:val="29"/>
    <w:qFormat/>
    <w:uiPriority w:val="0"/>
  </w:style>
  <w:style w:type="character" w:styleId="35">
    <w:name w:val="HTML Typewriter"/>
    <w:basedOn w:val="29"/>
    <w:qFormat/>
    <w:uiPriority w:val="0"/>
    <w:rPr>
      <w:rFonts w:hint="default" w:ascii="monospace" w:hAnsi="monospace" w:eastAsia="monospace" w:cs="monospace"/>
      <w:sz w:val="20"/>
    </w:rPr>
  </w:style>
  <w:style w:type="character" w:styleId="36">
    <w:name w:val="HTML Acronym"/>
    <w:basedOn w:val="29"/>
    <w:qFormat/>
    <w:uiPriority w:val="0"/>
  </w:style>
  <w:style w:type="character" w:styleId="37">
    <w:name w:val="HTML Variable"/>
    <w:basedOn w:val="29"/>
    <w:qFormat/>
    <w:uiPriority w:val="0"/>
  </w:style>
  <w:style w:type="character" w:styleId="38">
    <w:name w:val="Hyperlink"/>
    <w:basedOn w:val="29"/>
    <w:qFormat/>
    <w:uiPriority w:val="0"/>
    <w:rPr>
      <w:color w:val="0000FF" w:themeColor="hyperlink"/>
      <w:u w:val="single"/>
      <w14:textFill>
        <w14:solidFill>
          <w14:schemeClr w14:val="hlink"/>
        </w14:solidFill>
      </w14:textFill>
    </w:rPr>
  </w:style>
  <w:style w:type="character" w:styleId="39">
    <w:name w:val="HTML Code"/>
    <w:basedOn w:val="29"/>
    <w:qFormat/>
    <w:uiPriority w:val="0"/>
    <w:rPr>
      <w:rFonts w:hint="eastAsia" w:ascii="微软雅黑" w:hAnsi="微软雅黑" w:eastAsia="微软雅黑" w:cs="微软雅黑"/>
      <w:sz w:val="20"/>
    </w:rPr>
  </w:style>
  <w:style w:type="character" w:styleId="40">
    <w:name w:val="annotation reference"/>
    <w:basedOn w:val="29"/>
    <w:qFormat/>
    <w:uiPriority w:val="0"/>
    <w:rPr>
      <w:sz w:val="21"/>
      <w:szCs w:val="21"/>
    </w:rPr>
  </w:style>
  <w:style w:type="character" w:styleId="41">
    <w:name w:val="HTML Cite"/>
    <w:basedOn w:val="29"/>
    <w:qFormat/>
    <w:uiPriority w:val="0"/>
  </w:style>
  <w:style w:type="character" w:styleId="42">
    <w:name w:val="HTML Keyboard"/>
    <w:basedOn w:val="29"/>
    <w:qFormat/>
    <w:uiPriority w:val="0"/>
    <w:rPr>
      <w:rFonts w:hint="eastAsia" w:ascii="微软雅黑" w:hAnsi="微软雅黑" w:eastAsia="微软雅黑" w:cs="微软雅黑"/>
      <w:color w:val="3F88BF"/>
      <w:sz w:val="20"/>
      <w:u w:val="none"/>
    </w:rPr>
  </w:style>
  <w:style w:type="character" w:styleId="43">
    <w:name w:val="HTML Sample"/>
    <w:basedOn w:val="29"/>
    <w:qFormat/>
    <w:uiPriority w:val="0"/>
    <w:rPr>
      <w:rFonts w:hint="eastAsia" w:ascii="微软雅黑" w:hAnsi="微软雅黑" w:eastAsia="微软雅黑" w:cs="微软雅黑"/>
    </w:rPr>
  </w:style>
  <w:style w:type="paragraph" w:customStyle="1" w:styleId="44">
    <w:name w:val="样式 标题 2 + Times New Roman 四号 非加粗 段前: 5 磅 段后: 0 磅 行距: 固定值 20..."/>
    <w:basedOn w:val="3"/>
    <w:qFormat/>
    <w:uiPriority w:val="0"/>
    <w:pPr>
      <w:spacing w:before="100" w:line="400" w:lineRule="exact"/>
    </w:pPr>
    <w:rPr>
      <w:rFonts w:ascii="Times New Roman" w:hAnsi="Times New Roman" w:eastAsia="黑体" w:cs="宋体"/>
      <w:b w:val="0"/>
      <w:bCs w:val="0"/>
      <w:sz w:val="28"/>
      <w:szCs w:val="20"/>
    </w:rPr>
  </w:style>
  <w:style w:type="paragraph" w:customStyle="1" w:styleId="45">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46">
    <w:name w:val="zbggmain style9"/>
    <w:basedOn w:val="29"/>
    <w:qFormat/>
    <w:uiPriority w:val="0"/>
  </w:style>
  <w:style w:type="paragraph" w:customStyle="1" w:styleId="47">
    <w:name w:val="p0"/>
    <w:basedOn w:val="1"/>
    <w:qFormat/>
    <w:uiPriority w:val="0"/>
    <w:pPr>
      <w:widowControl/>
      <w:spacing w:before="100" w:beforeAutospacing="1" w:after="100" w:afterAutospacing="1"/>
      <w:jc w:val="left"/>
    </w:pPr>
    <w:rPr>
      <w:rFonts w:ascii="宋体" w:hAnsi="宋体" w:cs="宋体"/>
      <w:sz w:val="24"/>
    </w:rPr>
  </w:style>
  <w:style w:type="paragraph" w:styleId="48">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9">
    <w:name w:val="List Paragraph"/>
    <w:basedOn w:val="1"/>
    <w:qFormat/>
    <w:uiPriority w:val="99"/>
    <w:pPr>
      <w:ind w:firstLine="420" w:firstLineChars="200"/>
    </w:pPr>
  </w:style>
  <w:style w:type="character" w:customStyle="1" w:styleId="50">
    <w:name w:val="answer-title"/>
    <w:basedOn w:val="29"/>
    <w:qFormat/>
    <w:uiPriority w:val="0"/>
  </w:style>
  <w:style w:type="character" w:customStyle="1" w:styleId="51">
    <w:name w:val="num"/>
    <w:basedOn w:val="29"/>
    <w:qFormat/>
    <w:uiPriority w:val="0"/>
    <w:rPr>
      <w:b/>
      <w:color w:val="FF7800"/>
    </w:rPr>
  </w:style>
  <w:style w:type="character" w:customStyle="1" w:styleId="52">
    <w:name w:val="release-day"/>
    <w:basedOn w:val="29"/>
    <w:qFormat/>
    <w:uiPriority w:val="0"/>
    <w:rPr>
      <w:bdr w:val="single" w:color="BDEBB0" w:sz="6" w:space="0"/>
      <w:shd w:val="clear" w:color="auto" w:fill="F5FFF1"/>
    </w:rPr>
  </w:style>
  <w:style w:type="character" w:customStyle="1" w:styleId="53">
    <w:name w:val="num4"/>
    <w:basedOn w:val="29"/>
    <w:qFormat/>
    <w:uiPriority w:val="0"/>
    <w:rPr>
      <w:b/>
      <w:color w:val="FF7800"/>
    </w:rPr>
  </w:style>
  <w:style w:type="character" w:customStyle="1" w:styleId="54">
    <w:name w:val="answer-title8"/>
    <w:basedOn w:val="29"/>
    <w:qFormat/>
    <w:uiPriority w:val="0"/>
  </w:style>
  <w:style w:type="character" w:customStyle="1" w:styleId="55">
    <w:name w:val="页眉 字符"/>
    <w:basedOn w:val="29"/>
    <w:link w:val="18"/>
    <w:qFormat/>
    <w:uiPriority w:val="0"/>
    <w:rPr>
      <w:sz w:val="18"/>
      <w:szCs w:val="18"/>
    </w:rPr>
  </w:style>
  <w:style w:type="paragraph" w:customStyle="1" w:styleId="56">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7">
    <w:name w:val="标题 4 字符"/>
    <w:basedOn w:val="29"/>
    <w:link w:val="5"/>
    <w:semiHidden/>
    <w:qFormat/>
    <w:uiPriority w:val="0"/>
    <w:rPr>
      <w:rFonts w:asciiTheme="majorHAnsi" w:hAnsiTheme="majorHAnsi" w:eastAsiaTheme="majorEastAsia" w:cstheme="majorBidi"/>
      <w:b/>
      <w:bCs/>
      <w:sz w:val="28"/>
      <w:szCs w:val="28"/>
    </w:rPr>
  </w:style>
  <w:style w:type="paragraph" w:customStyle="1" w:styleId="58">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9">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Table Paragraph"/>
    <w:basedOn w:val="1"/>
    <w:qFormat/>
    <w:uiPriority w:val="1"/>
  </w:style>
  <w:style w:type="paragraph" w:customStyle="1" w:styleId="61">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3">
    <w:name w:val="正文2"/>
    <w:basedOn w:val="1"/>
    <w:qFormat/>
    <w:uiPriority w:val="0"/>
    <w:pPr>
      <w:spacing w:before="156" w:line="360" w:lineRule="auto"/>
      <w:ind w:firstLine="510" w:firstLineChars="200"/>
    </w:pPr>
    <w:rPr>
      <w:sz w:val="24"/>
      <w:szCs w:val="20"/>
    </w:rPr>
  </w:style>
  <w:style w:type="paragraph" w:customStyle="1" w:styleId="64">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5">
    <w:name w:val="font41"/>
    <w:qFormat/>
    <w:uiPriority w:val="0"/>
    <w:rPr>
      <w:rFonts w:hint="eastAsia" w:ascii="等线" w:hAnsi="等线" w:eastAsia="等线" w:cs="等线"/>
      <w:b/>
      <w:color w:val="000000"/>
      <w:sz w:val="22"/>
      <w:szCs w:val="22"/>
      <w:u w:val="none"/>
    </w:rPr>
  </w:style>
  <w:style w:type="character" w:customStyle="1" w:styleId="66">
    <w:name w:val="font61"/>
    <w:qFormat/>
    <w:uiPriority w:val="0"/>
    <w:rPr>
      <w:rFonts w:hint="default" w:ascii="Times New Roman" w:hAnsi="Times New Roman" w:cs="Times New Roman"/>
      <w:b/>
      <w:color w:val="000000"/>
      <w:sz w:val="22"/>
      <w:szCs w:val="22"/>
      <w:u w:val="none"/>
    </w:rPr>
  </w:style>
  <w:style w:type="character" w:customStyle="1" w:styleId="67">
    <w:name w:val="font31"/>
    <w:qFormat/>
    <w:uiPriority w:val="0"/>
    <w:rPr>
      <w:rFonts w:hint="eastAsia" w:ascii="宋体" w:hAnsi="宋体" w:eastAsia="宋体" w:cs="宋体"/>
      <w:color w:val="FF0000"/>
      <w:sz w:val="22"/>
      <w:szCs w:val="22"/>
      <w:u w:val="none"/>
    </w:rPr>
  </w:style>
  <w:style w:type="character" w:customStyle="1" w:styleId="68">
    <w:name w:val="font01"/>
    <w:qFormat/>
    <w:uiPriority w:val="0"/>
    <w:rPr>
      <w:rFonts w:hint="eastAsia" w:ascii="宋体" w:hAnsi="宋体" w:eastAsia="宋体" w:cs="宋体"/>
      <w:color w:val="000000"/>
      <w:sz w:val="18"/>
      <w:szCs w:val="18"/>
      <w:u w:val="none"/>
    </w:rPr>
  </w:style>
  <w:style w:type="character" w:customStyle="1" w:styleId="69">
    <w:name w:val="font11"/>
    <w:qFormat/>
    <w:uiPriority w:val="0"/>
    <w:rPr>
      <w:rFonts w:hint="eastAsia" w:ascii="宋体" w:hAnsi="宋体" w:eastAsia="宋体" w:cs="宋体"/>
      <w:color w:val="000000"/>
      <w:sz w:val="18"/>
      <w:szCs w:val="18"/>
      <w:u w:val="none"/>
    </w:rPr>
  </w:style>
  <w:style w:type="character" w:customStyle="1" w:styleId="70">
    <w:name w:val="font51"/>
    <w:qFormat/>
    <w:uiPriority w:val="0"/>
    <w:rPr>
      <w:rFonts w:hint="default" w:ascii="Times New Roman" w:hAnsi="Times New Roman" w:cs="Times New Roman"/>
      <w:b/>
      <w:color w:val="000000"/>
      <w:sz w:val="21"/>
      <w:szCs w:val="21"/>
      <w:u w:val="none"/>
    </w:rPr>
  </w:style>
  <w:style w:type="character" w:customStyle="1" w:styleId="71">
    <w:name w:val="font21"/>
    <w:qFormat/>
    <w:uiPriority w:val="0"/>
    <w:rPr>
      <w:rFonts w:hint="eastAsia" w:ascii="宋体" w:hAnsi="宋体" w:eastAsia="宋体" w:cs="宋体"/>
      <w:b/>
      <w:color w:val="000000"/>
      <w:sz w:val="21"/>
      <w:szCs w:val="21"/>
      <w:u w:val="none"/>
    </w:rPr>
  </w:style>
  <w:style w:type="paragraph" w:customStyle="1" w:styleId="72">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3">
    <w:name w:val="p12"/>
    <w:qFormat/>
    <w:uiPriority w:val="0"/>
  </w:style>
  <w:style w:type="paragraph" w:customStyle="1" w:styleId="74">
    <w:name w:val="首行缩进"/>
    <w:basedOn w:val="1"/>
    <w:qFormat/>
    <w:uiPriority w:val="99"/>
    <w:pPr>
      <w:spacing w:line="360" w:lineRule="auto"/>
      <w:ind w:firstLine="480" w:firstLineChars="200"/>
    </w:pPr>
    <w:rPr>
      <w:sz w:val="24"/>
      <w:lang w:val="zh-CN"/>
    </w:rPr>
  </w:style>
  <w:style w:type="paragraph" w:customStyle="1" w:styleId="75">
    <w:name w:val="_Style 2"/>
    <w:basedOn w:val="1"/>
    <w:qFormat/>
    <w:uiPriority w:val="0"/>
    <w:pPr>
      <w:ind w:firstLine="420" w:firstLineChars="200"/>
    </w:pPr>
    <w:rPr>
      <w:szCs w:val="20"/>
    </w:rPr>
  </w:style>
  <w:style w:type="character" w:customStyle="1" w:styleId="76">
    <w:name w:val="font71"/>
    <w:basedOn w:val="29"/>
    <w:qFormat/>
    <w:uiPriority w:val="0"/>
    <w:rPr>
      <w:rFonts w:hint="eastAsia" w:ascii="宋体" w:hAnsi="宋体" w:eastAsia="宋体" w:cs="宋体"/>
      <w:b/>
      <w:bCs/>
      <w:color w:val="000000"/>
      <w:sz w:val="20"/>
      <w:szCs w:val="20"/>
      <w:u w:val="none"/>
    </w:rPr>
  </w:style>
  <w:style w:type="paragraph" w:customStyle="1" w:styleId="77">
    <w:name w:val="修订1"/>
    <w:hidden/>
    <w:semiHidden/>
    <w:qFormat/>
    <w:uiPriority w:val="99"/>
    <w:rPr>
      <w:rFonts w:ascii="Times New Roman" w:hAnsi="Times New Roman" w:eastAsia="宋体" w:cs="Times New Roman"/>
      <w:sz w:val="21"/>
      <w:szCs w:val="22"/>
      <w:lang w:val="en-US" w:eastAsia="zh-CN" w:bidi="ar-SA"/>
    </w:rPr>
  </w:style>
  <w:style w:type="paragraph" w:customStyle="1" w:styleId="78">
    <w:name w:val="Revision"/>
    <w:hidden/>
    <w:semiHidden/>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185</Pages>
  <Words>116787</Words>
  <Characters>137821</Characters>
  <Lines>1182</Lines>
  <Paragraphs>332</Paragraphs>
  <TotalTime>1</TotalTime>
  <ScaleCrop>false</ScaleCrop>
  <LinksUpToDate>false</LinksUpToDate>
  <CharactersWithSpaces>146617</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2022-08-15T00:26:00Z</cp:lastPrinted>
  <dcterms:modified xsi:type="dcterms:W3CDTF">2022-08-16T03:14:46Z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5C17CE31377547FC9934FE8C2C8ECE94</vt:lpwstr>
  </property>
</Properties>
</file>