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after="156" w:afterLines="50"/>
        <w:jc w:val="center"/>
        <w:rPr>
          <w:rFonts w:ascii="宋体" w:hAnsi="宋体" w:cs="宋体"/>
          <w:b/>
          <w:color w:val="auto"/>
          <w:sz w:val="48"/>
          <w:szCs w:val="48"/>
          <w:highlight w:val="none"/>
        </w:rPr>
      </w:pPr>
    </w:p>
    <w:p>
      <w:pPr>
        <w:shd w:val="clear" w:color="auto" w:fill="FFFFFF"/>
        <w:spacing w:after="156" w:afterLines="50"/>
        <w:jc w:val="center"/>
        <w:rPr>
          <w:rFonts w:ascii="宋体" w:hAnsi="宋体" w:cs="宋体"/>
          <w:b/>
          <w:color w:val="auto"/>
          <w:sz w:val="44"/>
          <w:szCs w:val="44"/>
          <w:highlight w:val="none"/>
        </w:rPr>
      </w:pPr>
    </w:p>
    <w:p>
      <w:pPr>
        <w:shd w:val="clear" w:color="auto" w:fill="FFFFFF"/>
        <w:spacing w:after="156" w:afterLines="50"/>
        <w:jc w:val="center"/>
        <w:rPr>
          <w:rFonts w:ascii="宋体" w:hAnsi="宋体" w:cs="宋体"/>
          <w:b/>
          <w:color w:val="auto"/>
          <w:sz w:val="44"/>
          <w:szCs w:val="44"/>
          <w:highlight w:val="none"/>
        </w:rPr>
      </w:pPr>
      <w:r>
        <w:rPr>
          <w:rFonts w:hint="eastAsia" w:ascii="宋体" w:hAnsi="宋体" w:cs="宋体"/>
          <w:b/>
          <w:color w:val="auto"/>
          <w:sz w:val="44"/>
          <w:szCs w:val="44"/>
          <w:highlight w:val="none"/>
        </w:rPr>
        <w:t>越兴路1#、2#泵站及进出水管新建工程（越兴路2#泵站）设备材料采购招标文件</w:t>
      </w:r>
    </w:p>
    <w:p>
      <w:pPr>
        <w:shd w:val="clear" w:color="auto" w:fill="FFFFFF"/>
        <w:spacing w:after="156" w:afterLines="50"/>
        <w:jc w:val="center"/>
        <w:rPr>
          <w:rFonts w:ascii="宋体" w:hAnsi="宋体" w:cs="宋体"/>
          <w:color w:val="auto"/>
          <w:sz w:val="44"/>
          <w:szCs w:val="44"/>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shd w:val="clear" w:color="auto" w:fill="FFFFFF"/>
        <w:spacing w:after="156" w:afterLines="50"/>
        <w:jc w:val="center"/>
        <w:rPr>
          <w:rFonts w:ascii="宋体" w:hAnsi="宋体" w:cs="宋体"/>
          <w:color w:val="auto"/>
          <w:sz w:val="36"/>
          <w:szCs w:val="36"/>
          <w:highlight w:val="none"/>
        </w:rPr>
      </w:pPr>
    </w:p>
    <w:p>
      <w:pPr>
        <w:pStyle w:val="2"/>
        <w:kinsoku w:val="0"/>
        <w:spacing w:line="360" w:lineRule="auto"/>
        <w:ind w:left="3"/>
        <w:jc w:val="center"/>
        <w:rPr>
          <w:rFonts w:ascii="宋体" w:hAnsi="宋体" w:cs="宋体"/>
          <w:color w:val="auto"/>
          <w:sz w:val="28"/>
          <w:szCs w:val="28"/>
          <w:highlight w:val="none"/>
        </w:rPr>
      </w:pPr>
      <w:r>
        <w:rPr>
          <w:rFonts w:hint="eastAsia" w:ascii="宋体" w:hAnsi="宋体" w:cs="宋体"/>
          <w:color w:val="auto"/>
          <w:sz w:val="28"/>
          <w:szCs w:val="28"/>
          <w:highlight w:val="none"/>
        </w:rPr>
        <w:t>招标人：</w:t>
      </w:r>
      <w:r>
        <w:rPr>
          <w:rFonts w:hint="eastAsia" w:ascii="宋体" w:hAnsi="宋体" w:cs="宋体"/>
          <w:color w:val="auto"/>
          <w:sz w:val="28"/>
          <w:szCs w:val="28"/>
          <w:highlight w:val="none"/>
          <w:u w:val="single"/>
        </w:rPr>
        <w:t>绍兴市水务产业有限公司排水分公司</w:t>
      </w:r>
    </w:p>
    <w:p>
      <w:pPr>
        <w:pStyle w:val="2"/>
        <w:kinsoku w:val="0"/>
        <w:spacing w:line="360" w:lineRule="auto"/>
        <w:ind w:left="3"/>
        <w:jc w:val="center"/>
        <w:rPr>
          <w:rFonts w:ascii="宋体" w:hAnsi="宋体" w:cs="宋体"/>
          <w:color w:val="auto"/>
          <w:sz w:val="28"/>
          <w:szCs w:val="28"/>
          <w:highlight w:val="none"/>
        </w:rPr>
      </w:pPr>
      <w:r>
        <w:rPr>
          <w:rFonts w:hint="eastAsia" w:ascii="宋体" w:hAnsi="宋体" w:cs="宋体"/>
          <w:color w:val="auto"/>
          <w:sz w:val="28"/>
          <w:szCs w:val="28"/>
          <w:highlight w:val="none"/>
        </w:rPr>
        <w:t>招标代理机构：</w:t>
      </w:r>
      <w:r>
        <w:rPr>
          <w:rFonts w:hint="eastAsia" w:ascii="宋体" w:hAnsi="宋体" w:cs="宋体"/>
          <w:color w:val="auto"/>
          <w:sz w:val="28"/>
          <w:szCs w:val="28"/>
          <w:highlight w:val="none"/>
          <w:u w:val="single"/>
        </w:rPr>
        <w:t xml:space="preserve">浙江明达工程造价咨询有限公司 </w:t>
      </w:r>
    </w:p>
    <w:p>
      <w:pPr>
        <w:pStyle w:val="2"/>
        <w:kinsoku w:val="0"/>
        <w:spacing w:line="360" w:lineRule="auto"/>
        <w:ind w:left="3"/>
        <w:jc w:val="center"/>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202</w:t>
      </w:r>
      <w:r>
        <w:rPr>
          <w:rFonts w:hint="eastAsia" w:ascii="宋体" w:hAnsi="宋体" w:cs="宋体"/>
          <w:color w:val="auto"/>
          <w:sz w:val="28"/>
          <w:szCs w:val="28"/>
          <w:highlight w:val="none"/>
          <w:u w:val="single"/>
          <w:lang w:val="en-US" w:eastAsia="zh-CN"/>
        </w:rPr>
        <w:t>4</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01 </w:t>
      </w:r>
      <w:r>
        <w:rPr>
          <w:rFonts w:hint="eastAsia" w:ascii="宋体" w:hAnsi="宋体" w:cs="宋体"/>
          <w:color w:val="auto"/>
          <w:sz w:val="28"/>
          <w:szCs w:val="28"/>
          <w:highlight w:val="none"/>
        </w:rPr>
        <w:t>月</w:t>
      </w:r>
    </w:p>
    <w:p>
      <w:pPr>
        <w:shd w:val="clear" w:color="auto" w:fill="FFFFFF"/>
        <w:spacing w:line="400" w:lineRule="exact"/>
        <w:jc w:val="center"/>
        <w:rPr>
          <w:rFonts w:ascii="宋体" w:hAnsi="宋体" w:cs="宋体"/>
          <w:color w:val="auto"/>
          <w:sz w:val="32"/>
          <w:szCs w:val="32"/>
          <w:highlight w:val="none"/>
        </w:rPr>
      </w:pPr>
    </w:p>
    <w:p>
      <w:pPr>
        <w:shd w:val="clear" w:color="auto" w:fill="FFFFFF"/>
        <w:spacing w:line="400" w:lineRule="exact"/>
        <w:jc w:val="center"/>
        <w:rPr>
          <w:rFonts w:ascii="宋体" w:hAnsi="宋体" w:cs="宋体"/>
          <w:color w:val="auto"/>
          <w:sz w:val="32"/>
          <w:szCs w:val="32"/>
          <w:highlight w:val="none"/>
        </w:rPr>
      </w:pPr>
    </w:p>
    <w:p>
      <w:pPr>
        <w:keepNext/>
        <w:keepLines/>
        <w:spacing w:before="340" w:after="330" w:line="576" w:lineRule="auto"/>
        <w:jc w:val="center"/>
        <w:outlineLvl w:val="0"/>
        <w:rPr>
          <w:rFonts w:ascii="宋体" w:hAnsi="宋体" w:cs="宋体"/>
          <w:b/>
          <w:bCs/>
          <w:color w:val="auto"/>
          <w:kern w:val="44"/>
          <w:sz w:val="32"/>
          <w:szCs w:val="32"/>
          <w:highlight w:val="none"/>
        </w:rPr>
      </w:pPr>
      <w:r>
        <w:rPr>
          <w:rFonts w:hint="eastAsia" w:ascii="宋体" w:hAnsi="宋体" w:cs="宋体"/>
          <w:b/>
          <w:bCs/>
          <w:color w:val="auto"/>
          <w:kern w:val="44"/>
          <w:sz w:val="32"/>
          <w:szCs w:val="32"/>
          <w:highlight w:val="none"/>
        </w:rPr>
        <w:t>越兴路1#、2#泵站及进出水管新建工程（越兴路2#泵站）设备材料采购招标文件</w:t>
      </w:r>
    </w:p>
    <w:p>
      <w:pPr>
        <w:spacing w:line="540" w:lineRule="exact"/>
        <w:rPr>
          <w:rFonts w:ascii="宋体" w:hAnsi="宋体" w:cs="宋体"/>
          <w:color w:val="auto"/>
          <w:szCs w:val="21"/>
          <w:highlight w:val="none"/>
        </w:rPr>
      </w:pPr>
      <w:r>
        <w:rPr>
          <w:rFonts w:hint="eastAsia" w:ascii="宋体" w:hAnsi="宋体" w:cs="宋体"/>
          <w:color w:val="auto"/>
          <w:szCs w:val="21"/>
          <w:highlight w:val="none"/>
        </w:rPr>
        <w:t>招标人：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绍兴市水务产业有限公司排水分公司          </w:t>
      </w:r>
      <w:r>
        <w:rPr>
          <w:rFonts w:hint="eastAsia" w:ascii="宋体" w:hAnsi="宋体" w:cs="宋体"/>
          <w:color w:val="auto"/>
          <w:szCs w:val="21"/>
          <w:highlight w:val="none"/>
        </w:rPr>
        <w:t>（盖章）</w:t>
      </w:r>
    </w:p>
    <w:p>
      <w:pPr>
        <w:shd w:val="clear" w:color="auto" w:fill="FFFFFF"/>
        <w:spacing w:line="540" w:lineRule="exact"/>
        <w:rPr>
          <w:rFonts w:ascii="宋体" w:hAnsi="宋体" w:cs="宋体"/>
          <w:color w:val="auto"/>
          <w:szCs w:val="21"/>
          <w:highlight w:val="none"/>
        </w:rPr>
      </w:pPr>
      <w:r>
        <w:rPr>
          <w:rFonts w:hint="eastAsia" w:ascii="宋体" w:hAnsi="宋体" w:cs="宋体"/>
          <w:color w:val="auto"/>
          <w:szCs w:val="21"/>
          <w:highlight w:val="none"/>
        </w:rPr>
        <w:t>招标人法定代表人：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（负责人）韩建明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pPr>
        <w:shd w:val="clear" w:color="auto" w:fill="FFFFFF"/>
        <w:spacing w:line="540" w:lineRule="exact"/>
        <w:rPr>
          <w:rFonts w:ascii="宋体" w:hAnsi="宋体" w:cs="宋体"/>
          <w:color w:val="auto"/>
          <w:highlight w:val="none"/>
          <w:u w:val="single"/>
        </w:rPr>
      </w:pPr>
      <w:r>
        <w:rPr>
          <w:rFonts w:hint="eastAsia" w:ascii="宋体" w:hAnsi="宋体" w:cs="宋体"/>
          <w:color w:val="auto"/>
          <w:szCs w:val="21"/>
          <w:highlight w:val="none"/>
        </w:rPr>
        <w:t>招标人地址：</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绍兴市解放北路135号         </w:t>
      </w:r>
    </w:p>
    <w:p>
      <w:pPr>
        <w:shd w:val="clear" w:color="auto" w:fill="FFFFFF"/>
        <w:spacing w:line="540" w:lineRule="exact"/>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312000 </w:t>
      </w:r>
      <w:r>
        <w:rPr>
          <w:rFonts w:hint="eastAsia" w:ascii="宋体" w:hAnsi="宋体" w:cs="宋体"/>
          <w:color w:val="auto"/>
          <w:szCs w:val="21"/>
          <w:highlight w:val="none"/>
          <w:u w:val="single"/>
        </w:rPr>
        <w:t xml:space="preserve">                 </w:t>
      </w:r>
    </w:p>
    <w:p>
      <w:pPr>
        <w:shd w:val="clear" w:color="auto" w:fill="FFFFFF"/>
        <w:spacing w:line="540" w:lineRule="exact"/>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0575-89196122  </w:t>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p>
    <w:p>
      <w:pPr>
        <w:shd w:val="clear" w:color="auto" w:fill="FFFFFF"/>
        <w:spacing w:line="540" w:lineRule="exact"/>
        <w:rPr>
          <w:rFonts w:ascii="宋体" w:hAnsi="宋体" w:cs="宋体"/>
          <w:color w:val="auto"/>
          <w:szCs w:val="21"/>
          <w:highlight w:val="none"/>
          <w:u w:val="single"/>
        </w:rPr>
      </w:pP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尉关强         </w:t>
      </w:r>
      <w:r>
        <w:rPr>
          <w:rFonts w:hint="eastAsia" w:ascii="宋体" w:hAnsi="宋体" w:cs="宋体"/>
          <w:color w:val="auto"/>
          <w:szCs w:val="21"/>
          <w:highlight w:val="none"/>
        </w:rPr>
        <w:t>手机：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13989500455 </w:t>
      </w:r>
      <w:r>
        <w:rPr>
          <w:rFonts w:hint="eastAsia" w:ascii="宋体" w:hAnsi="宋体" w:cs="宋体"/>
          <w:color w:val="auto"/>
          <w:szCs w:val="21"/>
          <w:highlight w:val="none"/>
          <w:u w:val="single"/>
        </w:rPr>
        <w:t xml:space="preserve">     </w:t>
      </w:r>
    </w:p>
    <w:p>
      <w:pPr>
        <w:shd w:val="clear" w:color="auto" w:fill="FFFFFF"/>
        <w:spacing w:line="540" w:lineRule="exact"/>
        <w:rPr>
          <w:rFonts w:ascii="宋体" w:hAnsi="宋体" w:cs="宋体"/>
          <w:color w:val="auto"/>
          <w:szCs w:val="21"/>
          <w:highlight w:val="none"/>
          <w:u w:val="single"/>
        </w:rPr>
      </w:pPr>
      <w:r>
        <w:rPr>
          <w:rFonts w:hint="eastAsia" w:ascii="宋体" w:hAnsi="宋体" w:cs="宋体"/>
          <w:color w:val="auto"/>
          <w:szCs w:val="21"/>
          <w:highlight w:val="none"/>
        </w:rPr>
        <w:t>招标人统一社会信用代码：</w:t>
      </w:r>
      <w:r>
        <w:rPr>
          <w:rFonts w:hint="eastAsia" w:ascii="宋体" w:hAnsi="宋体" w:cs="宋体"/>
          <w:b/>
          <w:bCs/>
          <w:color w:val="auto"/>
          <w:szCs w:val="21"/>
          <w:highlight w:val="none"/>
          <w:u w:val="single"/>
        </w:rPr>
        <w:t xml:space="preserve"> 91330602MA2JQPFF65</w:t>
      </w:r>
      <w:r>
        <w:rPr>
          <w:rFonts w:hint="eastAsia" w:ascii="宋体" w:hAnsi="宋体" w:cs="宋体"/>
          <w:color w:val="auto"/>
          <w:szCs w:val="21"/>
          <w:highlight w:val="none"/>
          <w:u w:val="single"/>
        </w:rPr>
        <w:t xml:space="preserve">  </w:t>
      </w:r>
    </w:p>
    <w:p>
      <w:pPr>
        <w:shd w:val="clear" w:color="auto" w:fill="FFFFFF"/>
        <w:spacing w:line="540" w:lineRule="exact"/>
        <w:rPr>
          <w:rFonts w:ascii="宋体" w:hAnsi="宋体" w:cs="宋体"/>
          <w:color w:val="auto"/>
          <w:szCs w:val="21"/>
          <w:highlight w:val="none"/>
          <w:u w:val="single"/>
        </w:rPr>
      </w:pPr>
    </w:p>
    <w:p>
      <w:pPr>
        <w:pStyle w:val="72"/>
        <w:rPr>
          <w:color w:val="auto"/>
          <w:highlight w:val="none"/>
        </w:rPr>
      </w:pPr>
    </w:p>
    <w:p>
      <w:pPr>
        <w:shd w:val="clear" w:color="auto" w:fill="FFFFFF"/>
        <w:spacing w:line="540" w:lineRule="exact"/>
        <w:rPr>
          <w:rFonts w:ascii="宋体" w:hAnsi="宋体" w:cs="宋体"/>
          <w:color w:val="auto"/>
          <w:szCs w:val="21"/>
          <w:highlight w:val="none"/>
        </w:rPr>
      </w:pPr>
      <w:r>
        <w:rPr>
          <w:rFonts w:hint="eastAsia" w:ascii="宋体" w:hAnsi="宋体" w:cs="宋体"/>
          <w:color w:val="auto"/>
          <w:szCs w:val="21"/>
          <w:highlight w:val="none"/>
        </w:rPr>
        <w:t>招标代理机构名称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浙江明达工程造价咨询有限公司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shd w:val="clear" w:color="auto" w:fill="FFFFFF"/>
        <w:tabs>
          <w:tab w:val="left" w:pos="6300"/>
        </w:tabs>
        <w:spacing w:line="5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  </w:t>
      </w:r>
      <w:r>
        <w:rPr>
          <w:rFonts w:hint="eastAsia" w:ascii="宋体" w:hAnsi="宋体" w:cs="宋体"/>
          <w:iCs/>
          <w:color w:val="auto"/>
          <w:kern w:val="0"/>
          <w:szCs w:val="21"/>
          <w:highlight w:val="none"/>
          <w:u w:val="single"/>
        </w:rPr>
        <w:t xml:space="preserve">   </w:t>
      </w:r>
      <w:r>
        <w:rPr>
          <w:rFonts w:hint="eastAsia" w:ascii="宋体" w:hAnsi="宋体" w:cs="宋体"/>
          <w:b/>
          <w:bCs/>
          <w:iCs/>
          <w:color w:val="auto"/>
          <w:kern w:val="0"/>
          <w:szCs w:val="21"/>
          <w:highlight w:val="none"/>
          <w:u w:val="single"/>
        </w:rPr>
        <w:t xml:space="preserve"> 朱力  </w:t>
      </w:r>
      <w:r>
        <w:rPr>
          <w:rFonts w:hint="eastAsia" w:ascii="宋体" w:hAnsi="宋体" w:cs="宋体"/>
          <w:iCs/>
          <w:color w:val="auto"/>
          <w:kern w:val="0"/>
          <w:szCs w:val="21"/>
          <w:highlight w:val="none"/>
          <w:u w:val="single"/>
        </w:rPr>
        <w:t xml:space="preserve">   </w:t>
      </w:r>
      <w:r>
        <w:rPr>
          <w:rFonts w:hint="eastAsia" w:ascii="宋体" w:hAnsi="宋体" w:cs="宋体"/>
          <w:color w:val="auto"/>
          <w:szCs w:val="21"/>
          <w:highlight w:val="none"/>
        </w:rPr>
        <w:t>（签字或盖章）</w:t>
      </w:r>
    </w:p>
    <w:p>
      <w:pPr>
        <w:shd w:val="clear" w:color="auto" w:fill="FFFFFF"/>
        <w:spacing w:line="540" w:lineRule="exact"/>
        <w:rPr>
          <w:rFonts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b/>
          <w:bCs/>
          <w:color w:val="auto"/>
          <w:szCs w:val="21"/>
          <w:highlight w:val="none"/>
          <w:u w:val="single"/>
        </w:rPr>
        <w:t>义乌市北苑街道雪峰西路968号科创园科技大楼A区6楼</w:t>
      </w:r>
    </w:p>
    <w:p>
      <w:pPr>
        <w:shd w:val="clear" w:color="auto" w:fill="FFFFFF"/>
        <w:spacing w:line="540" w:lineRule="exact"/>
        <w:rPr>
          <w:rFonts w:ascii="宋体" w:hAnsi="宋体" w:cs="宋体"/>
          <w:color w:val="auto"/>
          <w:szCs w:val="21"/>
          <w:highlight w:val="none"/>
          <w:u w:val="singl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p>
    <w:p>
      <w:pPr>
        <w:shd w:val="clear" w:color="auto" w:fill="FFFFFF"/>
        <w:spacing w:line="540" w:lineRule="exact"/>
        <w:rPr>
          <w:rFonts w:ascii="宋体" w:hAnsi="宋体" w:cs="宋体"/>
          <w:color w:val="auto"/>
          <w:szCs w:val="21"/>
          <w:highlight w:val="none"/>
          <w:u w:val="singl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15958545311   </w:t>
      </w: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p>
    <w:p>
      <w:pPr>
        <w:shd w:val="clear" w:color="auto" w:fill="FFFFFF"/>
        <w:spacing w:line="540" w:lineRule="exact"/>
        <w:rPr>
          <w:rFonts w:ascii="宋体" w:hAnsi="宋体" w:cs="宋体"/>
          <w:color w:val="auto"/>
          <w:szCs w:val="21"/>
          <w:highlight w:val="none"/>
          <w:u w:val="single"/>
        </w:rPr>
      </w:pP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w:t>
      </w:r>
      <w:r>
        <w:rPr>
          <w:rFonts w:hint="eastAsia" w:ascii="宋体" w:hAnsi="宋体" w:cs="宋体"/>
          <w:b/>
          <w:bCs/>
          <w:color w:val="auto"/>
          <w:highlight w:val="none"/>
          <w:u w:val="single"/>
        </w:rPr>
        <w:t xml:space="preserve">郦工       </w:t>
      </w:r>
    </w:p>
    <w:p>
      <w:pPr>
        <w:shd w:val="clear" w:color="auto" w:fill="FFFFFF"/>
        <w:spacing w:line="540" w:lineRule="exact"/>
        <w:rPr>
          <w:rFonts w:ascii="宋体" w:hAnsi="宋体" w:cs="宋体"/>
          <w:color w:val="auto"/>
          <w:szCs w:val="21"/>
          <w:highlight w:val="none"/>
        </w:rPr>
      </w:pPr>
      <w:r>
        <w:rPr>
          <w:rFonts w:hint="eastAsia" w:ascii="宋体" w:hAnsi="宋体" w:cs="宋体"/>
          <w:color w:val="auto"/>
          <w:szCs w:val="21"/>
          <w:highlight w:val="none"/>
        </w:rPr>
        <w:t>签发日期：</w:t>
      </w:r>
      <w:r>
        <w:rPr>
          <w:rFonts w:hint="eastAsia" w:ascii="宋体" w:hAnsi="宋体" w:cs="宋体"/>
          <w:b/>
          <w:bCs/>
          <w:color w:val="auto"/>
          <w:szCs w:val="21"/>
          <w:highlight w:val="none"/>
          <w:u w:val="single"/>
        </w:rPr>
        <w:t xml:space="preserve">  202</w:t>
      </w:r>
      <w:r>
        <w:rPr>
          <w:rFonts w:hint="eastAsia" w:ascii="宋体" w:hAnsi="宋体" w:cs="宋体"/>
          <w:b/>
          <w:bCs/>
          <w:color w:val="auto"/>
          <w:szCs w:val="21"/>
          <w:highlight w:val="none"/>
          <w:u w:val="single"/>
          <w:lang w:val="en-US" w:eastAsia="zh-CN"/>
        </w:rPr>
        <w:t>4</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日</w:t>
      </w:r>
    </w:p>
    <w:p>
      <w:pPr>
        <w:shd w:val="clear" w:color="auto" w:fill="FFFFFF"/>
        <w:spacing w:line="540" w:lineRule="exact"/>
        <w:rPr>
          <w:rFonts w:ascii="宋体" w:hAnsi="宋体" w:cs="宋体"/>
          <w:color w:val="auto"/>
          <w:szCs w:val="21"/>
          <w:highlight w:val="none"/>
        </w:rPr>
      </w:pPr>
    </w:p>
    <w:p>
      <w:pPr>
        <w:shd w:val="clear" w:color="auto" w:fill="FFFFFF"/>
        <w:spacing w:line="540" w:lineRule="exact"/>
        <w:rPr>
          <w:rFonts w:ascii="宋体" w:hAnsi="宋体" w:cs="宋体"/>
          <w:color w:val="auto"/>
          <w:szCs w:val="21"/>
          <w:highlight w:val="none"/>
        </w:rPr>
      </w:pPr>
    </w:p>
    <w:p>
      <w:pPr>
        <w:shd w:val="clear" w:color="auto" w:fill="FFFFFF"/>
        <w:spacing w:line="540" w:lineRule="exact"/>
        <w:rPr>
          <w:rFonts w:ascii="宋体" w:hAnsi="宋体" w:cs="宋体"/>
          <w:color w:val="auto"/>
          <w:szCs w:val="21"/>
          <w:highlight w:val="none"/>
        </w:rPr>
      </w:pPr>
    </w:p>
    <w:p>
      <w:pPr>
        <w:pStyle w:val="33"/>
        <w:rPr>
          <w:rFonts w:ascii="宋体" w:hAnsi="宋体" w:cs="宋体"/>
          <w:color w:val="auto"/>
          <w:szCs w:val="21"/>
          <w:highlight w:val="none"/>
        </w:rPr>
      </w:pPr>
    </w:p>
    <w:p>
      <w:pPr>
        <w:rPr>
          <w:rFonts w:ascii="宋体" w:hAnsi="宋体" w:cs="宋体"/>
          <w:color w:val="auto"/>
          <w:szCs w:val="21"/>
          <w:highlight w:val="none"/>
        </w:rPr>
      </w:pPr>
    </w:p>
    <w:p>
      <w:pPr>
        <w:keepNext/>
        <w:keepLines/>
        <w:spacing w:before="340" w:after="330" w:line="576" w:lineRule="auto"/>
        <w:jc w:val="center"/>
        <w:outlineLvl w:val="0"/>
        <w:rPr>
          <w:rFonts w:ascii="宋体" w:hAnsi="宋体" w:cs="宋体"/>
          <w:b/>
          <w:bCs/>
          <w:color w:val="auto"/>
          <w:kern w:val="44"/>
          <w:sz w:val="32"/>
          <w:szCs w:val="32"/>
          <w:highlight w:val="none"/>
        </w:rPr>
      </w:pPr>
      <w:r>
        <w:rPr>
          <w:rFonts w:hint="eastAsia" w:ascii="宋体" w:hAnsi="宋体" w:cs="宋体"/>
          <w:b/>
          <w:bCs/>
          <w:color w:val="auto"/>
          <w:kern w:val="44"/>
          <w:sz w:val="32"/>
          <w:szCs w:val="32"/>
          <w:highlight w:val="none"/>
        </w:rPr>
        <w:t>目录</w:t>
      </w:r>
    </w:p>
    <w:p>
      <w:pPr>
        <w:pStyle w:val="26"/>
        <w:numPr>
          <w:ilvl w:val="0"/>
          <w:numId w:val="3"/>
        </w:numPr>
        <w:ind w:firstLine="210"/>
        <w:rPr>
          <w:color w:val="auto"/>
          <w:highlight w:val="none"/>
        </w:rPr>
      </w:pPr>
      <w:r>
        <w:rPr>
          <w:rFonts w:hint="eastAsia"/>
          <w:color w:val="auto"/>
          <w:highlight w:val="none"/>
        </w:rPr>
        <w:t xml:space="preserve"> 招标公告</w:t>
      </w:r>
    </w:p>
    <w:p>
      <w:pPr>
        <w:pStyle w:val="26"/>
        <w:ind w:firstLine="210"/>
        <w:rPr>
          <w:color w:val="auto"/>
          <w:highlight w:val="none"/>
        </w:rPr>
      </w:pPr>
      <w:r>
        <w:rPr>
          <w:rFonts w:hint="eastAsia"/>
          <w:color w:val="auto"/>
          <w:highlight w:val="none"/>
        </w:rPr>
        <w:t>第二章  投标人须知</w:t>
      </w:r>
    </w:p>
    <w:p>
      <w:pPr>
        <w:pStyle w:val="26"/>
        <w:ind w:firstLine="210"/>
        <w:rPr>
          <w:color w:val="auto"/>
          <w:highlight w:val="none"/>
        </w:rPr>
      </w:pPr>
      <w:r>
        <w:rPr>
          <w:rFonts w:hint="eastAsia"/>
          <w:color w:val="auto"/>
          <w:highlight w:val="none"/>
        </w:rPr>
        <w:t>投标人须知前附表</w:t>
      </w:r>
    </w:p>
    <w:p>
      <w:pPr>
        <w:pStyle w:val="26"/>
        <w:numPr>
          <w:ilvl w:val="0"/>
          <w:numId w:val="4"/>
        </w:numPr>
        <w:ind w:firstLine="210"/>
        <w:rPr>
          <w:color w:val="auto"/>
          <w:highlight w:val="none"/>
        </w:rPr>
      </w:pPr>
      <w:r>
        <w:rPr>
          <w:rFonts w:hint="eastAsia"/>
          <w:color w:val="auto"/>
          <w:highlight w:val="none"/>
        </w:rPr>
        <w:t xml:space="preserve">总则 </w:t>
      </w:r>
    </w:p>
    <w:p>
      <w:pPr>
        <w:pStyle w:val="26"/>
        <w:ind w:firstLine="210"/>
        <w:rPr>
          <w:color w:val="auto"/>
          <w:highlight w:val="none"/>
        </w:rPr>
      </w:pPr>
      <w:r>
        <w:rPr>
          <w:rFonts w:hint="eastAsia"/>
          <w:color w:val="auto"/>
          <w:highlight w:val="none"/>
        </w:rPr>
        <w:t>二、招标文件</w:t>
      </w:r>
    </w:p>
    <w:p>
      <w:pPr>
        <w:pStyle w:val="26"/>
        <w:ind w:firstLine="210"/>
        <w:rPr>
          <w:color w:val="auto"/>
          <w:highlight w:val="none"/>
        </w:rPr>
      </w:pPr>
      <w:r>
        <w:rPr>
          <w:rFonts w:hint="eastAsia"/>
          <w:color w:val="auto"/>
          <w:highlight w:val="none"/>
        </w:rPr>
        <w:t>三、投标文件</w:t>
      </w:r>
    </w:p>
    <w:p>
      <w:pPr>
        <w:pStyle w:val="26"/>
        <w:ind w:firstLine="210"/>
        <w:rPr>
          <w:color w:val="auto"/>
          <w:highlight w:val="none"/>
        </w:rPr>
      </w:pPr>
      <w:r>
        <w:rPr>
          <w:rFonts w:hint="eastAsia"/>
          <w:color w:val="auto"/>
          <w:highlight w:val="none"/>
        </w:rPr>
        <w:t>四、投标</w:t>
      </w:r>
    </w:p>
    <w:p>
      <w:pPr>
        <w:pStyle w:val="26"/>
        <w:ind w:firstLine="210"/>
        <w:rPr>
          <w:color w:val="auto"/>
          <w:highlight w:val="none"/>
        </w:rPr>
      </w:pPr>
      <w:r>
        <w:rPr>
          <w:rFonts w:hint="eastAsia"/>
          <w:color w:val="auto"/>
          <w:highlight w:val="none"/>
        </w:rPr>
        <w:t>五、开标</w:t>
      </w:r>
    </w:p>
    <w:p>
      <w:pPr>
        <w:pStyle w:val="26"/>
        <w:ind w:firstLine="210"/>
        <w:rPr>
          <w:color w:val="auto"/>
          <w:highlight w:val="none"/>
        </w:rPr>
      </w:pPr>
      <w:r>
        <w:rPr>
          <w:rFonts w:hint="eastAsia"/>
          <w:color w:val="auto"/>
          <w:highlight w:val="none"/>
        </w:rPr>
        <w:t>六、评标</w:t>
      </w:r>
    </w:p>
    <w:p>
      <w:pPr>
        <w:pStyle w:val="26"/>
        <w:ind w:firstLine="210"/>
        <w:rPr>
          <w:color w:val="auto"/>
          <w:highlight w:val="none"/>
        </w:rPr>
      </w:pPr>
      <w:r>
        <w:rPr>
          <w:rFonts w:hint="eastAsia"/>
          <w:color w:val="auto"/>
          <w:highlight w:val="none"/>
        </w:rPr>
        <w:t>七、授予合同</w:t>
      </w:r>
    </w:p>
    <w:p>
      <w:pPr>
        <w:pStyle w:val="26"/>
        <w:ind w:firstLine="210"/>
        <w:rPr>
          <w:color w:val="auto"/>
          <w:highlight w:val="none"/>
        </w:rPr>
      </w:pPr>
      <w:r>
        <w:rPr>
          <w:rFonts w:hint="eastAsia"/>
          <w:color w:val="auto"/>
          <w:highlight w:val="none"/>
        </w:rPr>
        <w:t>八、重新招标和不再招标</w:t>
      </w:r>
    </w:p>
    <w:p>
      <w:pPr>
        <w:pStyle w:val="26"/>
        <w:ind w:firstLine="210"/>
        <w:rPr>
          <w:color w:val="auto"/>
          <w:highlight w:val="none"/>
        </w:rPr>
      </w:pPr>
      <w:r>
        <w:rPr>
          <w:rFonts w:hint="eastAsia"/>
          <w:color w:val="auto"/>
          <w:highlight w:val="none"/>
        </w:rPr>
        <w:t>九、纪律和监督</w:t>
      </w:r>
    </w:p>
    <w:p>
      <w:pPr>
        <w:pStyle w:val="26"/>
        <w:ind w:firstLine="210"/>
        <w:rPr>
          <w:color w:val="auto"/>
          <w:highlight w:val="none"/>
        </w:rPr>
      </w:pPr>
      <w:r>
        <w:rPr>
          <w:rFonts w:hint="eastAsia"/>
          <w:color w:val="auto"/>
          <w:highlight w:val="none"/>
        </w:rPr>
        <w:t>十、需要补充和其他内容</w:t>
      </w:r>
    </w:p>
    <w:p>
      <w:pPr>
        <w:pStyle w:val="26"/>
        <w:ind w:firstLine="210"/>
        <w:rPr>
          <w:color w:val="auto"/>
          <w:highlight w:val="none"/>
        </w:rPr>
      </w:pPr>
      <w:r>
        <w:rPr>
          <w:rFonts w:hint="eastAsia"/>
          <w:color w:val="auto"/>
          <w:highlight w:val="none"/>
        </w:rPr>
        <w:t>第三章  评标办法（综合评估法）</w:t>
      </w:r>
    </w:p>
    <w:p>
      <w:pPr>
        <w:pStyle w:val="26"/>
        <w:ind w:firstLine="210"/>
        <w:rPr>
          <w:color w:val="auto"/>
          <w:highlight w:val="none"/>
        </w:rPr>
      </w:pPr>
      <w:r>
        <w:rPr>
          <w:rFonts w:hint="eastAsia"/>
          <w:color w:val="auto"/>
          <w:highlight w:val="none"/>
        </w:rPr>
        <w:t>第四章  合同主要协议条款</w:t>
      </w:r>
    </w:p>
    <w:p>
      <w:pPr>
        <w:pStyle w:val="26"/>
        <w:ind w:firstLine="210"/>
        <w:rPr>
          <w:color w:val="auto"/>
          <w:highlight w:val="none"/>
        </w:rPr>
      </w:pPr>
      <w:r>
        <w:rPr>
          <w:rFonts w:hint="eastAsia"/>
          <w:color w:val="auto"/>
          <w:highlight w:val="none"/>
        </w:rPr>
        <w:t>第五章  工程量清单</w:t>
      </w:r>
    </w:p>
    <w:p>
      <w:pPr>
        <w:pStyle w:val="26"/>
        <w:ind w:firstLine="210"/>
        <w:rPr>
          <w:color w:val="auto"/>
          <w:highlight w:val="none"/>
        </w:rPr>
      </w:pPr>
      <w:r>
        <w:rPr>
          <w:rFonts w:hint="eastAsia"/>
          <w:color w:val="auto"/>
          <w:highlight w:val="none"/>
        </w:rPr>
        <w:t>第六章  图纸</w:t>
      </w:r>
    </w:p>
    <w:p>
      <w:pPr>
        <w:pStyle w:val="26"/>
        <w:ind w:firstLine="210"/>
        <w:rPr>
          <w:color w:val="auto"/>
          <w:highlight w:val="none"/>
        </w:rPr>
      </w:pPr>
      <w:r>
        <w:rPr>
          <w:rFonts w:hint="eastAsia"/>
          <w:color w:val="auto"/>
          <w:highlight w:val="none"/>
        </w:rPr>
        <w:t>第七章  技术标准和要求</w:t>
      </w:r>
    </w:p>
    <w:p>
      <w:pPr>
        <w:pStyle w:val="26"/>
        <w:ind w:firstLine="210"/>
        <w:rPr>
          <w:color w:val="auto"/>
          <w:highlight w:val="none"/>
        </w:rPr>
      </w:pPr>
      <w:r>
        <w:rPr>
          <w:rFonts w:hint="eastAsia"/>
          <w:color w:val="auto"/>
          <w:highlight w:val="none"/>
        </w:rPr>
        <w:t>第八章  投标文件格式</w:t>
      </w:r>
    </w:p>
    <w:p>
      <w:pPr>
        <w:rPr>
          <w:color w:val="auto"/>
          <w:highlight w:val="none"/>
        </w:rPr>
        <w:sectPr>
          <w:footerReference r:id="rId5" w:type="first"/>
          <w:footerReference r:id="rId3" w:type="default"/>
          <w:footerReference r:id="rId4" w:type="even"/>
          <w:pgSz w:w="11906" w:h="16838"/>
          <w:pgMar w:top="1588" w:right="1701" w:bottom="1418" w:left="1701" w:header="851" w:footer="851" w:gutter="0"/>
          <w:pgNumType w:start="1"/>
          <w:cols w:space="720" w:num="1"/>
          <w:titlePg/>
          <w:rtlGutter w:val="1"/>
          <w:docGrid w:type="lines" w:linePitch="312" w:charSpace="0"/>
        </w:sectPr>
      </w:pPr>
    </w:p>
    <w:p>
      <w:pPr>
        <w:keepNext/>
        <w:keepLines/>
        <w:spacing w:before="340" w:after="330" w:line="576" w:lineRule="auto"/>
        <w:jc w:val="center"/>
        <w:outlineLvl w:val="0"/>
        <w:rPr>
          <w:rFonts w:ascii="宋体" w:hAnsi="宋体" w:cs="宋体"/>
          <w:color w:val="auto"/>
          <w:szCs w:val="21"/>
          <w:highlight w:val="none"/>
        </w:rPr>
      </w:pPr>
      <w:r>
        <w:rPr>
          <w:rFonts w:hint="eastAsia" w:ascii="宋体" w:hAnsi="宋体" w:cs="宋体"/>
          <w:b/>
          <w:bCs/>
          <w:color w:val="auto"/>
          <w:kern w:val="44"/>
          <w:sz w:val="32"/>
          <w:szCs w:val="32"/>
          <w:highlight w:val="none"/>
        </w:rPr>
        <w:t>第一章  招标公告</w:t>
      </w:r>
    </w:p>
    <w:p>
      <w:pPr>
        <w:shd w:val="clear" w:color="auto" w:fill="FFFFFF"/>
        <w:snapToGrid w:val="0"/>
        <w:spacing w:line="288"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越兴路1# 、2# 泵站及进出水管新建工程(越兴路2#泵站)设备材料采购招标公告</w:t>
      </w:r>
    </w:p>
    <w:p>
      <w:pPr>
        <w:shd w:val="clear" w:color="auto" w:fill="FFFFFF"/>
        <w:spacing w:line="340" w:lineRule="exact"/>
        <w:jc w:val="center"/>
        <w:rPr>
          <w:rFonts w:ascii="宋体" w:hAnsi="宋体" w:cs="宋体"/>
          <w:color w:val="auto"/>
          <w:sz w:val="18"/>
          <w:szCs w:val="18"/>
          <w:highlight w:val="none"/>
          <w:u w:val="single"/>
        </w:rPr>
      </w:pP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1.招标条件</w:t>
      </w:r>
    </w:p>
    <w:p>
      <w:pPr>
        <w:widowControl/>
        <w:shd w:val="clear" w:color="auto" w:fill="FFFFFF"/>
        <w:snapToGrid w:val="0"/>
        <w:spacing w:line="336"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本招标项目</w:t>
      </w:r>
      <w:r>
        <w:rPr>
          <w:rFonts w:hint="eastAsia" w:ascii="宋体" w:hAnsi="宋体" w:cs="宋体"/>
          <w:b/>
          <w:bCs/>
          <w:color w:val="auto"/>
          <w:kern w:val="0"/>
          <w:szCs w:val="21"/>
          <w:highlight w:val="none"/>
          <w:u w:val="single"/>
        </w:rPr>
        <w:t>越兴路1# 、2# 泵站及进出水管新建工程</w:t>
      </w:r>
      <w:r>
        <w:rPr>
          <w:rFonts w:hint="eastAsia" w:ascii="宋体" w:hAnsi="宋体" w:cs="宋体"/>
          <w:color w:val="auto"/>
          <w:kern w:val="0"/>
          <w:szCs w:val="21"/>
          <w:highlight w:val="none"/>
        </w:rPr>
        <w:t>（项目名称）已由</w:t>
      </w:r>
      <w:r>
        <w:rPr>
          <w:rFonts w:hint="eastAsia" w:ascii="宋体" w:hAnsi="宋体" w:cs="宋体"/>
          <w:b/>
          <w:color w:val="auto"/>
          <w:kern w:val="0"/>
          <w:szCs w:val="21"/>
          <w:highlight w:val="none"/>
          <w:u w:val="single"/>
        </w:rPr>
        <w:t>绍兴市越城区发展和改革局</w:t>
      </w:r>
      <w:r>
        <w:rPr>
          <w:rFonts w:hint="eastAsia" w:ascii="宋体" w:hAnsi="宋体" w:cs="宋体"/>
          <w:color w:val="auto"/>
          <w:kern w:val="0"/>
          <w:szCs w:val="21"/>
          <w:highlight w:val="none"/>
          <w:u w:val="single"/>
        </w:rPr>
        <w:t>（</w:t>
      </w:r>
      <w:r>
        <w:rPr>
          <w:rFonts w:hint="eastAsia" w:ascii="宋体" w:hAnsi="宋体" w:cs="宋体"/>
          <w:color w:val="auto"/>
          <w:kern w:val="0"/>
          <w:szCs w:val="21"/>
          <w:highlight w:val="none"/>
        </w:rPr>
        <w:t>项目审批、核准或备案机关名称）以</w:t>
      </w:r>
      <w:r>
        <w:rPr>
          <w:rFonts w:hint="eastAsia" w:ascii="宋体" w:hAnsi="宋体" w:cs="宋体"/>
          <w:b/>
          <w:bCs/>
          <w:color w:val="auto"/>
          <w:kern w:val="0"/>
          <w:szCs w:val="21"/>
          <w:highlight w:val="none"/>
          <w:u w:val="single"/>
        </w:rPr>
        <w:t xml:space="preserve">2112-330602-04-01-120981 </w:t>
      </w:r>
      <w:r>
        <w:rPr>
          <w:rFonts w:hint="eastAsia" w:ascii="宋体" w:hAnsi="宋体" w:cs="宋体"/>
          <w:color w:val="auto"/>
          <w:kern w:val="0"/>
          <w:szCs w:val="21"/>
          <w:highlight w:val="none"/>
        </w:rPr>
        <w:t>（批文名称及编号）批准建设，</w:t>
      </w:r>
      <w:r>
        <w:rPr>
          <w:rFonts w:hint="eastAsia" w:ascii="宋体" w:hAnsi="宋体" w:cs="宋体"/>
          <w:bCs/>
          <w:color w:val="auto"/>
          <w:szCs w:val="21"/>
          <w:highlight w:val="none"/>
        </w:rPr>
        <w:t>项目业主为</w:t>
      </w:r>
      <w:r>
        <w:rPr>
          <w:rFonts w:hint="eastAsia" w:ascii="宋体" w:hAnsi="宋体" w:cs="宋体"/>
          <w:b/>
          <w:color w:val="auto"/>
          <w:szCs w:val="21"/>
          <w:highlight w:val="none"/>
          <w:u w:val="single"/>
        </w:rPr>
        <w:t>绍兴市水务产业有限公司排水分公司</w:t>
      </w:r>
      <w:r>
        <w:rPr>
          <w:rFonts w:hint="eastAsia" w:ascii="宋体" w:hAnsi="宋体" w:cs="宋体"/>
          <w:color w:val="auto"/>
          <w:kern w:val="0"/>
          <w:szCs w:val="21"/>
          <w:highlight w:val="none"/>
        </w:rPr>
        <w:t>，建设资金来自</w:t>
      </w:r>
      <w:r>
        <w:rPr>
          <w:rFonts w:hint="eastAsia" w:ascii="宋体" w:hAnsi="宋体" w:cs="宋体"/>
          <w:b/>
          <w:color w:val="auto"/>
          <w:kern w:val="0"/>
          <w:szCs w:val="21"/>
          <w:highlight w:val="none"/>
          <w:u w:val="single"/>
        </w:rPr>
        <w:t xml:space="preserve">自筹 </w:t>
      </w:r>
      <w:r>
        <w:rPr>
          <w:rFonts w:hint="eastAsia" w:ascii="宋体" w:hAnsi="宋体" w:cs="宋体"/>
          <w:color w:val="auto"/>
          <w:kern w:val="0"/>
          <w:szCs w:val="21"/>
          <w:highlight w:val="none"/>
        </w:rPr>
        <w:t>（资金来源），项目出资比例为</w:t>
      </w:r>
      <w:r>
        <w:rPr>
          <w:rFonts w:hint="eastAsia" w:ascii="宋体" w:hAnsi="宋体" w:cs="宋体"/>
          <w:b/>
          <w:color w:val="auto"/>
          <w:kern w:val="0"/>
          <w:szCs w:val="21"/>
          <w:highlight w:val="none"/>
          <w:u w:val="single"/>
        </w:rPr>
        <w:t xml:space="preserve">100%  </w:t>
      </w:r>
      <w:r>
        <w:rPr>
          <w:rFonts w:hint="eastAsia" w:ascii="宋体" w:hAnsi="宋体" w:cs="宋体"/>
          <w:color w:val="auto"/>
          <w:kern w:val="0"/>
          <w:szCs w:val="21"/>
          <w:highlight w:val="none"/>
        </w:rPr>
        <w:t>，招标人为</w:t>
      </w:r>
      <w:r>
        <w:rPr>
          <w:rFonts w:hint="eastAsia" w:ascii="宋体" w:hAnsi="宋体" w:cs="宋体"/>
          <w:b/>
          <w:color w:val="auto"/>
          <w:szCs w:val="21"/>
          <w:highlight w:val="none"/>
          <w:u w:val="single"/>
        </w:rPr>
        <w:t>绍兴市水务产业有限公司排水分公司</w:t>
      </w:r>
      <w:r>
        <w:rPr>
          <w:rFonts w:hint="eastAsia" w:ascii="宋体" w:hAnsi="宋体" w:cs="宋体"/>
          <w:color w:val="auto"/>
          <w:kern w:val="0"/>
          <w:szCs w:val="21"/>
          <w:highlight w:val="none"/>
        </w:rPr>
        <w:t>。项目已具备招标条件，现对该项目的</w:t>
      </w:r>
      <w:r>
        <w:rPr>
          <w:rFonts w:hint="eastAsia" w:ascii="宋体" w:hAnsi="宋体" w:cs="宋体"/>
          <w:b/>
          <w:bCs/>
          <w:color w:val="auto"/>
          <w:kern w:val="0"/>
          <w:szCs w:val="21"/>
          <w:highlight w:val="none"/>
          <w:u w:val="single"/>
        </w:rPr>
        <w:t xml:space="preserve">(越兴路2#泵站)设备材料采购 </w:t>
      </w:r>
      <w:r>
        <w:rPr>
          <w:rFonts w:hint="eastAsia" w:ascii="宋体" w:hAnsi="宋体" w:cs="宋体"/>
          <w:color w:val="auto"/>
          <w:kern w:val="0"/>
          <w:szCs w:val="21"/>
          <w:highlight w:val="none"/>
        </w:rPr>
        <w:t>进行</w:t>
      </w:r>
      <w:r>
        <w:rPr>
          <w:rFonts w:hint="eastAsia" w:ascii="宋体" w:hAnsi="宋体" w:cs="宋体"/>
          <w:b/>
          <w:color w:val="auto"/>
          <w:szCs w:val="21"/>
          <w:highlight w:val="none"/>
          <w:u w:val="single"/>
        </w:rPr>
        <w:t xml:space="preserve"> 公开</w:t>
      </w:r>
      <w:r>
        <w:rPr>
          <w:rFonts w:hint="eastAsia" w:ascii="宋体" w:hAnsi="宋体" w:cs="宋体"/>
          <w:color w:val="auto"/>
          <w:kern w:val="0"/>
          <w:szCs w:val="21"/>
          <w:highlight w:val="none"/>
        </w:rPr>
        <w:t>招标。</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2.项目概况与招标范围</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2.1 建设地点：</w:t>
      </w:r>
      <w:r>
        <w:rPr>
          <w:rFonts w:hint="eastAsia" w:ascii="宋体" w:hAnsi="宋体" w:cs="宋体"/>
          <w:b/>
          <w:bCs/>
          <w:color w:val="auto"/>
          <w:kern w:val="0"/>
          <w:szCs w:val="21"/>
          <w:highlight w:val="none"/>
          <w:u w:val="single"/>
        </w:rPr>
        <w:t>绍兴市越兴路与三江路交叉口西北角。</w:t>
      </w:r>
    </w:p>
    <w:p>
      <w:pPr>
        <w:widowControl/>
        <w:shd w:val="clear" w:color="auto" w:fill="FFFFFF"/>
        <w:snapToGrid w:val="0"/>
        <w:spacing w:line="336" w:lineRule="auto"/>
        <w:rPr>
          <w:rFonts w:ascii="宋体" w:hAnsi="宋体" w:cs="宋体"/>
          <w:b/>
          <w:bCs/>
          <w:color w:val="auto"/>
          <w:kern w:val="0"/>
          <w:szCs w:val="21"/>
          <w:highlight w:val="none"/>
          <w:u w:val="single"/>
        </w:rPr>
      </w:pPr>
      <w:r>
        <w:rPr>
          <w:rFonts w:hint="eastAsia" w:ascii="宋体" w:hAnsi="宋体" w:cs="宋体"/>
          <w:color w:val="auto"/>
          <w:kern w:val="0"/>
          <w:szCs w:val="21"/>
          <w:highlight w:val="none"/>
        </w:rPr>
        <w:t>2.2 建设规模：</w:t>
      </w:r>
      <w:r>
        <w:rPr>
          <w:rFonts w:hint="eastAsia" w:ascii="宋体" w:hAnsi="宋体" w:cs="宋体"/>
          <w:b/>
          <w:bCs/>
          <w:color w:val="auto"/>
          <w:kern w:val="0"/>
          <w:szCs w:val="21"/>
          <w:highlight w:val="none"/>
          <w:u w:val="single"/>
        </w:rPr>
        <w:t>越兴路1# 、2# 泵站及进出水管新建工程(越兴路2#泵站)是绍兴集成电路产业园高新区块主要排放通道，工程总设计规模6万 m</w:t>
      </w:r>
      <w:r>
        <w:rPr>
          <w:rFonts w:hint="eastAsia" w:ascii="宋体" w:hAnsi="宋体" w:cs="宋体"/>
          <w:b/>
          <w:bCs/>
          <w:color w:val="auto"/>
          <w:kern w:val="0"/>
          <w:szCs w:val="21"/>
          <w:highlight w:val="none"/>
          <w:u w:val="single"/>
          <w:vertAlign w:val="superscript"/>
        </w:rPr>
        <w:t>3</w:t>
      </w:r>
      <w:r>
        <w:rPr>
          <w:rFonts w:hint="eastAsia" w:ascii="宋体" w:hAnsi="宋体" w:cs="宋体"/>
          <w:b/>
          <w:bCs/>
          <w:color w:val="auto"/>
          <w:kern w:val="0"/>
          <w:szCs w:val="21"/>
          <w:highlight w:val="none"/>
          <w:u w:val="single"/>
        </w:rPr>
        <w:t>/d。泵站总用地面积约4900 平方米，总建筑面积约1899.74平方米。工程建设内容包括新建地埋式泵池，应急池。配电房、管理用房，配套建设泵站进出水管及场外道路、配套管线等其他附属设施</w:t>
      </w:r>
      <w:r>
        <w:rPr>
          <w:rFonts w:hint="eastAsia" w:ascii="宋体" w:hAnsi="宋体" w:cs="宋体"/>
          <w:b/>
          <w:bCs/>
          <w:color w:val="auto"/>
          <w:kern w:val="0"/>
          <w:szCs w:val="21"/>
          <w:highlight w:val="none"/>
          <w:u w:val="single"/>
          <w:lang w:eastAsia="zh-CN"/>
        </w:rPr>
        <w:t>；</w:t>
      </w:r>
      <w:r>
        <w:rPr>
          <w:rFonts w:hint="eastAsia" w:ascii="宋体" w:hAnsi="宋体" w:cs="宋体"/>
          <w:b/>
          <w:bCs/>
          <w:color w:val="FF0000"/>
          <w:kern w:val="0"/>
          <w:szCs w:val="21"/>
          <w:highlight w:val="none"/>
          <w:u w:val="single"/>
          <w:lang w:val="en-US" w:eastAsia="zh-CN"/>
        </w:rPr>
        <w:t>其中设备材料</w:t>
      </w:r>
      <w:r>
        <w:rPr>
          <w:rFonts w:hint="eastAsia" w:ascii="宋体" w:hAnsi="宋体" w:cs="宋体"/>
          <w:b/>
          <w:bCs/>
          <w:color w:val="FF0000"/>
          <w:kern w:val="0"/>
          <w:szCs w:val="21"/>
          <w:highlight w:val="none"/>
          <w:u w:val="single"/>
        </w:rPr>
        <w:t>钢管</w:t>
      </w:r>
      <w:r>
        <w:rPr>
          <w:rFonts w:hint="eastAsia" w:ascii="宋体" w:hAnsi="宋体" w:cs="宋体"/>
          <w:b/>
          <w:bCs/>
          <w:color w:val="FF0000"/>
          <w:kern w:val="0"/>
          <w:szCs w:val="21"/>
          <w:highlight w:val="none"/>
          <w:u w:val="single"/>
          <w:lang w:val="en-US" w:eastAsia="zh-CN"/>
        </w:rPr>
        <w:t>约172米、潜水排污泵约6只、格栅约2台、启闭机约5台、电动葫芦约1套</w:t>
      </w:r>
      <w:r>
        <w:rPr>
          <w:rFonts w:hint="eastAsia" w:ascii="宋体" w:hAnsi="宋体" w:cs="宋体"/>
          <w:b/>
          <w:bCs/>
          <w:color w:val="auto"/>
          <w:kern w:val="0"/>
          <w:szCs w:val="21"/>
          <w:highlight w:val="none"/>
          <w:u w:val="single"/>
        </w:rPr>
        <w:t>。</w:t>
      </w:r>
    </w:p>
    <w:p>
      <w:pPr>
        <w:widowControl/>
        <w:shd w:val="clear" w:color="auto" w:fill="FFFFFF"/>
        <w:snapToGrid w:val="0"/>
        <w:spacing w:line="336" w:lineRule="auto"/>
        <w:rPr>
          <w:rFonts w:ascii="宋体" w:hAnsi="宋体" w:cs="宋体"/>
          <w:bCs/>
          <w:color w:val="auto"/>
          <w:highlight w:val="none"/>
        </w:rPr>
      </w:pPr>
      <w:r>
        <w:rPr>
          <w:rFonts w:hint="eastAsia" w:ascii="宋体" w:hAnsi="宋体" w:cs="宋体"/>
          <w:bCs/>
          <w:color w:val="auto"/>
          <w:highlight w:val="none"/>
        </w:rPr>
        <w:t>2.3招标范围：</w:t>
      </w:r>
      <w:r>
        <w:rPr>
          <w:rFonts w:hint="eastAsia" w:ascii="宋体" w:hAnsi="宋体" w:cs="宋体"/>
          <w:b/>
          <w:color w:val="auto"/>
          <w:highlight w:val="none"/>
          <w:u w:val="single"/>
        </w:rPr>
        <w:t>本项目设备、材料采购包括：</w:t>
      </w:r>
      <w:r>
        <w:rPr>
          <w:rFonts w:hint="eastAsia" w:ascii="宋体" w:hAnsi="宋体" w:cs="宋体"/>
          <w:b/>
          <w:color w:val="0000FF"/>
          <w:highlight w:val="none"/>
          <w:u w:val="single"/>
          <w:lang w:val="en-US" w:eastAsia="zh-CN"/>
        </w:rPr>
        <w:t>HDPE双臂波纹管、</w:t>
      </w:r>
      <w:r>
        <w:rPr>
          <w:rFonts w:hint="eastAsia" w:ascii="宋体" w:hAnsi="宋体" w:cs="宋体"/>
          <w:b/>
          <w:color w:val="auto"/>
          <w:highlight w:val="none"/>
          <w:u w:val="single"/>
        </w:rPr>
        <w:t>钢管及配件、</w:t>
      </w:r>
      <w:r>
        <w:rPr>
          <w:rFonts w:hint="eastAsia" w:ascii="宋体" w:hAnsi="宋体" w:cs="宋体"/>
          <w:b/>
          <w:color w:val="0000FF"/>
          <w:highlight w:val="none"/>
          <w:u w:val="single"/>
          <w:lang w:eastAsia="zh-CN"/>
        </w:rPr>
        <w:t>潜水排污泵</w:t>
      </w:r>
      <w:r>
        <w:rPr>
          <w:rFonts w:hint="eastAsia" w:ascii="宋体" w:hAnsi="宋体" w:cs="宋体"/>
          <w:b/>
          <w:color w:val="auto"/>
          <w:highlight w:val="none"/>
          <w:u w:val="single"/>
        </w:rPr>
        <w:t>、格栅、闸门、阀门、</w:t>
      </w:r>
      <w:r>
        <w:rPr>
          <w:rFonts w:hint="eastAsia" w:ascii="宋体" w:hAnsi="宋体" w:cs="宋体"/>
          <w:b/>
          <w:color w:val="0000FF"/>
          <w:highlight w:val="none"/>
          <w:u w:val="single"/>
          <w:lang w:eastAsia="zh-CN"/>
        </w:rPr>
        <w:t>启闭机、电动葫芦、水位仪、</w:t>
      </w:r>
      <w:r>
        <w:rPr>
          <w:rFonts w:hint="eastAsia" w:ascii="宋体" w:hAnsi="宋体" w:cs="宋体"/>
          <w:b/>
          <w:color w:val="auto"/>
          <w:highlight w:val="none"/>
          <w:u w:val="single"/>
        </w:rPr>
        <w:t>除臭系统及自控安防系统等设备材料的供货、运输、安装（指导安装调试）调试、售后服务等。详细内容参见本材料清单和施工图。</w:t>
      </w:r>
    </w:p>
    <w:p>
      <w:pPr>
        <w:widowControl/>
        <w:shd w:val="clear" w:color="auto" w:fill="FFFFFF"/>
        <w:snapToGrid w:val="0"/>
        <w:spacing w:line="336" w:lineRule="auto"/>
        <w:rPr>
          <w:rFonts w:ascii="宋体" w:hAnsi="宋体" w:cs="宋体"/>
          <w:bCs/>
          <w:color w:val="auto"/>
          <w:highlight w:val="none"/>
        </w:rPr>
      </w:pPr>
      <w:r>
        <w:rPr>
          <w:rFonts w:hint="eastAsia" w:ascii="宋体" w:hAnsi="宋体" w:cs="宋体"/>
          <w:bCs/>
          <w:color w:val="auto"/>
          <w:highlight w:val="none"/>
        </w:rPr>
        <w:t>本项目</w:t>
      </w:r>
      <w:r>
        <w:rPr>
          <w:rFonts w:hint="eastAsia" w:ascii="宋体" w:hAnsi="宋体" w:cs="宋体"/>
          <w:color w:val="auto"/>
          <w:kern w:val="0"/>
          <w:szCs w:val="21"/>
          <w:highlight w:val="none"/>
        </w:rPr>
        <w:t>招标控制价：</w:t>
      </w:r>
      <w:r>
        <w:rPr>
          <w:rFonts w:hint="eastAsia" w:ascii="宋体" w:hAnsi="宋体" w:cs="宋体"/>
          <w:b/>
          <w:color w:val="auto"/>
          <w:szCs w:val="21"/>
          <w:highlight w:val="none"/>
          <w:u w:val="single"/>
          <w:lang w:bidi="ar"/>
        </w:rPr>
        <w:t>644.3431</w:t>
      </w:r>
      <w:r>
        <w:rPr>
          <w:rFonts w:hint="eastAsia" w:ascii="宋体" w:hAnsi="宋体" w:cs="宋体"/>
          <w:b/>
          <w:color w:val="auto"/>
          <w:szCs w:val="21"/>
          <w:highlight w:val="none"/>
          <w:u w:val="single"/>
        </w:rPr>
        <w:t>万</w:t>
      </w:r>
      <w:r>
        <w:rPr>
          <w:rFonts w:hint="eastAsia" w:ascii="宋体" w:hAnsi="宋体" w:cs="宋体"/>
          <w:b/>
          <w:color w:val="auto"/>
          <w:kern w:val="0"/>
          <w:szCs w:val="21"/>
          <w:highlight w:val="none"/>
        </w:rPr>
        <w:t>元</w:t>
      </w:r>
      <w:r>
        <w:rPr>
          <w:rFonts w:hint="eastAsia" w:ascii="宋体" w:hAnsi="宋体" w:cs="宋体"/>
          <w:b/>
          <w:bCs/>
          <w:color w:val="auto"/>
          <w:kern w:val="0"/>
          <w:szCs w:val="21"/>
          <w:highlight w:val="none"/>
        </w:rPr>
        <w:t>。</w:t>
      </w:r>
    </w:p>
    <w:p>
      <w:pPr>
        <w:widowControl/>
        <w:shd w:val="clear" w:color="auto" w:fill="FFFFFF"/>
        <w:snapToGrid w:val="0"/>
        <w:spacing w:line="336" w:lineRule="auto"/>
        <w:rPr>
          <w:rFonts w:ascii="宋体" w:hAnsi="宋体" w:cs="宋体"/>
          <w:b/>
          <w:bCs/>
          <w:color w:val="auto"/>
          <w:szCs w:val="21"/>
          <w:highlight w:val="none"/>
          <w:u w:val="single"/>
        </w:rPr>
      </w:pPr>
      <w:r>
        <w:rPr>
          <w:rFonts w:hint="eastAsia" w:ascii="宋体" w:hAnsi="宋体" w:cs="宋体"/>
          <w:color w:val="auto"/>
          <w:kern w:val="0"/>
          <w:szCs w:val="21"/>
          <w:highlight w:val="none"/>
        </w:rPr>
        <w:t>2.4计划工期：</w:t>
      </w:r>
      <w:r>
        <w:rPr>
          <w:rFonts w:hint="eastAsia" w:ascii="宋体" w:hAnsi="宋体" w:cs="宋体"/>
          <w:b/>
          <w:bCs/>
          <w:color w:val="auto"/>
          <w:szCs w:val="21"/>
          <w:highlight w:val="none"/>
          <w:u w:val="single"/>
        </w:rPr>
        <w:t>收到招标人书面交货通知后14天内。一旦中标，中标人必须满足施工承包人施工总进度计划中的节点目标，具体设备交货时间待合同签订时由招标人确定。</w:t>
      </w:r>
    </w:p>
    <w:p>
      <w:pPr>
        <w:widowControl/>
        <w:shd w:val="clear" w:color="auto" w:fill="FFFFFF"/>
        <w:snapToGrid w:val="0"/>
        <w:spacing w:line="336" w:lineRule="auto"/>
        <w:rPr>
          <w:rFonts w:ascii="宋体" w:hAnsi="宋体" w:cs="宋体"/>
          <w:color w:val="auto"/>
          <w:kern w:val="0"/>
          <w:szCs w:val="21"/>
          <w:highlight w:val="none"/>
          <w:u w:val="single"/>
        </w:rPr>
      </w:pPr>
      <w:r>
        <w:rPr>
          <w:rFonts w:hint="eastAsia" w:ascii="宋体" w:hAnsi="宋体" w:cs="宋体"/>
          <w:color w:val="auto"/>
          <w:kern w:val="0"/>
          <w:szCs w:val="21"/>
          <w:highlight w:val="none"/>
        </w:rPr>
        <w:t>2.5 质量要求：</w:t>
      </w:r>
      <w:r>
        <w:rPr>
          <w:rFonts w:hint="eastAsia" w:ascii="宋体" w:hAnsi="宋体" w:cs="宋体"/>
          <w:b/>
          <w:color w:val="auto"/>
          <w:szCs w:val="21"/>
          <w:highlight w:val="none"/>
          <w:u w:val="single"/>
        </w:rPr>
        <w:t xml:space="preserve">合格 </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2.6标段划分：</w:t>
      </w:r>
      <w:r>
        <w:rPr>
          <w:rFonts w:hint="eastAsia" w:ascii="宋体" w:hAnsi="宋体" w:cs="宋体"/>
          <w:b/>
          <w:color w:val="auto"/>
          <w:szCs w:val="21"/>
          <w:highlight w:val="none"/>
          <w:u w:val="single"/>
        </w:rPr>
        <w:t xml:space="preserve"> /  </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2.7资格审查方式：</w:t>
      </w:r>
      <w:r>
        <w:rPr>
          <w:rFonts w:hint="eastAsia" w:ascii="宋体" w:hAnsi="宋体" w:cs="宋体"/>
          <w:b/>
          <w:color w:val="auto"/>
          <w:szCs w:val="21"/>
          <w:highlight w:val="none"/>
          <w:u w:val="single"/>
        </w:rPr>
        <w:t xml:space="preserve">  资格后审 </w:t>
      </w:r>
      <w:r>
        <w:rPr>
          <w:rFonts w:hint="eastAsia" w:ascii="宋体" w:hAnsi="宋体" w:cs="宋体"/>
          <w:color w:val="auto"/>
          <w:kern w:val="0"/>
          <w:szCs w:val="21"/>
          <w:highlight w:val="none"/>
          <w:u w:val="singl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3.投标人资格要求必须满足以下条件：</w:t>
      </w:r>
    </w:p>
    <w:p>
      <w:pPr>
        <w:widowControl/>
        <w:snapToGrid w:val="0"/>
        <w:spacing w:line="336"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3.1.1投标人</w:t>
      </w:r>
      <w:r>
        <w:rPr>
          <w:rFonts w:hint="eastAsia" w:ascii="宋体" w:hAnsi="宋体" w:cs="宋体"/>
          <w:b/>
          <w:bCs/>
          <w:color w:val="auto"/>
          <w:kern w:val="0"/>
          <w:szCs w:val="21"/>
          <w:highlight w:val="none"/>
          <w:u w:val="single"/>
        </w:rPr>
        <w:t>具有独立法人资格且有良好履约能力及售后服务体系的生产或销售供应商。</w:t>
      </w:r>
    </w:p>
    <w:p>
      <w:pPr>
        <w:widowControl/>
        <w:snapToGrid w:val="0"/>
        <w:spacing w:line="336"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3.1.2业绩要求：</w:t>
      </w:r>
      <w:r>
        <w:rPr>
          <w:rFonts w:hint="eastAsia" w:ascii="宋体" w:hAnsi="宋体" w:cs="宋体"/>
          <w:b/>
          <w:bCs/>
          <w:color w:val="auto"/>
          <w:kern w:val="0"/>
          <w:szCs w:val="21"/>
          <w:highlight w:val="none"/>
          <w:u w:val="single"/>
        </w:rPr>
        <w:t>投标人</w:t>
      </w:r>
      <w:r>
        <w:rPr>
          <w:rFonts w:hint="eastAsia" w:ascii="宋体" w:hAnsi="宋体" w:cs="宋体"/>
          <w:b/>
          <w:bCs/>
          <w:color w:val="0000FF"/>
          <w:kern w:val="0"/>
          <w:szCs w:val="21"/>
          <w:highlight w:val="none"/>
          <w:u w:val="single"/>
        </w:rPr>
        <w:t>自201</w:t>
      </w:r>
      <w:r>
        <w:rPr>
          <w:rFonts w:hint="eastAsia" w:ascii="宋体" w:hAnsi="宋体" w:cs="宋体"/>
          <w:b/>
          <w:bCs/>
          <w:color w:val="0000FF"/>
          <w:kern w:val="0"/>
          <w:szCs w:val="21"/>
          <w:highlight w:val="none"/>
          <w:u w:val="single"/>
          <w:lang w:val="en-US" w:eastAsia="zh-CN"/>
        </w:rPr>
        <w:t>9</w:t>
      </w:r>
      <w:r>
        <w:rPr>
          <w:rFonts w:hint="eastAsia" w:ascii="宋体" w:hAnsi="宋体" w:cs="宋体"/>
          <w:b/>
          <w:bCs/>
          <w:color w:val="0000FF"/>
          <w:kern w:val="0"/>
          <w:szCs w:val="21"/>
          <w:highlight w:val="none"/>
          <w:u w:val="single"/>
        </w:rPr>
        <w:t>年</w:t>
      </w:r>
      <w:r>
        <w:rPr>
          <w:rFonts w:hint="eastAsia" w:ascii="宋体" w:hAnsi="宋体" w:cs="宋体"/>
          <w:b/>
          <w:bCs/>
          <w:color w:val="0000FF"/>
          <w:kern w:val="0"/>
          <w:szCs w:val="21"/>
          <w:highlight w:val="none"/>
          <w:u w:val="single"/>
          <w:lang w:val="en-US" w:eastAsia="zh-CN"/>
        </w:rPr>
        <w:t>1</w:t>
      </w:r>
      <w:r>
        <w:rPr>
          <w:rFonts w:hint="eastAsia" w:ascii="宋体" w:hAnsi="宋体" w:cs="宋体"/>
          <w:b/>
          <w:bCs/>
          <w:color w:val="0000FF"/>
          <w:kern w:val="0"/>
          <w:szCs w:val="21"/>
          <w:highlight w:val="none"/>
          <w:u w:val="single"/>
        </w:rPr>
        <w:t>月1日</w:t>
      </w:r>
      <w:r>
        <w:rPr>
          <w:rFonts w:hint="eastAsia" w:ascii="宋体" w:hAnsi="宋体" w:cs="宋体"/>
          <w:b/>
          <w:bCs/>
          <w:color w:val="auto"/>
          <w:kern w:val="0"/>
          <w:szCs w:val="21"/>
          <w:highlight w:val="none"/>
          <w:u w:val="single"/>
        </w:rPr>
        <w:t>以来（以合同签订日期为准）,具有处理规模3万吨/日及以上的污水泵站或污水处理厂类似材料供货业绩【类似材料指含钢管、潜水排污泵、格栅、启闭机、电动葫芦不少于其中3项】。投标人须提供合同复印件为准。如上述材料中未能体现业绩特征的，则还须提供项目所在地行业主管部门或业主单位出具的证明复印件（需加盖提供单位盖章）。</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3.2主要设备、材料要求：</w:t>
      </w:r>
      <w:r>
        <w:rPr>
          <w:rFonts w:hint="eastAsia" w:ascii="宋体" w:hAnsi="宋体" w:cs="宋体"/>
          <w:color w:val="auto"/>
          <w:kern w:val="0"/>
          <w:szCs w:val="21"/>
          <w:highlight w:val="none"/>
          <w:u w:val="single"/>
        </w:rPr>
        <w:t xml:space="preserve"> </w:t>
      </w:r>
      <w:r>
        <w:rPr>
          <w:rFonts w:hint="eastAsia" w:ascii="宋体" w:hAnsi="宋体" w:cs="宋体"/>
          <w:b/>
          <w:bCs/>
          <w:color w:val="auto"/>
          <w:kern w:val="0"/>
          <w:szCs w:val="21"/>
          <w:highlight w:val="none"/>
          <w:u w:val="single"/>
        </w:rPr>
        <w:t xml:space="preserve">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3.3其他要求：</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3.3.1企业</w:t>
      </w:r>
      <w:r>
        <w:rPr>
          <w:rFonts w:hint="eastAsia" w:ascii="宋体" w:hAnsi="宋体" w:cs="宋体"/>
          <w:color w:val="auto"/>
          <w:kern w:val="0"/>
          <w:szCs w:val="21"/>
          <w:highlight w:val="none"/>
          <w:lang w:val="en-US" w:eastAsia="zh-CN"/>
        </w:rPr>
        <w:t>完成绍兴市工程建设项目招投标统一市场主体库注册登记</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3.3.2企业需要</w:t>
      </w:r>
      <w:r>
        <w:rPr>
          <w:rFonts w:hint="eastAsia" w:ascii="宋体" w:hAnsi="宋体" w:cs="宋体"/>
          <w:color w:val="auto"/>
          <w:kern w:val="0"/>
          <w:szCs w:val="21"/>
          <w:highlight w:val="none"/>
          <w:u w:val="single"/>
        </w:rPr>
        <w:t xml:space="preserve"> </w:t>
      </w:r>
      <w:r>
        <w:rPr>
          <w:rFonts w:hint="eastAsia" w:ascii="宋体" w:hAnsi="宋体" w:cs="宋体"/>
          <w:bCs/>
          <w:color w:val="auto"/>
          <w:kern w:val="0"/>
          <w:szCs w:val="21"/>
          <w:highlight w:val="none"/>
          <w:u w:val="single"/>
        </w:rPr>
        <w:t xml:space="preserve">/ </w:t>
      </w:r>
      <w:r>
        <w:rPr>
          <w:rFonts w:hint="eastAsia" w:ascii="宋体" w:hAnsi="宋体" w:cs="宋体"/>
          <w:color w:val="auto"/>
          <w:kern w:val="0"/>
          <w:szCs w:val="21"/>
          <w:highlight w:val="none"/>
        </w:rPr>
        <w:t>，项目负责人</w:t>
      </w:r>
      <w:r>
        <w:rPr>
          <w:rFonts w:hint="eastAsia" w:ascii="宋体" w:hAnsi="宋体" w:cs="宋体"/>
          <w:color w:val="auto"/>
          <w:kern w:val="0"/>
          <w:szCs w:val="21"/>
          <w:highlight w:val="none"/>
          <w:u w:val="single"/>
        </w:rPr>
        <w:t xml:space="preserve"> </w:t>
      </w:r>
      <w:r>
        <w:rPr>
          <w:rFonts w:hint="eastAsia" w:ascii="宋体" w:hAnsi="宋体" w:cs="宋体"/>
          <w:bCs/>
          <w:color w:val="auto"/>
          <w:szCs w:val="21"/>
          <w:highlight w:val="none"/>
          <w:u w:val="single"/>
        </w:rPr>
        <w:t>/</w:t>
      </w:r>
      <w:r>
        <w:rPr>
          <w:rFonts w:hint="eastAsia" w:ascii="宋体" w:hAnsi="宋体" w:cs="宋体"/>
          <w:b/>
          <w:color w:val="auto"/>
          <w:szCs w:val="21"/>
          <w:highlight w:val="none"/>
          <w:u w:val="single"/>
        </w:rPr>
        <w:t xml:space="preserve"> </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3.3.3企业在</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日前与</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签订劳动者工资保障金管理协议。</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3.4 本次招标</w:t>
      </w:r>
      <w:r>
        <w:rPr>
          <w:rFonts w:hint="eastAsia" w:ascii="宋体" w:hAnsi="宋体" w:cs="宋体"/>
          <w:b/>
          <w:bCs/>
          <w:color w:val="auto"/>
          <w:kern w:val="0"/>
          <w:szCs w:val="21"/>
          <w:highlight w:val="none"/>
          <w:u w:val="single"/>
        </w:rPr>
        <w:t>不接受</w:t>
      </w:r>
      <w:r>
        <w:rPr>
          <w:rFonts w:hint="eastAsia" w:ascii="宋体" w:hAnsi="宋体" w:cs="宋体"/>
          <w:color w:val="auto"/>
          <w:kern w:val="0"/>
          <w:szCs w:val="21"/>
          <w:highlight w:val="none"/>
        </w:rPr>
        <w:t>联合体投标。联合体投标的，应满足下列要求：</w:t>
      </w:r>
      <w:r>
        <w:rPr>
          <w:rFonts w:hint="eastAsia" w:ascii="宋体" w:hAnsi="宋体" w:cs="宋体"/>
          <w:color w:val="auto"/>
          <w:kern w:val="0"/>
          <w:szCs w:val="21"/>
          <w:highlight w:val="none"/>
          <w:u w:val="single"/>
        </w:rPr>
        <w:t xml:space="preserve"> /</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3.5 各投标人均可就上述标段中的</w:t>
      </w:r>
      <w:r>
        <w:rPr>
          <w:rFonts w:hint="eastAsia" w:ascii="宋体" w:hAnsi="宋体" w:cs="宋体"/>
          <w:i/>
          <w:color w:val="auto"/>
          <w:szCs w:val="21"/>
          <w:highlight w:val="none"/>
          <w:u w:val="single"/>
        </w:rPr>
        <w:t xml:space="preserve"> </w:t>
      </w:r>
      <w:r>
        <w:rPr>
          <w:rFonts w:hint="eastAsia" w:ascii="宋体" w:hAnsi="宋体" w:cs="宋体"/>
          <w:iCs/>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color w:val="auto"/>
          <w:kern w:val="0"/>
          <w:szCs w:val="21"/>
          <w:highlight w:val="none"/>
        </w:rPr>
        <w:t>（具体数量）个标段投标。</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4.招标文件获取</w:t>
      </w:r>
    </w:p>
    <w:p>
      <w:pPr>
        <w:widowControl/>
        <w:snapToGrid w:val="0"/>
        <w:spacing w:line="336"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4.1 凡有意参加投标者，请于202</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日8：30时至202</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日17：00时，在绍兴市公共资源交易中心电子招投标交易平台</w:t>
      </w:r>
    </w:p>
    <w:p>
      <w:pPr>
        <w:widowControl/>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cs="Arial"/>
          <w:color w:val="auto"/>
          <w:szCs w:val="21"/>
          <w:highlight w:val="none"/>
          <w:u w:val="single"/>
          <w:lang w:eastAsia="zh-CN"/>
        </w:rPr>
        <w:t>http://oa.ggb.sx.gov.cn/TPBidder-ztk</w:t>
      </w:r>
      <w:r>
        <w:rPr>
          <w:rFonts w:hint="eastAsia" w:ascii="宋体" w:hAnsi="宋体" w:cs="宋体"/>
          <w:color w:val="auto"/>
          <w:kern w:val="0"/>
          <w:szCs w:val="21"/>
          <w:highlight w:val="none"/>
        </w:rPr>
        <w:t>）自行下载招标文件，截止期后交易平台不再提供下载服务;未在规定时间内获取招标文件的，不接受其投标。</w:t>
      </w:r>
    </w:p>
    <w:p>
      <w:pPr>
        <w:widowControl/>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4.2 招标文件每套售价</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元，售后不退。图纸押金</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元，在退还图纸时退还（不计利息）。</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5.投标保证金</w:t>
      </w:r>
    </w:p>
    <w:p>
      <w:pPr>
        <w:widowControl/>
        <w:snapToGrid w:val="0"/>
        <w:spacing w:line="336"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本工程需缴纳投标保证金</w:t>
      </w:r>
      <w:r>
        <w:rPr>
          <w:rFonts w:hint="eastAsia" w:ascii="宋体" w:hAnsi="宋体" w:cs="宋体"/>
          <w:b/>
          <w:bCs/>
          <w:color w:val="auto"/>
          <w:kern w:val="0"/>
          <w:szCs w:val="21"/>
          <w:highlight w:val="none"/>
          <w:u w:val="single"/>
        </w:rPr>
        <w:t xml:space="preserve"> 12</w:t>
      </w:r>
      <w:r>
        <w:rPr>
          <w:rFonts w:hint="eastAsia" w:ascii="宋体" w:hAnsi="宋体" w:cs="宋体"/>
          <w:color w:val="auto"/>
          <w:kern w:val="0"/>
          <w:szCs w:val="21"/>
          <w:highlight w:val="none"/>
        </w:rPr>
        <w:t>万元，投标保证金在投标人自行获取招标文件后，在</w:t>
      </w:r>
      <w:r>
        <w:rPr>
          <w:rFonts w:hint="eastAsia" w:ascii="宋体" w:hAnsi="宋体" w:cs="宋体"/>
          <w:color w:val="auto"/>
          <w:kern w:val="0"/>
          <w:szCs w:val="21"/>
          <w:highlight w:val="none"/>
          <w:u w:val="single"/>
        </w:rPr>
        <w:t>202</w:t>
      </w:r>
      <w:r>
        <w:rPr>
          <w:rFonts w:hint="eastAsia" w:ascii="宋体" w:hAnsi="宋体" w:cs="宋体"/>
          <w:color w:val="auto"/>
          <w:kern w:val="0"/>
          <w:szCs w:val="21"/>
          <w:highlight w:val="none"/>
          <w:u w:val="single"/>
          <w:lang w:val="en-US" w:eastAsia="zh-CN"/>
        </w:rPr>
        <w:t>4</w:t>
      </w:r>
      <w:r>
        <w:rPr>
          <w:rFonts w:hint="eastAsia" w:ascii="宋体" w:hAnsi="宋体" w:cs="宋体"/>
          <w:color w:val="auto"/>
          <w:kern w:val="0"/>
          <w:szCs w:val="21"/>
          <w:highlight w:val="none"/>
          <w:u w:val="single"/>
        </w:rPr>
        <w:t>年  月   日17：00</w:t>
      </w:r>
      <w:r>
        <w:rPr>
          <w:rFonts w:hint="eastAsia" w:ascii="宋体" w:hAnsi="宋体" w:cs="宋体"/>
          <w:color w:val="auto"/>
          <w:kern w:val="0"/>
          <w:szCs w:val="21"/>
          <w:highlight w:val="none"/>
        </w:rPr>
        <w:t>时前缴纳，缴纳方式为：</w:t>
      </w:r>
    </w:p>
    <w:p>
      <w:pPr>
        <w:widowControl/>
        <w:snapToGrid w:val="0"/>
        <w:spacing w:line="336"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①投标人基本账户开具的票据，即汇票、电汇、转账支票等(不包括现金）。保证金缴入账户：账户一：开户单位名称：绍兴市公共资源交易中心保证金专户，开户行:绍兴银行营业部；账号：</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；账户二：开户单位名称：绍兴市公共资源交易中心保证金专户，开户行:中信银行绍兴城东支行；账号：</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；投标人可自主选择以上账户之一缴纳投标保证金(若联合体投标的，则由联合体牵头人缴纳)。</w:t>
      </w:r>
    </w:p>
    <w:p>
      <w:pPr>
        <w:widowControl/>
        <w:snapToGrid w:val="0"/>
        <w:spacing w:line="336" w:lineRule="auto"/>
        <w:ind w:firstLine="420" w:firstLineChars="200"/>
        <w:rPr>
          <w:rFonts w:ascii="宋体" w:hAnsi="宋体" w:cs="宋体"/>
          <w:bCs/>
          <w:color w:val="auto"/>
          <w:spacing w:val="-2"/>
          <w:szCs w:val="21"/>
          <w:highlight w:val="none"/>
        </w:rPr>
      </w:pPr>
      <w:r>
        <w:rPr>
          <w:rFonts w:hint="eastAsia" w:ascii="宋体" w:hAnsi="宋体" w:cs="宋体"/>
          <w:color w:val="auto"/>
          <w:kern w:val="0"/>
          <w:szCs w:val="21"/>
          <w:highlight w:val="none"/>
        </w:rPr>
        <w:t>②招标人接受投标保证金电子保险、担保保函。投标人自行在电子招投标交易平台（</w:t>
      </w:r>
      <w:r>
        <w:rPr>
          <w:rFonts w:hint="eastAsia" w:ascii="宋体" w:hAnsi="宋体" w:cs="宋体"/>
          <w:color w:val="auto"/>
          <w:kern w:val="0"/>
          <w:szCs w:val="21"/>
          <w:highlight w:val="none"/>
          <w:lang w:eastAsia="zh-CN"/>
        </w:rPr>
        <w:t>http://oa.ggb.sx.gov.cn/TPBidder-ztk</w:t>
      </w:r>
      <w:r>
        <w:rPr>
          <w:rFonts w:hint="eastAsia" w:ascii="宋体" w:hAnsi="宋体" w:cs="宋体"/>
          <w:color w:val="auto"/>
          <w:kern w:val="0"/>
          <w:szCs w:val="21"/>
          <w:highlight w:val="none"/>
        </w:rPr>
        <w:t>）中自主选择办理。电子保函费用必须从投标人企业基本账户转出，并在投标保证金缴纳截止时间前办妥保函手续。</w:t>
      </w:r>
    </w:p>
    <w:p>
      <w:pPr>
        <w:widowControl/>
        <w:shd w:val="clear" w:color="auto" w:fill="FFFFFF"/>
        <w:snapToGrid w:val="0"/>
        <w:spacing w:line="336" w:lineRule="auto"/>
        <w:rPr>
          <w:rFonts w:ascii="宋体" w:hAnsi="宋体" w:cs="宋体"/>
          <w:b/>
          <w:color w:val="auto"/>
          <w:kern w:val="0"/>
          <w:szCs w:val="21"/>
          <w:highlight w:val="none"/>
        </w:rPr>
      </w:pPr>
      <w:r>
        <w:rPr>
          <w:rFonts w:hint="eastAsia" w:ascii="宋体" w:hAnsi="宋体" w:cs="宋体"/>
          <w:b/>
          <w:color w:val="auto"/>
          <w:kern w:val="0"/>
          <w:szCs w:val="21"/>
          <w:highlight w:val="none"/>
        </w:rPr>
        <w:t>6.其他有关内容</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6.1评标入围方法：</w:t>
      </w:r>
      <w:r>
        <w:rPr>
          <w:rFonts w:hint="eastAsia" w:ascii="宋体" w:hAnsi="宋体" w:cs="宋体"/>
          <w:b/>
          <w:iCs/>
          <w:color w:val="auto"/>
          <w:kern w:val="0"/>
          <w:szCs w:val="21"/>
          <w:highlight w:val="none"/>
          <w:u w:val="single"/>
        </w:rPr>
        <w:t>全部入围</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6.2评标方法：</w:t>
      </w:r>
      <w:r>
        <w:rPr>
          <w:rFonts w:hint="eastAsia" w:ascii="宋体" w:hAnsi="宋体" w:cs="宋体"/>
          <w:b/>
          <w:iCs/>
          <w:color w:val="auto"/>
          <w:kern w:val="0"/>
          <w:szCs w:val="21"/>
          <w:highlight w:val="none"/>
          <w:u w:val="single"/>
        </w:rPr>
        <w:t>综合评分法（</w:t>
      </w:r>
      <w:r>
        <w:rPr>
          <w:rFonts w:hint="eastAsia" w:ascii="宋体" w:hAnsi="宋体" w:cs="宋体"/>
          <w:b/>
          <w:bCs/>
          <w:iCs/>
          <w:color w:val="auto"/>
          <w:kern w:val="0"/>
          <w:szCs w:val="21"/>
          <w:highlight w:val="none"/>
          <w:u w:val="single"/>
        </w:rPr>
        <w:t>设技术标，不采用计算机辅助评标</w:t>
      </w:r>
      <w:r>
        <w:rPr>
          <w:rFonts w:hint="eastAsia" w:ascii="宋体" w:hAnsi="宋体" w:cs="宋体"/>
          <w:b/>
          <w:iCs/>
          <w:color w:val="auto"/>
          <w:kern w:val="0"/>
          <w:szCs w:val="21"/>
          <w:highlight w:val="none"/>
          <w:u w:val="single"/>
        </w:rPr>
        <w:t>）</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6.3中标方式：</w:t>
      </w:r>
      <w:r>
        <w:rPr>
          <w:rFonts w:hint="eastAsia" w:ascii="宋体" w:hAnsi="宋体" w:cs="宋体"/>
          <w:b/>
          <w:iCs/>
          <w:color w:val="auto"/>
          <w:kern w:val="0"/>
          <w:szCs w:val="21"/>
          <w:highlight w:val="none"/>
          <w:u w:val="single"/>
        </w:rPr>
        <w:t>最高分中标</w:t>
      </w:r>
      <w:r>
        <w:rPr>
          <w:rFonts w:hint="eastAsia" w:ascii="宋体" w:hAnsi="宋体" w:cs="宋体"/>
          <w:color w:val="auto"/>
          <w:kern w:val="0"/>
          <w:szCs w:val="21"/>
          <w:highlight w:val="none"/>
        </w:rPr>
        <w:t>。</w:t>
      </w:r>
    </w:p>
    <w:p>
      <w:pPr>
        <w:shd w:val="clear" w:color="auto" w:fill="FFFFFF"/>
        <w:snapToGrid w:val="0"/>
        <w:spacing w:line="336"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6.4投标文件的递交：投标文件递交的截止时间为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时，地点为</w:t>
      </w:r>
      <w:r>
        <w:rPr>
          <w:rFonts w:hint="eastAsia" w:ascii="宋体" w:hAnsi="宋体" w:cs="宋体"/>
          <w:color w:val="auto"/>
          <w:kern w:val="0"/>
          <w:szCs w:val="21"/>
          <w:highlight w:val="none"/>
          <w:u w:val="single"/>
        </w:rPr>
        <w:t xml:space="preserve"> </w:t>
      </w:r>
      <w:r>
        <w:rPr>
          <w:rFonts w:hint="eastAsia" w:ascii="宋体" w:hAnsi="宋体" w:cs="宋体"/>
          <w:b/>
          <w:iCs/>
          <w:color w:val="auto"/>
          <w:kern w:val="0"/>
          <w:szCs w:val="21"/>
          <w:highlight w:val="none"/>
          <w:u w:val="single"/>
        </w:rPr>
        <w:t>绍兴市公共资源交易中心指定开标室</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pPr>
        <w:widowControl/>
        <w:shd w:val="clear" w:color="auto" w:fill="FFFFFF"/>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7.发布公告的媒介    </w:t>
      </w:r>
    </w:p>
    <w:p>
      <w:pPr>
        <w:widowControl/>
        <w:shd w:val="clear" w:color="auto" w:fill="FFFFFF"/>
        <w:snapToGrid w:val="0"/>
        <w:spacing w:line="336"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本次招标公告同时在 </w:t>
      </w:r>
      <w:r>
        <w:rPr>
          <w:rFonts w:hint="eastAsia" w:ascii="宋体" w:hAnsi="宋体" w:cs="宋体"/>
          <w:color w:val="auto"/>
          <w:szCs w:val="21"/>
          <w:highlight w:val="none"/>
          <w:u w:val="single"/>
        </w:rPr>
        <w:t xml:space="preserve"> / </w:t>
      </w:r>
      <w:r>
        <w:rPr>
          <w:rFonts w:hint="eastAsia" w:ascii="宋体" w:hAnsi="宋体" w:cs="宋体"/>
          <w:color w:val="auto"/>
          <w:kern w:val="0"/>
          <w:szCs w:val="21"/>
          <w:highlight w:val="none"/>
        </w:rPr>
        <w:t>（发布公告的媒介名称）上发布。</w:t>
      </w:r>
    </w:p>
    <w:p>
      <w:pPr>
        <w:widowControl/>
        <w:shd w:val="clear" w:color="auto" w:fill="FFFFFF"/>
        <w:snapToGrid w:val="0"/>
        <w:spacing w:line="336" w:lineRule="auto"/>
        <w:rPr>
          <w:rFonts w:ascii="宋体" w:hAnsi="宋体" w:cs="宋体"/>
          <w:b/>
          <w:color w:val="auto"/>
          <w:kern w:val="0"/>
          <w:szCs w:val="21"/>
          <w:highlight w:val="none"/>
        </w:rPr>
      </w:pPr>
      <w:r>
        <w:rPr>
          <w:rFonts w:hint="eastAsia" w:ascii="宋体" w:hAnsi="宋体" w:cs="宋体"/>
          <w:b/>
          <w:color w:val="auto"/>
          <w:kern w:val="0"/>
          <w:szCs w:val="21"/>
          <w:highlight w:val="none"/>
        </w:rPr>
        <w:t>8.若本公告相关内容与正式发出的招标文件不一致，以正式发出的招标文件为准。</w:t>
      </w:r>
    </w:p>
    <w:p>
      <w:pPr>
        <w:widowControl/>
        <w:tabs>
          <w:tab w:val="left" w:pos="2694"/>
        </w:tabs>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9.联系方式 </w:t>
      </w:r>
    </w:p>
    <w:p>
      <w:pPr>
        <w:widowControl/>
        <w:tabs>
          <w:tab w:val="left" w:pos="2694"/>
        </w:tabs>
        <w:snapToGrid w:val="0"/>
        <w:spacing w:line="336" w:lineRule="auto"/>
        <w:rPr>
          <w:rFonts w:ascii="宋体" w:hAnsi="宋体" w:cs="宋体"/>
          <w:b/>
          <w:color w:val="auto"/>
          <w:spacing w:val="-6"/>
          <w:kern w:val="0"/>
          <w:szCs w:val="21"/>
          <w:highlight w:val="none"/>
        </w:rPr>
      </w:pPr>
      <w:r>
        <w:rPr>
          <w:rFonts w:hint="eastAsia" w:ascii="宋体" w:hAnsi="宋体" w:cs="宋体"/>
          <w:color w:val="auto"/>
          <w:kern w:val="0"/>
          <w:szCs w:val="21"/>
          <w:highlight w:val="none"/>
        </w:rPr>
        <w:t>招标人：</w:t>
      </w:r>
      <w:r>
        <w:rPr>
          <w:rFonts w:hint="eastAsia" w:ascii="宋体" w:hAnsi="宋体" w:cs="宋体"/>
          <w:b/>
          <w:color w:val="auto"/>
          <w:szCs w:val="21"/>
          <w:highlight w:val="none"/>
          <w:u w:val="single"/>
        </w:rPr>
        <w:t>绍兴市水务产业有限公司排水分公司</w:t>
      </w:r>
      <w:r>
        <w:rPr>
          <w:rFonts w:hint="eastAsia" w:ascii="宋体" w:hAnsi="宋体" w:cs="宋体"/>
          <w:color w:val="auto"/>
          <w:kern w:val="0"/>
          <w:szCs w:val="21"/>
          <w:highlight w:val="none"/>
        </w:rPr>
        <w:t>招标代理机构：</w:t>
      </w:r>
      <w:r>
        <w:rPr>
          <w:rFonts w:hint="eastAsia" w:ascii="宋体" w:hAnsi="宋体" w:cs="宋体"/>
          <w:b/>
          <w:bCs/>
          <w:color w:val="auto"/>
          <w:spacing w:val="-6"/>
          <w:kern w:val="0"/>
          <w:szCs w:val="21"/>
          <w:highlight w:val="none"/>
          <w:u w:val="single"/>
        </w:rPr>
        <w:t>浙江明达工程造价咨询有限公司</w:t>
      </w:r>
    </w:p>
    <w:p>
      <w:pPr>
        <w:widowControl/>
        <w:tabs>
          <w:tab w:val="left" w:pos="2694"/>
        </w:tabs>
        <w:snapToGrid w:val="0"/>
        <w:spacing w:line="336" w:lineRule="auto"/>
        <w:rPr>
          <w:rFonts w:ascii="宋体" w:hAnsi="宋体" w:cs="宋体"/>
          <w:color w:val="auto"/>
          <w:spacing w:val="-11"/>
          <w:kern w:val="0"/>
          <w:szCs w:val="21"/>
          <w:highlight w:val="none"/>
        </w:rPr>
      </w:pPr>
      <w:r>
        <w:rPr>
          <w:rFonts w:hint="eastAsia" w:ascii="宋体" w:hAnsi="宋体" w:cs="宋体"/>
          <w:color w:val="auto"/>
          <w:kern w:val="0"/>
          <w:szCs w:val="21"/>
          <w:highlight w:val="none"/>
        </w:rPr>
        <w:t>地  址：</w:t>
      </w:r>
      <w:r>
        <w:rPr>
          <w:rFonts w:hint="eastAsia" w:ascii="宋体" w:hAnsi="宋体" w:cs="宋体"/>
          <w:b/>
          <w:color w:val="auto"/>
          <w:szCs w:val="21"/>
          <w:highlight w:val="none"/>
          <w:u w:val="single"/>
        </w:rPr>
        <w:t xml:space="preserve">绍兴市解放北路135号 </w:t>
      </w:r>
      <w:r>
        <w:rPr>
          <w:rFonts w:hint="eastAsia" w:ascii="宋体" w:hAnsi="宋体" w:cs="宋体"/>
          <w:color w:val="auto"/>
          <w:kern w:val="0"/>
          <w:szCs w:val="21"/>
          <w:highlight w:val="none"/>
        </w:rPr>
        <w:t>地址：</w:t>
      </w:r>
      <w:r>
        <w:rPr>
          <w:rFonts w:hint="eastAsia" w:ascii="宋体" w:hAnsi="宋体" w:cs="宋体"/>
          <w:b/>
          <w:color w:val="auto"/>
          <w:szCs w:val="21"/>
          <w:highlight w:val="none"/>
          <w:u w:val="single"/>
        </w:rPr>
        <w:t xml:space="preserve"> </w:t>
      </w:r>
      <w:r>
        <w:rPr>
          <w:rFonts w:hint="eastAsia" w:ascii="宋体" w:hAnsi="宋体" w:cs="宋体"/>
          <w:b/>
          <w:color w:val="auto"/>
          <w:spacing w:val="-11"/>
          <w:szCs w:val="21"/>
          <w:highlight w:val="none"/>
          <w:u w:val="single"/>
        </w:rPr>
        <w:t>义乌市北苑街道雪峰西路968号科创园科技大楼A区6楼</w:t>
      </w:r>
    </w:p>
    <w:p>
      <w:pPr>
        <w:widowControl/>
        <w:tabs>
          <w:tab w:val="left" w:pos="2694"/>
        </w:tabs>
        <w:snapToGrid w:val="0"/>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联系人： </w:t>
      </w:r>
      <w:r>
        <w:rPr>
          <w:rFonts w:hint="eastAsia" w:ascii="宋体" w:hAnsi="宋体" w:cs="宋体"/>
          <w:b/>
          <w:color w:val="auto"/>
          <w:szCs w:val="21"/>
          <w:highlight w:val="none"/>
          <w:u w:val="single"/>
        </w:rPr>
        <w:t xml:space="preserve">尉关强 </w:t>
      </w:r>
      <w:r>
        <w:rPr>
          <w:rFonts w:hint="eastAsia" w:ascii="宋体" w:hAnsi="宋体" w:cs="宋体"/>
          <w:b/>
          <w:color w:val="auto"/>
          <w:kern w:val="0"/>
          <w:sz w:val="24"/>
          <w:highlight w:val="none"/>
          <w:u w:val="single"/>
        </w:rPr>
        <w:t xml:space="preserve">                </w:t>
      </w:r>
      <w:r>
        <w:rPr>
          <w:rFonts w:hint="eastAsia" w:ascii="宋体" w:hAnsi="宋体" w:cs="宋体"/>
          <w:color w:val="auto"/>
          <w:kern w:val="0"/>
          <w:szCs w:val="21"/>
          <w:highlight w:val="none"/>
        </w:rPr>
        <w:t>联 系 人：</w:t>
      </w:r>
      <w:r>
        <w:rPr>
          <w:rFonts w:hint="eastAsia" w:ascii="宋体" w:hAnsi="宋体" w:cs="宋体"/>
          <w:b/>
          <w:bCs/>
          <w:color w:val="auto"/>
          <w:kern w:val="0"/>
          <w:szCs w:val="21"/>
          <w:highlight w:val="none"/>
          <w:u w:val="single"/>
        </w:rPr>
        <w:t xml:space="preserve">郦工                        </w:t>
      </w:r>
    </w:p>
    <w:p>
      <w:pPr>
        <w:snapToGrid w:val="0"/>
        <w:spacing w:line="336"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电  话：</w:t>
      </w:r>
      <w:r>
        <w:rPr>
          <w:rFonts w:hint="eastAsia" w:ascii="宋体" w:hAnsi="宋体" w:cs="宋体"/>
          <w:b/>
          <w:color w:val="auto"/>
          <w:kern w:val="0"/>
          <w:sz w:val="24"/>
          <w:highlight w:val="none"/>
          <w:u w:val="single"/>
        </w:rPr>
        <w:t xml:space="preserve">13989500455          </w:t>
      </w:r>
      <w:r>
        <w:rPr>
          <w:rFonts w:hint="eastAsia" w:ascii="宋体" w:hAnsi="宋体" w:cs="宋体"/>
          <w:color w:val="auto"/>
          <w:kern w:val="0"/>
          <w:szCs w:val="21"/>
          <w:highlight w:val="none"/>
        </w:rPr>
        <w:t>电    话：</w:t>
      </w:r>
      <w:r>
        <w:rPr>
          <w:rFonts w:hint="eastAsia" w:ascii="宋体" w:hAnsi="宋体" w:cs="宋体"/>
          <w:b/>
          <w:bCs/>
          <w:color w:val="auto"/>
          <w:szCs w:val="21"/>
          <w:highlight w:val="none"/>
          <w:u w:val="single"/>
        </w:rPr>
        <w:t xml:space="preserve">15958545311                     </w:t>
      </w:r>
    </w:p>
    <w:p>
      <w:pPr>
        <w:pStyle w:val="72"/>
        <w:spacing w:before="0" w:after="0" w:line="336" w:lineRule="auto"/>
        <w:ind w:left="0" w:firstLine="0"/>
        <w:rPr>
          <w:color w:val="auto"/>
          <w:highlight w:val="none"/>
        </w:rPr>
      </w:pPr>
    </w:p>
    <w:p>
      <w:pPr>
        <w:widowControl/>
        <w:snapToGrid w:val="0"/>
        <w:spacing w:line="336" w:lineRule="auto"/>
        <w:jc w:val="right"/>
        <w:rPr>
          <w:rFonts w:ascii="宋体" w:hAnsi="宋体" w:cs="宋体"/>
          <w:b/>
          <w:color w:val="auto"/>
          <w:kern w:val="0"/>
          <w:szCs w:val="21"/>
          <w:highlight w:val="none"/>
          <w:u w:val="single"/>
        </w:rPr>
      </w:pPr>
      <w:r>
        <w:rPr>
          <w:rFonts w:hint="eastAsia" w:ascii="宋体" w:hAnsi="宋体" w:cs="宋体"/>
          <w:color w:val="auto"/>
          <w:kern w:val="0"/>
          <w:szCs w:val="21"/>
          <w:highlight w:val="none"/>
        </w:rPr>
        <w:t>招标人：</w:t>
      </w:r>
      <w:r>
        <w:rPr>
          <w:rFonts w:hint="eastAsia" w:ascii="宋体" w:hAnsi="宋体" w:cs="宋体"/>
          <w:b/>
          <w:color w:val="auto"/>
          <w:szCs w:val="21"/>
          <w:highlight w:val="none"/>
          <w:u w:val="single"/>
        </w:rPr>
        <w:t>绍兴市水务产业有限公司排水分公司</w:t>
      </w:r>
    </w:p>
    <w:p>
      <w:pPr>
        <w:widowControl/>
        <w:snapToGrid w:val="0"/>
        <w:spacing w:line="336" w:lineRule="auto"/>
        <w:jc w:val="right"/>
        <w:rPr>
          <w:rFonts w:ascii="宋体" w:hAnsi="宋体" w:cs="宋体"/>
          <w:color w:val="auto"/>
          <w:kern w:val="0"/>
          <w:szCs w:val="21"/>
          <w:highlight w:val="none"/>
        </w:rPr>
      </w:pPr>
      <w:r>
        <w:rPr>
          <w:rFonts w:hint="eastAsia" w:ascii="宋体" w:hAnsi="宋体" w:cs="宋体"/>
          <w:color w:val="auto"/>
          <w:kern w:val="0"/>
          <w:szCs w:val="21"/>
          <w:highlight w:val="none"/>
        </w:rPr>
        <w:t>招标代理机构：</w:t>
      </w:r>
      <w:r>
        <w:rPr>
          <w:rFonts w:hint="eastAsia" w:ascii="宋体" w:hAnsi="宋体" w:cs="宋体"/>
          <w:b/>
          <w:bCs/>
          <w:color w:val="auto"/>
          <w:kern w:val="0"/>
          <w:szCs w:val="21"/>
          <w:highlight w:val="none"/>
          <w:u w:val="single"/>
        </w:rPr>
        <w:t>浙江明达工程造价咨询有限公司</w:t>
      </w:r>
    </w:p>
    <w:p>
      <w:pPr>
        <w:widowControl/>
        <w:wordWrap w:val="0"/>
        <w:snapToGrid w:val="0"/>
        <w:spacing w:line="336" w:lineRule="auto"/>
        <w:jc w:val="right"/>
        <w:rPr>
          <w:rFonts w:ascii="宋体" w:hAnsi="宋体" w:cs="宋体"/>
          <w:color w:val="auto"/>
          <w:kern w:val="0"/>
          <w:szCs w:val="21"/>
          <w:highlight w:val="none"/>
        </w:rPr>
      </w:pPr>
      <w:r>
        <w:rPr>
          <w:rFonts w:hint="eastAsia" w:ascii="宋体" w:hAnsi="宋体" w:cs="宋体"/>
          <w:iCs/>
          <w:color w:val="auto"/>
          <w:szCs w:val="21"/>
          <w:highlight w:val="none"/>
          <w:u w:val="single"/>
        </w:rPr>
        <w:t>202</w:t>
      </w:r>
      <w:r>
        <w:rPr>
          <w:rFonts w:hint="eastAsia" w:ascii="宋体" w:hAnsi="宋体" w:cs="宋体"/>
          <w:iCs/>
          <w:color w:val="auto"/>
          <w:szCs w:val="21"/>
          <w:highlight w:val="none"/>
          <w:u w:val="single"/>
          <w:lang w:val="en-US" w:eastAsia="zh-CN"/>
        </w:rPr>
        <w:t>4</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p>
    <w:p>
      <w:pPr>
        <w:widowControl/>
        <w:snapToGrid w:val="0"/>
        <w:spacing w:line="336" w:lineRule="auto"/>
        <w:rPr>
          <w:rFonts w:ascii="宋体" w:hAnsi="宋体" w:cs="宋体"/>
          <w:color w:val="auto"/>
          <w:kern w:val="0"/>
          <w:szCs w:val="21"/>
          <w:highlight w:val="none"/>
        </w:rPr>
      </w:pPr>
    </w:p>
    <w:p>
      <w:pPr>
        <w:widowControl/>
        <w:snapToGrid w:val="0"/>
        <w:spacing w:line="336" w:lineRule="auto"/>
        <w:rPr>
          <w:rFonts w:ascii="宋体" w:hAnsi="宋体" w:cs="宋体"/>
          <w:color w:val="auto"/>
          <w:kern w:val="0"/>
          <w:szCs w:val="21"/>
          <w:highlight w:val="none"/>
          <w:u w:val="single"/>
        </w:rPr>
      </w:pPr>
      <w:r>
        <w:rPr>
          <w:rFonts w:hint="eastAsia" w:ascii="宋体" w:hAnsi="宋体" w:cs="宋体"/>
          <w:color w:val="auto"/>
          <w:kern w:val="0"/>
          <w:szCs w:val="21"/>
          <w:highlight w:val="none"/>
        </w:rPr>
        <w:t>绍兴市公共资源交易中心意见：</w:t>
      </w:r>
    </w:p>
    <w:p>
      <w:pPr>
        <w:widowControl/>
        <w:snapToGrid w:val="0"/>
        <w:spacing w:line="336" w:lineRule="auto"/>
        <w:ind w:firstLine="630" w:firstLineChars="300"/>
        <w:rPr>
          <w:rFonts w:ascii="宋体" w:hAnsi="宋体" w:cs="宋体"/>
          <w:color w:val="auto"/>
          <w:kern w:val="0"/>
          <w:szCs w:val="21"/>
          <w:highlight w:val="none"/>
        </w:rPr>
      </w:pPr>
    </w:p>
    <w:p>
      <w:pPr>
        <w:widowControl/>
        <w:snapToGrid w:val="0"/>
        <w:spacing w:line="336" w:lineRule="auto"/>
        <w:ind w:firstLine="630" w:firstLineChars="300"/>
        <w:rPr>
          <w:rFonts w:ascii="宋体" w:hAnsi="宋体" w:cs="宋体"/>
          <w:color w:val="auto"/>
          <w:kern w:val="0"/>
          <w:szCs w:val="21"/>
          <w:highlight w:val="none"/>
        </w:rPr>
      </w:pPr>
    </w:p>
    <w:p>
      <w:pPr>
        <w:widowControl/>
        <w:snapToGrid w:val="0"/>
        <w:spacing w:line="336" w:lineRule="auto"/>
        <w:ind w:firstLine="630" w:firstLineChars="300"/>
        <w:rPr>
          <w:rFonts w:ascii="宋体" w:hAnsi="宋体" w:cs="宋体"/>
          <w:color w:val="auto"/>
          <w:kern w:val="0"/>
          <w:szCs w:val="21"/>
          <w:highlight w:val="none"/>
        </w:rPr>
      </w:pPr>
      <w:r>
        <w:rPr>
          <w:rFonts w:hint="eastAsia" w:ascii="宋体" w:hAnsi="宋体" w:cs="宋体"/>
          <w:color w:val="auto"/>
          <w:kern w:val="0"/>
          <w:szCs w:val="21"/>
          <w:highlight w:val="none"/>
        </w:rPr>
        <w:t xml:space="preserve">年    月     日 </w:t>
      </w:r>
    </w:p>
    <w:p>
      <w:pPr>
        <w:keepNext/>
        <w:keepLines/>
        <w:spacing w:before="340" w:after="330" w:line="576" w:lineRule="auto"/>
        <w:textAlignment w:val="baseline"/>
        <w:rPr>
          <w:rFonts w:ascii="宋体" w:hAnsi="宋体" w:cs="宋体"/>
          <w:b/>
          <w:bCs/>
          <w:color w:val="auto"/>
          <w:kern w:val="44"/>
          <w:sz w:val="44"/>
          <w:szCs w:val="44"/>
          <w:highlight w:val="none"/>
        </w:rPr>
      </w:pPr>
    </w:p>
    <w:p>
      <w:pPr>
        <w:rPr>
          <w:rFonts w:ascii="宋体" w:hAnsi="宋体" w:cs="宋体"/>
          <w:color w:val="auto"/>
          <w:highlight w:val="none"/>
        </w:rPr>
      </w:pPr>
    </w:p>
    <w:p>
      <w:pPr>
        <w:keepNext/>
        <w:keepLines/>
        <w:spacing w:before="340" w:after="330" w:line="576" w:lineRule="auto"/>
        <w:textAlignment w:val="baseline"/>
        <w:rPr>
          <w:rFonts w:ascii="宋体" w:hAnsi="宋体" w:cs="宋体"/>
          <w:b/>
          <w:bCs/>
          <w:color w:val="auto"/>
          <w:kern w:val="44"/>
          <w:sz w:val="44"/>
          <w:szCs w:val="44"/>
          <w:highlight w:val="none"/>
        </w:rPr>
      </w:pPr>
    </w:p>
    <w:p>
      <w:pPr>
        <w:rPr>
          <w:rFonts w:ascii="宋体" w:hAnsi="宋体" w:cs="宋体"/>
          <w:color w:val="auto"/>
          <w:highlight w:val="none"/>
        </w:rPr>
      </w:pPr>
    </w:p>
    <w:p>
      <w:pPr>
        <w:shd w:val="clear" w:color="auto" w:fill="FFFFFF"/>
        <w:spacing w:after="312" w:afterLines="100" w:line="330" w:lineRule="exact"/>
        <w:rPr>
          <w:rFonts w:ascii="宋体" w:hAnsi="宋体" w:cs="宋体"/>
          <w:color w:val="auto"/>
          <w:szCs w:val="21"/>
          <w:highlight w:val="none"/>
        </w:rPr>
      </w:pPr>
    </w:p>
    <w:p>
      <w:pPr>
        <w:rPr>
          <w:rFonts w:ascii="宋体" w:hAnsi="宋体" w:cs="宋体"/>
          <w:color w:val="auto"/>
          <w:sz w:val="32"/>
          <w:szCs w:val="32"/>
          <w:highlight w:val="none"/>
        </w:rPr>
      </w:pPr>
    </w:p>
    <w:p>
      <w:pPr>
        <w:keepNext/>
        <w:keepLines/>
        <w:spacing w:before="340" w:after="330" w:line="576" w:lineRule="auto"/>
        <w:jc w:val="center"/>
        <w:outlineLvl w:val="0"/>
        <w:rPr>
          <w:rFonts w:ascii="宋体" w:hAnsi="宋体" w:cs="宋体"/>
          <w:b/>
          <w:bCs/>
          <w:color w:val="auto"/>
          <w:kern w:val="44"/>
          <w:sz w:val="32"/>
          <w:szCs w:val="32"/>
          <w:highlight w:val="none"/>
        </w:rPr>
      </w:pPr>
      <w:r>
        <w:rPr>
          <w:rFonts w:hint="eastAsia" w:ascii="宋体" w:hAnsi="宋体" w:cs="宋体"/>
          <w:b/>
          <w:bCs/>
          <w:color w:val="auto"/>
          <w:kern w:val="44"/>
          <w:sz w:val="32"/>
          <w:szCs w:val="32"/>
          <w:highlight w:val="none"/>
        </w:rPr>
        <w:br w:type="page"/>
      </w:r>
      <w:r>
        <w:rPr>
          <w:rFonts w:hint="eastAsia" w:ascii="宋体" w:hAnsi="宋体" w:cs="宋体"/>
          <w:b/>
          <w:bCs/>
          <w:color w:val="auto"/>
          <w:kern w:val="44"/>
          <w:sz w:val="32"/>
          <w:szCs w:val="32"/>
          <w:highlight w:val="none"/>
        </w:rPr>
        <w:t>第二章  投标人须知</w:t>
      </w:r>
    </w:p>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投标人须知前附表</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1"/>
        <w:gridCol w:w="2569"/>
        <w:gridCol w:w="488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2" w:hRule="atLeast"/>
        </w:trPr>
        <w:tc>
          <w:tcPr>
            <w:tcW w:w="1031" w:type="dxa"/>
            <w:vAlign w:val="center"/>
          </w:tcPr>
          <w:p>
            <w:pPr>
              <w:shd w:val="clear" w:color="auto" w:fill="FFFFFF"/>
              <w:spacing w:line="336" w:lineRule="auto"/>
              <w:jc w:val="center"/>
              <w:rPr>
                <w:rFonts w:ascii="宋体" w:hAnsi="宋体" w:cs="宋体"/>
                <w:b/>
                <w:color w:val="auto"/>
                <w:highlight w:val="none"/>
              </w:rPr>
            </w:pPr>
            <w:r>
              <w:rPr>
                <w:rFonts w:hint="eastAsia" w:ascii="宋体" w:hAnsi="宋体" w:cs="宋体"/>
                <w:b/>
                <w:color w:val="auto"/>
                <w:highlight w:val="none"/>
              </w:rPr>
              <w:t>条款号</w:t>
            </w:r>
          </w:p>
        </w:tc>
        <w:tc>
          <w:tcPr>
            <w:tcW w:w="2569" w:type="dxa"/>
            <w:vAlign w:val="center"/>
          </w:tcPr>
          <w:p>
            <w:pPr>
              <w:shd w:val="clear" w:color="auto" w:fill="FFFFFF"/>
              <w:spacing w:line="336" w:lineRule="auto"/>
              <w:jc w:val="center"/>
              <w:rPr>
                <w:rFonts w:ascii="宋体" w:hAnsi="宋体" w:cs="宋体"/>
                <w:b/>
                <w:color w:val="auto"/>
                <w:highlight w:val="none"/>
              </w:rPr>
            </w:pPr>
            <w:r>
              <w:rPr>
                <w:rFonts w:hint="eastAsia" w:ascii="宋体" w:hAnsi="宋体" w:cs="宋体"/>
                <w:b/>
                <w:color w:val="auto"/>
                <w:highlight w:val="none"/>
              </w:rPr>
              <w:t>条  款  名  称</w:t>
            </w:r>
          </w:p>
        </w:tc>
        <w:tc>
          <w:tcPr>
            <w:tcW w:w="4886" w:type="dxa"/>
            <w:vAlign w:val="center"/>
          </w:tcPr>
          <w:p>
            <w:pPr>
              <w:shd w:val="clear" w:color="auto" w:fill="FFFFFF"/>
              <w:spacing w:line="336" w:lineRule="auto"/>
              <w:jc w:val="center"/>
              <w:rPr>
                <w:rFonts w:ascii="宋体" w:hAnsi="宋体" w:cs="宋体"/>
                <w:b/>
                <w:color w:val="auto"/>
                <w:highlight w:val="none"/>
              </w:rPr>
            </w:pPr>
            <w:r>
              <w:rPr>
                <w:rFonts w:hint="eastAsia" w:ascii="宋体" w:hAnsi="宋体" w:cs="宋体"/>
                <w:b/>
                <w:color w:val="auto"/>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1.1.2</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招标人</w:t>
            </w:r>
          </w:p>
        </w:tc>
        <w:tc>
          <w:tcPr>
            <w:tcW w:w="4886" w:type="dxa"/>
            <w:vAlign w:val="center"/>
          </w:tcPr>
          <w:p>
            <w:pPr>
              <w:spacing w:line="336" w:lineRule="auto"/>
              <w:rPr>
                <w:rFonts w:ascii="宋体" w:hAnsi="宋体" w:cs="宋体"/>
                <w:color w:val="auto"/>
                <w:highlight w:val="none"/>
              </w:rPr>
            </w:pPr>
            <w:r>
              <w:rPr>
                <w:rFonts w:hint="eastAsia" w:ascii="宋体" w:hAnsi="宋体" w:cs="宋体"/>
                <w:color w:val="auto"/>
                <w:highlight w:val="none"/>
              </w:rPr>
              <w:t>名称：</w:t>
            </w:r>
            <w:r>
              <w:rPr>
                <w:rFonts w:hint="eastAsia" w:ascii="宋体" w:hAnsi="宋体" w:cs="宋体"/>
                <w:b/>
                <w:bCs/>
                <w:color w:val="auto"/>
                <w:szCs w:val="21"/>
                <w:highlight w:val="none"/>
              </w:rPr>
              <w:t>绍兴市水务产业有限公司排水分公司</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1.1.3</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招标代理机构</w:t>
            </w:r>
          </w:p>
        </w:tc>
        <w:tc>
          <w:tcPr>
            <w:tcW w:w="4886" w:type="dxa"/>
            <w:vAlign w:val="center"/>
          </w:tcPr>
          <w:p>
            <w:pPr>
              <w:spacing w:line="336" w:lineRule="auto"/>
              <w:rPr>
                <w:rFonts w:ascii="宋体" w:hAnsi="宋体" w:cs="宋体"/>
                <w:color w:val="auto"/>
                <w:highlight w:val="none"/>
              </w:rPr>
            </w:pPr>
            <w:r>
              <w:rPr>
                <w:rFonts w:hint="eastAsia" w:ascii="宋体" w:hAnsi="宋体" w:cs="宋体"/>
                <w:color w:val="auto"/>
                <w:highlight w:val="none"/>
              </w:rPr>
              <w:t>名称：</w:t>
            </w:r>
            <w:r>
              <w:rPr>
                <w:rFonts w:hint="eastAsia" w:ascii="宋体" w:hAnsi="宋体" w:cs="宋体"/>
                <w:b/>
                <w:bCs/>
                <w:color w:val="auto"/>
                <w:highlight w:val="none"/>
              </w:rPr>
              <w:t>浙江明达工程造价咨询有限公司</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0" w:hRule="exac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1.1.4</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项目名称</w:t>
            </w:r>
          </w:p>
        </w:tc>
        <w:tc>
          <w:tcPr>
            <w:tcW w:w="4886" w:type="dxa"/>
            <w:vAlign w:val="center"/>
          </w:tcPr>
          <w:p>
            <w:pPr>
              <w:shd w:val="clear" w:color="auto" w:fill="FFFFFF"/>
              <w:spacing w:line="336" w:lineRule="auto"/>
              <w:rPr>
                <w:rFonts w:ascii="宋体" w:hAnsi="宋体" w:cs="宋体"/>
                <w:color w:val="auto"/>
                <w:szCs w:val="21"/>
                <w:highlight w:val="none"/>
              </w:rPr>
            </w:pPr>
            <w:r>
              <w:rPr>
                <w:rFonts w:hint="eastAsia" w:ascii="宋体" w:hAnsi="宋体" w:cs="宋体"/>
                <w:b/>
                <w:bCs/>
                <w:color w:val="auto"/>
                <w:szCs w:val="21"/>
                <w:highlight w:val="none"/>
              </w:rPr>
              <w:t>越兴路1# 、2# 泵站及进出水管新建工程(越兴路2#泵站)设备材料采购</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89" w:hRule="exac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1.1.5</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建设地点</w:t>
            </w:r>
          </w:p>
        </w:tc>
        <w:tc>
          <w:tcPr>
            <w:tcW w:w="4886" w:type="dxa"/>
            <w:vAlign w:val="center"/>
          </w:tcPr>
          <w:p>
            <w:pPr>
              <w:shd w:val="clear" w:color="auto" w:fill="FFFFFF"/>
              <w:spacing w:line="336" w:lineRule="auto"/>
              <w:rPr>
                <w:rFonts w:ascii="宋体" w:hAnsi="宋体" w:cs="宋体"/>
                <w:color w:val="auto"/>
                <w:szCs w:val="21"/>
                <w:highlight w:val="none"/>
              </w:rPr>
            </w:pPr>
            <w:r>
              <w:rPr>
                <w:rFonts w:hint="eastAsia" w:ascii="宋体" w:hAnsi="宋体" w:cs="宋体"/>
                <w:b/>
                <w:bCs/>
                <w:color w:val="auto"/>
                <w:szCs w:val="21"/>
                <w:highlight w:val="none"/>
              </w:rPr>
              <w:t>绍兴市越兴路与三江路交叉口西北角</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2" w:hRule="exac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1.2.1</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资金来源</w:t>
            </w:r>
          </w:p>
        </w:tc>
        <w:tc>
          <w:tcPr>
            <w:tcW w:w="4886" w:type="dxa"/>
            <w:vAlign w:val="center"/>
          </w:tcPr>
          <w:p>
            <w:pPr>
              <w:shd w:val="clear" w:color="auto" w:fill="FFFFFF"/>
              <w:spacing w:line="336" w:lineRule="auto"/>
              <w:rPr>
                <w:rFonts w:ascii="宋体" w:hAnsi="宋体" w:cs="宋体"/>
                <w:b/>
                <w:bCs/>
                <w:color w:val="auto"/>
                <w:highlight w:val="none"/>
              </w:rPr>
            </w:pPr>
            <w:r>
              <w:rPr>
                <w:rFonts w:hint="eastAsia" w:ascii="宋体" w:hAnsi="宋体" w:cs="宋体"/>
                <w:b/>
                <w:bCs/>
                <w:color w:val="auto"/>
                <w:highlight w:val="none"/>
              </w:rPr>
              <w:t>自筹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2" w:hRule="exac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1.2.2</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出资比例</w:t>
            </w:r>
          </w:p>
        </w:tc>
        <w:tc>
          <w:tcPr>
            <w:tcW w:w="4886" w:type="dxa"/>
            <w:vAlign w:val="center"/>
          </w:tcPr>
          <w:p>
            <w:pPr>
              <w:shd w:val="clear" w:color="auto" w:fill="FFFFFF"/>
              <w:spacing w:line="336" w:lineRule="auto"/>
              <w:rPr>
                <w:rFonts w:ascii="宋体" w:hAnsi="宋体" w:cs="宋体"/>
                <w:b/>
                <w:bCs/>
                <w:color w:val="auto"/>
                <w:highlight w:val="none"/>
              </w:rPr>
            </w:pPr>
            <w:r>
              <w:rPr>
                <w:rFonts w:hint="eastAsia" w:ascii="宋体" w:hAnsi="宋体" w:cs="宋体"/>
                <w:b/>
                <w:bCs/>
                <w:color w:val="auto"/>
                <w:highlight w:val="none"/>
              </w:rPr>
              <w:t>100%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2" w:hRule="exac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1.2.3</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资金落实情况</w:t>
            </w:r>
          </w:p>
        </w:tc>
        <w:tc>
          <w:tcPr>
            <w:tcW w:w="4886" w:type="dxa"/>
            <w:vAlign w:val="center"/>
          </w:tcPr>
          <w:p>
            <w:pPr>
              <w:shd w:val="clear" w:color="auto" w:fill="FFFFFF"/>
              <w:spacing w:line="336" w:lineRule="auto"/>
              <w:rPr>
                <w:rFonts w:ascii="宋体" w:hAnsi="宋体" w:cs="宋体"/>
                <w:b/>
                <w:bCs/>
                <w:color w:val="auto"/>
                <w:highlight w:val="none"/>
              </w:rPr>
            </w:pPr>
            <w:r>
              <w:rPr>
                <w:rFonts w:hint="eastAsia" w:ascii="宋体" w:hAnsi="宋体" w:cs="宋体"/>
                <w:b/>
                <w:bCs/>
                <w:color w:val="auto"/>
                <w:highlight w:val="none"/>
              </w:rPr>
              <w:t>已落实</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695" w:hRule="atLeas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1.3.1</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招标范围</w:t>
            </w:r>
          </w:p>
        </w:tc>
        <w:tc>
          <w:tcPr>
            <w:tcW w:w="4886" w:type="dxa"/>
            <w:vAlign w:val="center"/>
          </w:tcPr>
          <w:p>
            <w:pPr>
              <w:shd w:val="clear" w:color="auto" w:fill="FFFFFF"/>
              <w:spacing w:line="336" w:lineRule="auto"/>
              <w:rPr>
                <w:rFonts w:ascii="宋体" w:hAnsi="宋体" w:cs="宋体"/>
                <w:color w:val="auto"/>
                <w:szCs w:val="21"/>
                <w:highlight w:val="none"/>
              </w:rPr>
            </w:pPr>
            <w:r>
              <w:rPr>
                <w:rFonts w:hint="eastAsia" w:ascii="宋体" w:hAnsi="宋体" w:cs="宋体"/>
                <w:color w:val="auto"/>
                <w:szCs w:val="21"/>
                <w:highlight w:val="none"/>
              </w:rPr>
              <w:t>本项目材料采购包括：</w:t>
            </w:r>
            <w:r>
              <w:rPr>
                <w:rFonts w:hint="eastAsia" w:ascii="宋体" w:hAnsi="宋体" w:cs="宋体"/>
                <w:b/>
                <w:color w:val="0000FF"/>
                <w:highlight w:val="none"/>
                <w:u w:val="single"/>
                <w:lang w:val="en-US" w:eastAsia="zh-CN"/>
              </w:rPr>
              <w:t>HDPE双臂波纹管、</w:t>
            </w:r>
            <w:r>
              <w:rPr>
                <w:rFonts w:hint="eastAsia" w:ascii="宋体" w:hAnsi="宋体" w:cs="宋体"/>
                <w:b/>
                <w:color w:val="auto"/>
                <w:highlight w:val="none"/>
                <w:u w:val="single"/>
              </w:rPr>
              <w:t>钢管及配件、</w:t>
            </w:r>
            <w:r>
              <w:rPr>
                <w:rFonts w:hint="eastAsia" w:ascii="宋体" w:hAnsi="宋体" w:cs="宋体"/>
                <w:b/>
                <w:color w:val="0000FF"/>
                <w:highlight w:val="none"/>
                <w:u w:val="single"/>
                <w:lang w:eastAsia="zh-CN"/>
              </w:rPr>
              <w:t>潜水排污泵</w:t>
            </w:r>
            <w:r>
              <w:rPr>
                <w:rFonts w:hint="eastAsia" w:ascii="宋体" w:hAnsi="宋体" w:cs="宋体"/>
                <w:b/>
                <w:color w:val="auto"/>
                <w:highlight w:val="none"/>
                <w:u w:val="single"/>
              </w:rPr>
              <w:t>、格栅、闸门、阀门、</w:t>
            </w:r>
            <w:r>
              <w:rPr>
                <w:rFonts w:hint="eastAsia" w:ascii="宋体" w:hAnsi="宋体" w:cs="宋体"/>
                <w:b/>
                <w:color w:val="0000FF"/>
                <w:highlight w:val="none"/>
                <w:u w:val="single"/>
                <w:lang w:eastAsia="zh-CN"/>
              </w:rPr>
              <w:t>启闭机、电动葫芦、水位仪、</w:t>
            </w:r>
            <w:r>
              <w:rPr>
                <w:rFonts w:hint="eastAsia" w:ascii="宋体" w:hAnsi="宋体" w:cs="宋体"/>
                <w:b/>
                <w:color w:val="auto"/>
                <w:highlight w:val="none"/>
                <w:u w:val="single"/>
              </w:rPr>
              <w:t>除臭系统及自控安防系统等设备材料的供货、运输、安装（指导安装调试）调试、售后服务等</w:t>
            </w:r>
            <w:r>
              <w:rPr>
                <w:rFonts w:hint="eastAsia" w:ascii="宋体" w:hAnsi="宋体" w:cs="宋体"/>
                <w:color w:val="auto"/>
                <w:szCs w:val="21"/>
                <w:highlight w:val="none"/>
              </w:rPr>
              <w:t>。详细内容参见本材料清单和施工图。</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招标控制价</w:t>
            </w:r>
            <w:r>
              <w:rPr>
                <w:rFonts w:hint="eastAsia" w:ascii="宋体" w:hAnsi="宋体" w:cs="宋体"/>
                <w:b/>
                <w:color w:val="auto"/>
                <w:szCs w:val="21"/>
                <w:highlight w:val="none"/>
                <w:u w:val="single"/>
                <w:lang w:bidi="ar"/>
              </w:rPr>
              <w:t>644.3431</w:t>
            </w:r>
            <w:r>
              <w:rPr>
                <w:rFonts w:hint="eastAsia" w:ascii="宋体" w:hAnsi="宋体" w:cs="宋体"/>
                <w:color w:val="auto"/>
                <w:szCs w:val="21"/>
                <w:highlight w:val="none"/>
                <w:u w:val="single"/>
              </w:rPr>
              <w:t>万元。</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关于招标范围的更详细说明可见第七章“技术标准和要求”。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484" w:hRule="atLeas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1.3.2</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计划工期</w:t>
            </w:r>
          </w:p>
        </w:tc>
        <w:tc>
          <w:tcPr>
            <w:tcW w:w="4886" w:type="dxa"/>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计划工期：</w:t>
            </w:r>
            <w:r>
              <w:rPr>
                <w:rFonts w:hint="eastAsia" w:ascii="宋体" w:hAnsi="宋体" w:cs="宋体"/>
                <w:b/>
                <w:bCs/>
                <w:color w:val="auto"/>
                <w:szCs w:val="21"/>
                <w:highlight w:val="none"/>
              </w:rPr>
              <w:t>收到招标人书面交货通知后14天内。一旦中标，中标人必须满足施工承包人施工总进度计划中的节点目标，具体设备交货时间待合同签订时由招标人确定。</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2" w:hRule="atLeast"/>
        </w:trPr>
        <w:tc>
          <w:tcPr>
            <w:tcW w:w="1031" w:type="dxa"/>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1.3.3</w:t>
            </w:r>
          </w:p>
        </w:tc>
        <w:tc>
          <w:tcPr>
            <w:tcW w:w="2569" w:type="dxa"/>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质量要求</w:t>
            </w:r>
          </w:p>
        </w:tc>
        <w:tc>
          <w:tcPr>
            <w:tcW w:w="4886" w:type="dxa"/>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质量标准：</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合格 </w:t>
            </w:r>
            <w:r>
              <w:rPr>
                <w:rFonts w:hint="eastAsia" w:ascii="宋体" w:hAnsi="宋体" w:cs="宋体"/>
                <w:color w:val="auto"/>
                <w:highlight w:val="none"/>
                <w:u w:val="single"/>
              </w:rPr>
              <w:t xml:space="preserve"> 。</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关于质量要求的详细说明见第七章“技术标准和要求”。</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1.4.1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投标人资质条件、能力和信誉</w:t>
            </w:r>
          </w:p>
        </w:tc>
        <w:tc>
          <w:tcPr>
            <w:tcW w:w="4886" w:type="dxa"/>
            <w:tcBorders>
              <w:top w:val="single" w:color="auto" w:sz="6" w:space="0"/>
              <w:left w:val="single" w:color="auto" w:sz="6" w:space="0"/>
              <w:bottom w:val="single" w:color="auto" w:sz="6" w:space="0"/>
              <w:right w:val="single" w:color="auto" w:sz="4" w:space="0"/>
            </w:tcBorders>
            <w:vAlign w:val="center"/>
          </w:tcPr>
          <w:p>
            <w:pPr>
              <w:widowControl/>
              <w:spacing w:line="336" w:lineRule="auto"/>
              <w:jc w:val="left"/>
              <w:rPr>
                <w:rFonts w:ascii="宋体" w:hAnsi="宋体" w:cs="宋体"/>
                <w:color w:val="auto"/>
                <w:kern w:val="0"/>
                <w:szCs w:val="21"/>
                <w:highlight w:val="none"/>
              </w:rPr>
            </w:pPr>
            <w:r>
              <w:rPr>
                <w:rFonts w:hint="eastAsia" w:ascii="宋体" w:hAnsi="宋体" w:cs="宋体"/>
                <w:color w:val="auto"/>
                <w:highlight w:val="none"/>
              </w:rPr>
              <w:t>资质条件：</w:t>
            </w:r>
          </w:p>
          <w:p>
            <w:pPr>
              <w:widowControl/>
              <w:shd w:val="clear" w:color="auto" w:fill="FFFFFF"/>
              <w:spacing w:line="336" w:lineRule="auto"/>
              <w:rPr>
                <w:rFonts w:ascii="宋体" w:hAnsi="宋体" w:cs="宋体"/>
                <w:color w:val="auto"/>
                <w:kern w:val="0"/>
                <w:szCs w:val="21"/>
                <w:highlight w:val="none"/>
              </w:rPr>
            </w:pPr>
            <w:r>
              <w:rPr>
                <w:rFonts w:hint="eastAsia" w:ascii="宋体" w:hAnsi="宋体" w:cs="宋体"/>
                <w:color w:val="auto"/>
                <w:kern w:val="0"/>
                <w:szCs w:val="21"/>
                <w:highlight w:val="none"/>
              </w:rPr>
              <w:t>投标人资格要求必须满足以下条件：</w:t>
            </w:r>
          </w:p>
          <w:p>
            <w:pPr>
              <w:widowControl/>
              <w:spacing w:line="336"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1、</w:t>
            </w:r>
            <w:r>
              <w:rPr>
                <w:rFonts w:hint="eastAsia" w:ascii="宋体" w:hAnsi="宋体" w:cs="宋体"/>
                <w:b/>
                <w:bCs/>
                <w:color w:val="auto"/>
                <w:kern w:val="0"/>
                <w:szCs w:val="21"/>
                <w:highlight w:val="none"/>
              </w:rPr>
              <w:t>投标人具有独立法人资格且有良好履约能力及售后服务体系的生产或销售供应商。</w:t>
            </w:r>
          </w:p>
          <w:p>
            <w:pPr>
              <w:widowControl/>
              <w:spacing w:line="336" w:lineRule="auto"/>
              <w:jc w:val="left"/>
              <w:rPr>
                <w:rFonts w:ascii="宋体" w:hAnsi="宋体" w:cs="宋体"/>
                <w:b/>
                <w:bCs/>
                <w:color w:val="auto"/>
                <w:kern w:val="0"/>
                <w:szCs w:val="21"/>
                <w:highlight w:val="none"/>
              </w:rPr>
            </w:pPr>
            <w:r>
              <w:rPr>
                <w:rFonts w:hint="eastAsia" w:ascii="宋体" w:hAnsi="宋体" w:cs="宋体"/>
                <w:color w:val="auto"/>
                <w:kern w:val="0"/>
                <w:szCs w:val="21"/>
                <w:highlight w:val="none"/>
              </w:rPr>
              <w:t>2、业绩要求：</w:t>
            </w:r>
            <w:r>
              <w:rPr>
                <w:rFonts w:hint="eastAsia" w:ascii="宋体" w:hAnsi="宋体" w:cs="宋体"/>
                <w:b/>
                <w:bCs/>
                <w:color w:val="auto"/>
                <w:kern w:val="0"/>
                <w:szCs w:val="21"/>
                <w:highlight w:val="none"/>
                <w:u w:val="single"/>
              </w:rPr>
              <w:t>投标人自</w:t>
            </w:r>
            <w:r>
              <w:rPr>
                <w:rFonts w:hint="eastAsia" w:ascii="宋体" w:hAnsi="宋体" w:cs="宋体"/>
                <w:b/>
                <w:bCs/>
                <w:color w:val="0000FF"/>
                <w:kern w:val="0"/>
                <w:szCs w:val="21"/>
                <w:highlight w:val="none"/>
                <w:u w:val="single"/>
              </w:rPr>
              <w:t>201</w:t>
            </w:r>
            <w:r>
              <w:rPr>
                <w:rFonts w:hint="eastAsia" w:ascii="宋体" w:hAnsi="宋体" w:cs="宋体"/>
                <w:b/>
                <w:bCs/>
                <w:color w:val="0000FF"/>
                <w:kern w:val="0"/>
                <w:szCs w:val="21"/>
                <w:highlight w:val="none"/>
                <w:u w:val="single"/>
                <w:lang w:val="en-US" w:eastAsia="zh-CN"/>
              </w:rPr>
              <w:t>9</w:t>
            </w:r>
            <w:r>
              <w:rPr>
                <w:rFonts w:hint="eastAsia" w:ascii="宋体" w:hAnsi="宋体" w:cs="宋体"/>
                <w:b/>
                <w:bCs/>
                <w:color w:val="0000FF"/>
                <w:kern w:val="0"/>
                <w:szCs w:val="21"/>
                <w:highlight w:val="none"/>
                <w:u w:val="single"/>
              </w:rPr>
              <w:t>年</w:t>
            </w:r>
            <w:r>
              <w:rPr>
                <w:rFonts w:hint="eastAsia" w:ascii="宋体" w:hAnsi="宋体" w:cs="宋体"/>
                <w:b/>
                <w:bCs/>
                <w:color w:val="0000FF"/>
                <w:kern w:val="0"/>
                <w:szCs w:val="21"/>
                <w:highlight w:val="none"/>
                <w:u w:val="single"/>
                <w:lang w:val="en-US" w:eastAsia="zh-CN"/>
              </w:rPr>
              <w:t>1</w:t>
            </w:r>
            <w:r>
              <w:rPr>
                <w:rFonts w:hint="eastAsia" w:ascii="宋体" w:hAnsi="宋体" w:cs="宋体"/>
                <w:b/>
                <w:bCs/>
                <w:color w:val="0000FF"/>
                <w:kern w:val="0"/>
                <w:szCs w:val="21"/>
                <w:highlight w:val="none"/>
                <w:u w:val="single"/>
              </w:rPr>
              <w:t>月1日</w:t>
            </w:r>
            <w:r>
              <w:rPr>
                <w:rFonts w:hint="eastAsia" w:ascii="宋体" w:hAnsi="宋体" w:cs="宋体"/>
                <w:b/>
                <w:bCs/>
                <w:color w:val="auto"/>
                <w:kern w:val="0"/>
                <w:szCs w:val="21"/>
                <w:highlight w:val="none"/>
                <w:u w:val="single"/>
              </w:rPr>
              <w:t>以来（以合同签订日期为准）,具有处理规模3万吨/日及以上的污水泵站或污水处理厂类似材料供货业绩【类似材料指含钢管、潜水排污泵、格栅、启闭机、电动葫芦不少于其中3项】</w:t>
            </w:r>
            <w:r>
              <w:rPr>
                <w:rFonts w:hint="eastAsia" w:ascii="宋体" w:hAnsi="宋体" w:cs="宋体"/>
                <w:b/>
                <w:bCs/>
                <w:color w:val="auto"/>
                <w:kern w:val="0"/>
                <w:szCs w:val="21"/>
                <w:highlight w:val="none"/>
              </w:rPr>
              <w:t>。投标人须提供合同复印件为准。如上述材料中未能体现业绩特征的，则还须提供项目所在地行业主管部门或业主单位出具的证明复印件（需加盖提供单位盖章）。</w:t>
            </w:r>
          </w:p>
          <w:p>
            <w:pPr>
              <w:widowControl/>
              <w:shd w:val="clear" w:color="auto" w:fill="FFFFFF"/>
              <w:spacing w:line="336" w:lineRule="auto"/>
              <w:rPr>
                <w:rFonts w:ascii="宋体" w:hAnsi="宋体" w:cs="宋体"/>
                <w:color w:val="auto"/>
                <w:highlight w:val="none"/>
                <w:u w:val="single"/>
              </w:rPr>
            </w:pPr>
            <w:r>
              <w:rPr>
                <w:rFonts w:hint="eastAsia" w:ascii="宋体" w:hAnsi="宋体" w:cs="宋体"/>
                <w:b/>
                <w:bCs/>
                <w:color w:val="FF0000"/>
                <w:kern w:val="0"/>
                <w:szCs w:val="21"/>
                <w:highlight w:val="none"/>
              </w:rPr>
              <w:t>3、其他要求：企业</w:t>
            </w:r>
            <w:r>
              <w:rPr>
                <w:rFonts w:hint="eastAsia" w:ascii="宋体" w:hAnsi="宋体" w:cs="宋体"/>
                <w:b/>
                <w:bCs/>
                <w:color w:val="FF0000"/>
                <w:kern w:val="0"/>
                <w:szCs w:val="21"/>
                <w:highlight w:val="none"/>
                <w:lang w:val="en-US" w:eastAsia="zh-CN"/>
              </w:rPr>
              <w:t>完成绍兴市工程建设项目招投标统一市场主体库注册登记</w:t>
            </w:r>
            <w:r>
              <w:rPr>
                <w:rFonts w:hint="eastAsia" w:ascii="宋体" w:hAnsi="宋体" w:cs="宋体"/>
                <w:b/>
                <w:bCs/>
                <w:color w:val="FF0000"/>
                <w:kern w:val="0"/>
                <w:szCs w:val="21"/>
                <w:highlight w:val="none"/>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70"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1.4.2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是否接受联合体投标</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不接受</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□接受，应满足下列要求：</w:t>
            </w:r>
            <w:r>
              <w:rPr>
                <w:rFonts w:hint="eastAsia" w:ascii="宋体" w:hAnsi="宋体" w:cs="宋体"/>
                <w:color w:val="auto"/>
                <w:highlight w:val="none"/>
                <w:u w:val="single"/>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07"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1.9.1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踏勘现场</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不组织</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□组织，踏勘时间：</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踏勘集中地点：</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35"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1.10.1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tabs>
                <w:tab w:val="center" w:pos="1677"/>
              </w:tabs>
              <w:spacing w:line="336" w:lineRule="auto"/>
              <w:rPr>
                <w:rFonts w:ascii="宋体" w:hAnsi="宋体" w:cs="宋体"/>
                <w:color w:val="auto"/>
                <w:highlight w:val="none"/>
              </w:rPr>
            </w:pPr>
            <w:r>
              <w:rPr>
                <w:rFonts w:hint="eastAsia" w:ascii="宋体" w:hAnsi="宋体" w:cs="宋体"/>
                <w:color w:val="auto"/>
                <w:highlight w:val="none"/>
              </w:rPr>
              <w:t>投标预备会</w:t>
            </w:r>
            <w:r>
              <w:rPr>
                <w:rFonts w:hint="eastAsia" w:ascii="宋体" w:hAnsi="宋体" w:cs="宋体"/>
                <w:color w:val="auto"/>
                <w:highlight w:val="none"/>
              </w:rPr>
              <w:tab/>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不召开</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□召开，召开时间：</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召开地点：</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71"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招标人书面澄清的时间</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71"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1.10.2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投标人提出问题的截止时间</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r>
              <w:rPr>
                <w:rFonts w:hint="eastAsia" w:ascii="宋体" w:hAnsi="宋体" w:cs="宋体"/>
                <w:color w:val="auto"/>
                <w:highlight w:val="none"/>
                <w:u w:val="single"/>
              </w:rPr>
              <w:t xml:space="preserve">   </w:t>
            </w:r>
            <w:r>
              <w:rPr>
                <w:rFonts w:hint="eastAsia" w:ascii="宋体" w:hAnsi="宋体" w:cs="宋体"/>
                <w:color w:val="auto"/>
                <w:highlight w:val="none"/>
              </w:rPr>
              <w:t>时</w:t>
            </w:r>
            <w:r>
              <w:rPr>
                <w:rFonts w:hint="eastAsia" w:ascii="宋体" w:hAnsi="宋体" w:cs="宋体"/>
                <w:color w:val="auto"/>
                <w:highlight w:val="none"/>
                <w:u w:val="single"/>
              </w:rPr>
              <w:t xml:space="preserve">   </w:t>
            </w:r>
            <w:r>
              <w:rPr>
                <w:rFonts w:hint="eastAsia" w:ascii="宋体" w:hAnsi="宋体" w:cs="宋体"/>
                <w:color w:val="auto"/>
                <w:highlight w:val="none"/>
              </w:rPr>
              <w:t>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71"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1.10.3</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kern w:val="16"/>
                <w:szCs w:val="21"/>
                <w:highlight w:val="none"/>
              </w:rPr>
              <w:t>招标人书面答疑时间</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798"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分  包</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不允许</w:t>
            </w:r>
          </w:p>
          <w:p>
            <w:pPr>
              <w:shd w:val="clear" w:color="auto" w:fill="FFFFFF"/>
              <w:spacing w:line="336" w:lineRule="auto"/>
              <w:rPr>
                <w:rFonts w:ascii="宋体" w:hAnsi="宋体" w:cs="宋体"/>
                <w:b/>
                <w:bCs/>
                <w:color w:val="auto"/>
                <w:highlight w:val="none"/>
                <w:u w:val="single"/>
              </w:rPr>
            </w:pPr>
            <w:r>
              <w:rPr>
                <w:rFonts w:hint="eastAsia" w:ascii="宋体" w:hAnsi="宋体" w:cs="宋体"/>
                <w:color w:val="auto"/>
                <w:highlight w:val="none"/>
              </w:rPr>
              <w:t>□允许，分包内容要求：</w:t>
            </w:r>
            <w:r>
              <w:rPr>
                <w:rFonts w:hint="eastAsia" w:ascii="宋体" w:hAnsi="宋体" w:cs="宋体"/>
                <w:color w:val="auto"/>
                <w:highlight w:val="none"/>
                <w:u w:val="single"/>
              </w:rPr>
              <w:t>/</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分包金额要求：/</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接受分包的第三人资质要求：/</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10"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1.12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偏  离</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□不允许</w:t>
            </w:r>
          </w:p>
          <w:p>
            <w:pPr>
              <w:shd w:val="clear" w:color="auto" w:fill="FFFFFF"/>
              <w:spacing w:line="336" w:lineRule="auto"/>
              <w:rPr>
                <w:rFonts w:ascii="宋体" w:hAnsi="宋体" w:cs="宋体"/>
                <w:b/>
                <w:bCs/>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允许，</w:t>
            </w:r>
            <w:r>
              <w:rPr>
                <w:rFonts w:hint="eastAsia" w:ascii="宋体" w:hAnsi="宋体" w:cs="宋体"/>
                <w:b/>
                <w:bCs/>
                <w:color w:val="auto"/>
                <w:highlight w:val="none"/>
              </w:rPr>
              <w:t>可偏离的项目和范围见第七章</w:t>
            </w:r>
          </w:p>
          <w:p>
            <w:pPr>
              <w:shd w:val="clear" w:color="auto" w:fill="FFFFFF"/>
              <w:spacing w:line="336" w:lineRule="auto"/>
              <w:rPr>
                <w:rFonts w:ascii="宋体" w:hAnsi="宋体" w:cs="宋体"/>
                <w:b/>
                <w:bCs/>
                <w:color w:val="auto"/>
                <w:highlight w:val="none"/>
              </w:rPr>
            </w:pPr>
            <w:r>
              <w:rPr>
                <w:rFonts w:hint="eastAsia" w:ascii="宋体" w:hAnsi="宋体" w:cs="宋体"/>
                <w:b/>
                <w:bCs/>
                <w:color w:val="auto"/>
                <w:highlight w:val="none"/>
              </w:rPr>
              <w:t xml:space="preserve">    “技术标准和要求”：按招标文件执行</w:t>
            </w:r>
          </w:p>
          <w:p>
            <w:pPr>
              <w:shd w:val="clear" w:color="auto" w:fill="FFFFFF"/>
              <w:spacing w:line="336" w:lineRule="auto"/>
              <w:rPr>
                <w:rFonts w:ascii="宋体" w:hAnsi="宋体" w:cs="宋体"/>
                <w:b/>
                <w:bCs/>
                <w:color w:val="auto"/>
                <w:highlight w:val="none"/>
              </w:rPr>
            </w:pPr>
            <w:r>
              <w:rPr>
                <w:rFonts w:hint="eastAsia" w:ascii="宋体" w:hAnsi="宋体" w:cs="宋体"/>
                <w:b/>
                <w:bCs/>
                <w:color w:val="auto"/>
                <w:highlight w:val="none"/>
              </w:rPr>
              <w:t xml:space="preserve">      允许偏离最高项数：按招标文件执行</w:t>
            </w:r>
          </w:p>
          <w:p>
            <w:pPr>
              <w:shd w:val="clear" w:color="auto" w:fill="FFFFFF"/>
              <w:spacing w:line="336" w:lineRule="auto"/>
              <w:rPr>
                <w:rFonts w:ascii="宋体" w:hAnsi="宋体" w:cs="宋体"/>
                <w:color w:val="auto"/>
                <w:highlight w:val="none"/>
                <w:u w:val="single"/>
              </w:rPr>
            </w:pPr>
            <w:r>
              <w:rPr>
                <w:rFonts w:hint="eastAsia" w:ascii="宋体" w:hAnsi="宋体" w:cs="宋体"/>
                <w:b/>
                <w:bCs/>
                <w:color w:val="auto"/>
                <w:highlight w:val="none"/>
              </w:rPr>
              <w:t xml:space="preserve">      偏差调整方法：按招标文件执行</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4"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2.1</w:t>
            </w:r>
          </w:p>
        </w:tc>
        <w:tc>
          <w:tcPr>
            <w:tcW w:w="2569" w:type="dxa"/>
            <w:tcBorders>
              <w:top w:val="single" w:color="auto" w:sz="4"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构成招标文件的其他材料</w:t>
            </w:r>
          </w:p>
        </w:tc>
        <w:tc>
          <w:tcPr>
            <w:tcW w:w="4886" w:type="dxa"/>
            <w:tcBorders>
              <w:top w:val="single" w:color="auto" w:sz="4"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2.2.2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投标截止时间</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r>
              <w:rPr>
                <w:rFonts w:hint="eastAsia" w:ascii="宋体" w:hAnsi="宋体" w:cs="宋体"/>
                <w:color w:val="auto"/>
                <w:highlight w:val="none"/>
                <w:u w:val="single"/>
              </w:rPr>
              <w:t xml:space="preserve">   </w:t>
            </w:r>
            <w:r>
              <w:rPr>
                <w:rFonts w:hint="eastAsia" w:ascii="宋体" w:hAnsi="宋体" w:cs="宋体"/>
                <w:color w:val="auto"/>
                <w:highlight w:val="none"/>
              </w:rPr>
              <w:t>时</w:t>
            </w:r>
            <w:r>
              <w:rPr>
                <w:rFonts w:hint="eastAsia" w:ascii="宋体" w:hAnsi="宋体" w:cs="宋体"/>
                <w:color w:val="auto"/>
                <w:highlight w:val="none"/>
                <w:u w:val="single"/>
              </w:rPr>
              <w:t xml:space="preserve">   </w:t>
            </w:r>
            <w:r>
              <w:rPr>
                <w:rFonts w:hint="eastAsia" w:ascii="宋体" w:hAnsi="宋体" w:cs="宋体"/>
                <w:color w:val="auto"/>
                <w:highlight w:val="none"/>
              </w:rPr>
              <w:t>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2.2.3</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投标人确认收到招标文件澄清的时间</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在收到相应澄清文件后</w:t>
            </w:r>
            <w:r>
              <w:rPr>
                <w:rFonts w:hint="eastAsia" w:ascii="宋体" w:hAnsi="宋体" w:cs="宋体"/>
                <w:color w:val="auto"/>
                <w:highlight w:val="none"/>
                <w:u w:val="single"/>
              </w:rPr>
              <w:t xml:space="preserve">  3  </w:t>
            </w:r>
            <w:r>
              <w:rPr>
                <w:rFonts w:hint="eastAsia" w:ascii="宋体" w:hAnsi="宋体" w:cs="宋体"/>
                <w:color w:val="auto"/>
                <w:highlight w:val="none"/>
              </w:rPr>
              <w:t>小时内</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2.3.2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投标人确认收到招标文件修改的时间</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在收到相应修改文件后</w:t>
            </w:r>
            <w:r>
              <w:rPr>
                <w:rFonts w:hint="eastAsia" w:ascii="宋体" w:hAnsi="宋体" w:cs="宋体"/>
                <w:color w:val="auto"/>
                <w:highlight w:val="none"/>
                <w:u w:val="single"/>
              </w:rPr>
              <w:t xml:space="preserve">  3  </w:t>
            </w:r>
            <w:r>
              <w:rPr>
                <w:rFonts w:hint="eastAsia" w:ascii="宋体" w:hAnsi="宋体" w:cs="宋体"/>
                <w:color w:val="auto"/>
                <w:highlight w:val="none"/>
              </w:rPr>
              <w:t>小时内</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3.1.1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构成投标文件的其他材料</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p>
          <w:p>
            <w:pPr>
              <w:shd w:val="clear" w:color="auto" w:fill="FFFFFF"/>
              <w:spacing w:line="336" w:lineRule="auto"/>
              <w:rPr>
                <w:rFonts w:ascii="宋体" w:hAnsi="宋体" w:cs="宋体"/>
                <w:color w:val="auto"/>
                <w:highlight w:val="none"/>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3.3.1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投标有效期</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60/90/120，确定</w:t>
            </w:r>
            <w:r>
              <w:rPr>
                <w:rFonts w:hint="eastAsia" w:ascii="宋体" w:hAnsi="宋体" w:cs="宋体"/>
                <w:color w:val="auto"/>
                <w:highlight w:val="none"/>
                <w:u w:val="single"/>
              </w:rPr>
              <w:t xml:space="preserve"> 90  </w:t>
            </w:r>
            <w:r>
              <w:rPr>
                <w:rFonts w:hint="eastAsia" w:ascii="宋体" w:hAnsi="宋体" w:cs="宋体"/>
                <w:color w:val="auto"/>
                <w:highlight w:val="none"/>
              </w:rPr>
              <w:t>天</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680"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3.4.1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投标保证金</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形式：</w:t>
            </w:r>
            <w:r>
              <w:rPr>
                <w:rFonts w:hint="eastAsia" w:ascii="宋体" w:hAnsi="宋体" w:cs="宋体"/>
                <w:color w:val="auto"/>
                <w:highlight w:val="none"/>
                <w:u w:val="single"/>
              </w:rPr>
              <w:t>见招标公告</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金额：</w:t>
            </w:r>
            <w:r>
              <w:rPr>
                <w:rFonts w:hint="eastAsia" w:ascii="宋体" w:hAnsi="宋体" w:cs="宋体"/>
                <w:color w:val="auto"/>
                <w:highlight w:val="none"/>
                <w:u w:val="single"/>
              </w:rPr>
              <w:t>见招标公告</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递交方式：</w:t>
            </w:r>
            <w:r>
              <w:rPr>
                <w:rFonts w:hint="eastAsia" w:ascii="宋体" w:hAnsi="宋体" w:cs="宋体"/>
                <w:color w:val="auto"/>
                <w:highlight w:val="none"/>
                <w:u w:val="single"/>
              </w:rPr>
              <w:t>见招标公告</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0"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3.5.2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近年财务状况的年份要求</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u w:val="single"/>
              </w:rPr>
              <w:t xml:space="preserve">  / </w:t>
            </w:r>
            <w:r>
              <w:rPr>
                <w:rFonts w:hint="eastAsia" w:ascii="宋体" w:hAnsi="宋体" w:cs="宋体"/>
                <w:color w:val="auto"/>
                <w:highlight w:val="none"/>
              </w:rPr>
              <w:t>年，指</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日起至年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日止。</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13"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3.5.3</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近年完成的类似项目的年份要求</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u w:val="single"/>
              </w:rPr>
              <w:t xml:space="preserve">   /  </w:t>
            </w:r>
            <w:r>
              <w:rPr>
                <w:rFonts w:hint="eastAsia" w:ascii="宋体" w:hAnsi="宋体" w:cs="宋体"/>
                <w:color w:val="auto"/>
                <w:highlight w:val="none"/>
              </w:rPr>
              <w:t>年，指</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日起至</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日止。</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25"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3.5.5</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近年发生的诉讼及仲裁情况的</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年份要求</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u w:val="single"/>
              </w:rPr>
              <w:t xml:space="preserve">   / </w:t>
            </w:r>
            <w:r>
              <w:rPr>
                <w:rFonts w:hint="eastAsia" w:ascii="宋体" w:hAnsi="宋体" w:cs="宋体"/>
                <w:color w:val="auto"/>
                <w:highlight w:val="none"/>
              </w:rPr>
              <w:t>年，指</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日起至</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日止。</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47"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3.6</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是否允许递交备选投标方案</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不允许</w:t>
            </w:r>
          </w:p>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□允许</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3.7.3</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签字和（或）盖章要求</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按招标文件要求</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3.7.4</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投标文件副本份数</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b/>
                <w:bCs/>
                <w:color w:val="auto"/>
                <w:highlight w:val="none"/>
                <w:u w:val="single"/>
              </w:rPr>
            </w:pPr>
            <w:r>
              <w:rPr>
                <w:rFonts w:hint="eastAsia" w:ascii="宋体" w:hAnsi="宋体" w:cs="宋体"/>
                <w:b/>
                <w:bCs/>
                <w:color w:val="auto"/>
                <w:highlight w:val="none"/>
                <w:u w:val="single"/>
              </w:rPr>
              <w:t xml:space="preserve">资格审查资料 正本1份，副本6 份； </w:t>
            </w:r>
          </w:p>
          <w:p>
            <w:pPr>
              <w:spacing w:line="336" w:lineRule="auto"/>
              <w:rPr>
                <w:rFonts w:ascii="宋体" w:hAnsi="宋体" w:cs="宋体"/>
                <w:b/>
                <w:bCs/>
                <w:color w:val="auto"/>
                <w:highlight w:val="none"/>
                <w:u w:val="single"/>
              </w:rPr>
            </w:pPr>
            <w:r>
              <w:rPr>
                <w:rFonts w:hint="eastAsia" w:ascii="宋体" w:hAnsi="宋体" w:cs="宋体"/>
                <w:b/>
                <w:bCs/>
                <w:color w:val="auto"/>
                <w:highlight w:val="none"/>
                <w:u w:val="single"/>
              </w:rPr>
              <w:t>商务标正本1份，副本6 份；</w:t>
            </w:r>
          </w:p>
          <w:p>
            <w:pPr>
              <w:spacing w:line="336" w:lineRule="auto"/>
              <w:rPr>
                <w:rFonts w:ascii="宋体" w:hAnsi="宋体" w:cs="宋体"/>
                <w:color w:val="auto"/>
                <w:highlight w:val="none"/>
              </w:rPr>
            </w:pPr>
            <w:r>
              <w:rPr>
                <w:rFonts w:hint="eastAsia" w:ascii="宋体" w:hAnsi="宋体" w:cs="宋体"/>
                <w:b/>
                <w:bCs/>
                <w:color w:val="auto"/>
                <w:highlight w:val="none"/>
                <w:u w:val="single"/>
              </w:rPr>
              <w:t>技术标正本1份，副本6 份。</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53" w:hRule="atLeast"/>
        </w:trPr>
        <w:tc>
          <w:tcPr>
            <w:tcW w:w="1031" w:type="dxa"/>
            <w:tcBorders>
              <w:top w:val="single" w:color="auto" w:sz="6" w:space="0"/>
              <w:left w:val="single" w:color="auto" w:sz="4" w:space="0"/>
              <w:bottom w:val="single" w:color="auto" w:sz="4"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3.7.5</w:t>
            </w:r>
          </w:p>
        </w:tc>
        <w:tc>
          <w:tcPr>
            <w:tcW w:w="2569" w:type="dxa"/>
            <w:tcBorders>
              <w:top w:val="single" w:color="auto" w:sz="6" w:space="0"/>
              <w:left w:val="single" w:color="auto" w:sz="6" w:space="0"/>
              <w:bottom w:val="single" w:color="auto" w:sz="4"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装订要求（采用计算机辅助评标的不作要求）</w:t>
            </w:r>
          </w:p>
        </w:tc>
        <w:tc>
          <w:tcPr>
            <w:tcW w:w="4886" w:type="dxa"/>
            <w:tcBorders>
              <w:top w:val="single" w:color="auto" w:sz="6" w:space="0"/>
              <w:left w:val="single" w:color="auto" w:sz="6" w:space="0"/>
              <w:bottom w:val="single" w:color="auto" w:sz="4"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按照投标人须知第3.1.1项规定的投标文件组成内容，投标文件应按以下要求装订：</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□不分册装订</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分册装订</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1、资格审查资料</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2、商务标</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3、技术标</w:t>
            </w:r>
          </w:p>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kern w:val="16"/>
                <w:szCs w:val="21"/>
                <w:highlight w:val="none"/>
              </w:rPr>
              <w:t>分册装订的资格审查资料、商务标、技术标应采取分装密封。</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605"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4.1.2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封套形式及要求写明</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1.封套形式：/。</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2.写明内容：</w:t>
            </w:r>
            <w:bookmarkStart w:id="0" w:name="_Hlk11846288"/>
          </w:p>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招标人地址：</w:t>
            </w:r>
            <w:r>
              <w:rPr>
                <w:rFonts w:hint="eastAsia" w:ascii="宋体" w:hAnsi="宋体" w:cs="宋体"/>
                <w:color w:val="auto"/>
                <w:highlight w:val="none"/>
                <w:u w:val="single"/>
              </w:rPr>
              <w:t xml:space="preserve"> </w:t>
            </w:r>
            <w:r>
              <w:rPr>
                <w:rFonts w:hint="eastAsia" w:ascii="宋体" w:hAnsi="宋体" w:cs="宋体"/>
                <w:b/>
                <w:color w:val="auto"/>
                <w:szCs w:val="21"/>
                <w:highlight w:val="none"/>
                <w:u w:val="single"/>
              </w:rPr>
              <w:t>绍兴市解放北路135号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pPr>
              <w:shd w:val="clear" w:color="auto" w:fill="FFFFFF"/>
              <w:spacing w:line="336" w:lineRule="auto"/>
              <w:rPr>
                <w:rFonts w:ascii="宋体" w:hAnsi="宋体" w:cs="宋体"/>
                <w:strike/>
                <w:color w:val="auto"/>
                <w:highlight w:val="none"/>
              </w:rPr>
            </w:pPr>
            <w:r>
              <w:rPr>
                <w:rFonts w:hint="eastAsia" w:ascii="宋体" w:hAnsi="宋体" w:cs="宋体"/>
                <w:color w:val="auto"/>
                <w:highlight w:val="none"/>
              </w:rPr>
              <w:t>招标人名称：</w:t>
            </w:r>
            <w:r>
              <w:rPr>
                <w:rFonts w:hint="eastAsia" w:ascii="宋体" w:hAnsi="宋体" w:cs="宋体"/>
                <w:color w:val="auto"/>
                <w:highlight w:val="none"/>
                <w:u w:val="single"/>
              </w:rPr>
              <w:t xml:space="preserve"> </w:t>
            </w:r>
            <w:r>
              <w:rPr>
                <w:rFonts w:hint="eastAsia" w:ascii="宋体" w:hAnsi="宋体" w:cs="宋体"/>
                <w:b/>
                <w:bCs/>
                <w:color w:val="auto"/>
                <w:szCs w:val="21"/>
                <w:highlight w:val="none"/>
                <w:u w:val="single"/>
              </w:rPr>
              <w:t>绍兴市水务产业有限公司排水分公司</w:t>
            </w:r>
            <w:r>
              <w:rPr>
                <w:rFonts w:hint="eastAsia" w:ascii="宋体" w:hAnsi="宋体" w:cs="宋体"/>
                <w:color w:val="auto"/>
                <w:highlight w:val="none"/>
                <w:u w:val="single"/>
              </w:rPr>
              <w:t xml:space="preserve"> ， </w:t>
            </w:r>
            <w:r>
              <w:rPr>
                <w:rFonts w:hint="eastAsia" w:ascii="宋体" w:hAnsi="宋体" w:cs="宋体"/>
                <w:b/>
                <w:bCs/>
                <w:color w:val="auto"/>
                <w:szCs w:val="21"/>
                <w:highlight w:val="none"/>
                <w:u w:val="single"/>
              </w:rPr>
              <w:t>越兴路1# 、2# 泵站及进出水管新建工程(越兴路2#泵站)设备材料采购</w:t>
            </w:r>
            <w:r>
              <w:rPr>
                <w:rFonts w:hint="eastAsia" w:ascii="宋体" w:hAnsi="宋体" w:cs="宋体"/>
                <w:color w:val="auto"/>
                <w:highlight w:val="none"/>
                <w:u w:val="single"/>
              </w:rPr>
              <w:t xml:space="preserve"> </w:t>
            </w:r>
            <w:r>
              <w:rPr>
                <w:rFonts w:hint="eastAsia" w:ascii="宋体" w:hAnsi="宋体" w:cs="宋体"/>
                <w:color w:val="auto"/>
                <w:highlight w:val="none"/>
              </w:rPr>
              <w:t>（项目名称）</w:t>
            </w:r>
            <w:r>
              <w:rPr>
                <w:rFonts w:hint="eastAsia" w:ascii="宋体" w:hAnsi="宋体" w:cs="宋体"/>
                <w:color w:val="auto"/>
                <w:highlight w:val="none"/>
                <w:u w:val="single"/>
              </w:rPr>
              <w:t xml:space="preserve">/ </w:t>
            </w:r>
            <w:r>
              <w:rPr>
                <w:rFonts w:hint="eastAsia" w:ascii="宋体" w:hAnsi="宋体" w:cs="宋体"/>
                <w:color w:val="auto"/>
                <w:highlight w:val="none"/>
              </w:rPr>
              <w:t>标段投标文件在</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r>
              <w:rPr>
                <w:rFonts w:hint="eastAsia" w:ascii="宋体" w:hAnsi="宋体" w:cs="宋体"/>
                <w:color w:val="auto"/>
                <w:highlight w:val="none"/>
                <w:u w:val="single"/>
              </w:rPr>
              <w:t xml:space="preserve">  </w:t>
            </w:r>
            <w:r>
              <w:rPr>
                <w:rFonts w:hint="eastAsia" w:ascii="宋体" w:hAnsi="宋体" w:cs="宋体"/>
                <w:color w:val="auto"/>
                <w:highlight w:val="none"/>
              </w:rPr>
              <w:t>时</w:t>
            </w:r>
            <w:r>
              <w:rPr>
                <w:rFonts w:hint="eastAsia" w:ascii="宋体" w:hAnsi="宋体" w:cs="宋体"/>
                <w:color w:val="auto"/>
                <w:highlight w:val="none"/>
                <w:u w:val="single"/>
              </w:rPr>
              <w:t xml:space="preserve">  </w:t>
            </w:r>
            <w:r>
              <w:rPr>
                <w:rFonts w:hint="eastAsia" w:ascii="宋体" w:hAnsi="宋体" w:cs="宋体"/>
                <w:color w:val="auto"/>
                <w:highlight w:val="none"/>
              </w:rPr>
              <w:t>分前不得开启。</w:t>
            </w:r>
            <w:bookmarkEnd w:id="0"/>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23"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4.2.2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递交投标文件地点</w:t>
            </w:r>
          </w:p>
        </w:tc>
        <w:tc>
          <w:tcPr>
            <w:tcW w:w="4886"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36" w:lineRule="auto"/>
              <w:ind w:right="-115" w:rightChars="-55"/>
              <w:rPr>
                <w:rFonts w:ascii="宋体" w:hAnsi="宋体" w:cs="宋体"/>
                <w:b/>
                <w:bCs/>
                <w:color w:val="auto"/>
                <w:highlight w:val="none"/>
              </w:rPr>
            </w:pPr>
            <w:r>
              <w:rPr>
                <w:rFonts w:hint="eastAsia" w:ascii="宋体" w:hAnsi="宋体" w:cs="宋体"/>
                <w:b/>
                <w:bCs/>
                <w:color w:val="auto"/>
                <w:highlight w:val="none"/>
              </w:rPr>
              <w:t>绍兴市公共资源交易中心四楼指定开标室（绍兴市迪荡新城惠利街20号鼎盛时代大厦四楼）</w:t>
            </w:r>
          </w:p>
          <w:p>
            <w:pPr>
              <w:autoSpaceDE w:val="0"/>
              <w:autoSpaceDN w:val="0"/>
              <w:adjustRightInd w:val="0"/>
              <w:snapToGrid w:val="0"/>
              <w:spacing w:line="336" w:lineRule="auto"/>
              <w:ind w:right="-115" w:rightChars="-55"/>
              <w:rPr>
                <w:rFonts w:ascii="宋体" w:hAnsi="宋体" w:cs="宋体"/>
                <w:color w:val="auto"/>
                <w:highlight w:val="none"/>
              </w:rPr>
            </w:pPr>
            <w:r>
              <w:rPr>
                <w:rFonts w:hint="eastAsia" w:ascii="宋体" w:hAnsi="宋体" w:cs="宋体"/>
                <w:b/>
                <w:bCs/>
                <w:color w:val="auto"/>
                <w:highlight w:val="none"/>
              </w:rPr>
              <w:t>（即交即走）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3"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4.2.3</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是否退还投标文件</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否</w:t>
            </w:r>
          </w:p>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□是，退还安排：</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88"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5.1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开标时间和地点</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开标时间：同投标截止时间</w:t>
            </w:r>
          </w:p>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开标地点：</w:t>
            </w:r>
            <w:r>
              <w:rPr>
                <w:rFonts w:hint="eastAsia" w:ascii="宋体" w:hAnsi="宋体" w:cs="宋体"/>
                <w:color w:val="auto"/>
                <w:highlight w:val="none"/>
                <w:u w:val="single"/>
              </w:rPr>
              <w:t>绍兴市公共资源交易中心指定开标室</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719"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5.2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开标程序</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（1）密封情况检查：</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（2）开标顺序：</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sym w:font="Wingdings 2" w:char="00A3"/>
            </w:r>
            <w:r>
              <w:rPr>
                <w:rFonts w:hint="eastAsia" w:ascii="宋体" w:hAnsi="宋体" w:cs="宋体"/>
                <w:color w:val="auto"/>
                <w:highlight w:val="none"/>
              </w:rPr>
              <w:t>按评标入围产生顺序依次开标</w:t>
            </w:r>
          </w:p>
          <w:p>
            <w:pPr>
              <w:shd w:val="clear" w:color="auto" w:fill="FFFFFF"/>
              <w:spacing w:line="336" w:lineRule="auto"/>
              <w:rPr>
                <w:rFonts w:ascii="宋体" w:hAnsi="宋体" w:cs="宋体"/>
                <w:color w:val="auto"/>
                <w:sz w:val="18"/>
                <w:szCs w:val="18"/>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按投标报名顺序依次开标</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73"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6.1.1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评标委员会的组建</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评标委员会构成：</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 按规定  </w:t>
            </w:r>
            <w:r>
              <w:rPr>
                <w:rFonts w:hint="eastAsia" w:ascii="宋体" w:hAnsi="宋体" w:cs="宋体"/>
                <w:color w:val="auto"/>
                <w:highlight w:val="none"/>
                <w:u w:val="single"/>
              </w:rPr>
              <w:t xml:space="preserve"> </w:t>
            </w:r>
            <w:r>
              <w:rPr>
                <w:rFonts w:hint="eastAsia" w:ascii="宋体" w:hAnsi="宋体" w:cs="宋体"/>
                <w:color w:val="auto"/>
                <w:highlight w:val="none"/>
              </w:rPr>
              <w:t>；</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评标专家确定方式：</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按规定  </w:t>
            </w:r>
            <w:r>
              <w:rPr>
                <w:rFonts w:hint="eastAsia" w:ascii="宋体" w:hAnsi="宋体" w:cs="宋体"/>
                <w:color w:val="auto"/>
                <w:highlight w:val="none"/>
                <w:u w:val="single"/>
              </w:rPr>
              <w:t xml:space="preserve"> </w:t>
            </w:r>
            <w:r>
              <w:rPr>
                <w:rFonts w:hint="eastAsia" w:ascii="宋体" w:hAnsi="宋体" w:cs="宋体"/>
                <w:color w:val="auto"/>
                <w:highlight w:val="none"/>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7.1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评标委员会推荐中标候选人数量</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 1   </w:t>
            </w:r>
            <w:r>
              <w:rPr>
                <w:rFonts w:hint="eastAsia" w:ascii="宋体" w:hAnsi="宋体" w:cs="宋体"/>
                <w:color w:val="auto"/>
                <w:highlight w:val="none"/>
              </w:rPr>
              <w:t>名</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4"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7.3.1</w:t>
            </w:r>
          </w:p>
        </w:tc>
        <w:tc>
          <w:tcPr>
            <w:tcW w:w="2569" w:type="dxa"/>
            <w:tcBorders>
              <w:top w:val="single" w:color="auto" w:sz="6" w:space="0"/>
              <w:left w:val="single" w:color="auto" w:sz="6" w:space="0"/>
              <w:bottom w:val="single" w:color="auto" w:sz="4"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履约担保</w:t>
            </w:r>
          </w:p>
        </w:tc>
        <w:tc>
          <w:tcPr>
            <w:tcW w:w="4886" w:type="dxa"/>
            <w:tcBorders>
              <w:top w:val="single" w:color="auto" w:sz="6" w:space="0"/>
              <w:left w:val="single" w:color="auto" w:sz="6" w:space="0"/>
              <w:bottom w:val="single" w:color="auto" w:sz="4" w:space="0"/>
              <w:right w:val="single" w:color="auto" w:sz="4" w:space="0"/>
            </w:tcBorders>
            <w:vAlign w:val="center"/>
          </w:tcPr>
          <w:p>
            <w:pPr>
              <w:spacing w:line="336" w:lineRule="auto"/>
              <w:ind w:firstLine="420" w:firstLineChars="200"/>
              <w:jc w:val="left"/>
              <w:rPr>
                <w:rFonts w:ascii="宋体" w:hAnsi="宋体" w:cs="宋体"/>
                <w:b/>
                <w:bCs/>
                <w:color w:val="auto"/>
                <w:szCs w:val="21"/>
                <w:highlight w:val="none"/>
              </w:rPr>
            </w:pPr>
            <w:r>
              <w:rPr>
                <w:rFonts w:hint="eastAsia" w:ascii="宋体" w:hAnsi="宋体" w:cs="宋体"/>
                <w:bCs/>
                <w:color w:val="auto"/>
                <w:szCs w:val="21"/>
                <w:highlight w:val="none"/>
              </w:rPr>
              <w:t>担保形式采用以下形式：</w:t>
            </w:r>
            <w:r>
              <w:rPr>
                <w:rFonts w:hint="eastAsia" w:ascii="宋体" w:hAnsi="宋体" w:cs="宋体"/>
                <w:b/>
                <w:color w:val="auto"/>
                <w:szCs w:val="21"/>
                <w:highlight w:val="none"/>
                <w:u w:val="single"/>
              </w:rPr>
              <w:t>☑保险公司保险、☑银行保函（市区范围内符合规定要求的银行业金融机构的保函）</w:t>
            </w:r>
            <w:r>
              <w:rPr>
                <w:rFonts w:hint="eastAsia" w:ascii="宋体" w:hAnsi="宋体" w:cs="宋体"/>
                <w:bCs/>
                <w:color w:val="auto"/>
                <w:szCs w:val="21"/>
                <w:highlight w:val="none"/>
                <w:u w:val="single"/>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8486" w:type="dxa"/>
            <w:gridSpan w:val="3"/>
            <w:tcBorders>
              <w:top w:val="single" w:color="auto" w:sz="6" w:space="0"/>
              <w:left w:val="single" w:color="auto" w:sz="4" w:space="0"/>
              <w:bottom w:val="single" w:color="auto" w:sz="6" w:space="0"/>
              <w:right w:val="single" w:color="auto" w:sz="4" w:space="0"/>
            </w:tcBorders>
            <w:vAlign w:val="center"/>
          </w:tcPr>
          <w:p>
            <w:pPr>
              <w:shd w:val="clear" w:color="auto" w:fill="FFFFFF"/>
              <w:spacing w:line="336" w:lineRule="auto"/>
              <w:rPr>
                <w:rFonts w:ascii="宋体" w:hAnsi="宋体" w:cs="宋体"/>
                <w:color w:val="auto"/>
                <w:szCs w:val="21"/>
                <w:highlight w:val="none"/>
              </w:rPr>
            </w:pPr>
            <w:r>
              <w:rPr>
                <w:rFonts w:hint="eastAsia" w:ascii="宋体" w:hAnsi="宋体" w:cs="宋体"/>
                <w:color w:val="auto"/>
                <w:highlight w:val="none"/>
              </w:rPr>
              <w:t xml:space="preserve">10.  </w:t>
            </w:r>
            <w:r>
              <w:rPr>
                <w:rFonts w:hint="eastAsia" w:ascii="宋体" w:hAnsi="宋体" w:cs="宋体"/>
                <w:color w:val="auto"/>
                <w:szCs w:val="21"/>
                <w:highlight w:val="none"/>
              </w:rPr>
              <w:t>需要补充的其他内容</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8486" w:type="dxa"/>
            <w:gridSpan w:val="3"/>
            <w:tcBorders>
              <w:top w:val="single" w:color="auto" w:sz="6" w:space="0"/>
              <w:left w:val="single" w:color="auto" w:sz="4"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10.1 词语定义</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10.1.1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类似项目</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类似项目是指：</w:t>
            </w:r>
            <w:r>
              <w:rPr>
                <w:rFonts w:hint="eastAsia" w:ascii="宋体" w:hAnsi="宋体" w:cs="宋体"/>
                <w:color w:val="auto"/>
                <w:highlight w:val="none"/>
                <w:u w:val="single"/>
              </w:rPr>
              <w:t xml:space="preserve">    /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031" w:type="dxa"/>
            <w:tcBorders>
              <w:top w:val="single" w:color="auto" w:sz="6" w:space="0"/>
              <w:left w:val="single" w:color="auto" w:sz="4" w:space="0"/>
              <w:bottom w:val="single" w:color="auto" w:sz="6" w:space="0"/>
              <w:right w:val="single" w:color="auto" w:sz="6" w:space="0"/>
            </w:tcBorders>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10.1.2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不良行为记录</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u w:val="single"/>
              </w:rPr>
            </w:pPr>
            <w:r>
              <w:rPr>
                <w:rFonts w:hint="eastAsia" w:ascii="宋体" w:hAnsi="宋体" w:cs="宋体"/>
                <w:color w:val="auto"/>
                <w:highlight w:val="none"/>
              </w:rPr>
              <w:t>不良行为记录是指：</w:t>
            </w:r>
            <w:r>
              <w:rPr>
                <w:rFonts w:hint="eastAsia" w:ascii="宋体" w:hAnsi="宋体" w:cs="宋体"/>
                <w:color w:val="auto"/>
                <w:highlight w:val="none"/>
                <w:u w:val="single"/>
              </w:rPr>
              <w:t>1、主管业务部门停接业务处分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4"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8486" w:type="dxa"/>
            <w:gridSpan w:val="3"/>
            <w:tcBorders>
              <w:top w:val="single" w:color="auto" w:sz="6" w:space="0"/>
              <w:left w:val="single" w:color="auto" w:sz="4"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10.2  招标控制价</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29"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10.2.1</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招标控制价：</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□不设招标控制价</w:t>
            </w:r>
          </w:p>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设招标控制价</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71"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r>
              <w:rPr>
                <w:rFonts w:hint="eastAsia" w:ascii="宋体" w:hAnsi="宋体" w:cs="宋体"/>
                <w:color w:val="auto"/>
                <w:highlight w:val="none"/>
              </w:rPr>
              <w:t>10.2.2</w:t>
            </w: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招标控制价的编制依据：</w:t>
            </w:r>
          </w:p>
        </w:tc>
        <w:tc>
          <w:tcPr>
            <w:tcW w:w="4886" w:type="dxa"/>
            <w:tcBorders>
              <w:top w:val="single" w:color="auto" w:sz="6" w:space="0"/>
              <w:left w:val="single" w:color="auto" w:sz="6" w:space="0"/>
              <w:bottom w:val="single" w:color="auto" w:sz="6" w:space="0"/>
              <w:right w:val="single" w:color="auto" w:sz="4" w:space="0"/>
            </w:tcBorders>
            <w:vAlign w:val="center"/>
          </w:tcPr>
          <w:p>
            <w:pPr>
              <w:numPr>
                <w:ilvl w:val="0"/>
                <w:numId w:val="5"/>
              </w:numPr>
              <w:tabs>
                <w:tab w:val="left" w:pos="-63"/>
                <w:tab w:val="left" w:pos="360"/>
                <w:tab w:val="left" w:pos="540"/>
                <w:tab w:val="left" w:pos="780"/>
                <w:tab w:val="left" w:pos="1800"/>
              </w:tabs>
              <w:spacing w:line="336" w:lineRule="auto"/>
              <w:rPr>
                <w:rFonts w:ascii="宋体" w:hAnsi="宋体" w:cs="宋体"/>
                <w:color w:val="auto"/>
                <w:szCs w:val="21"/>
                <w:highlight w:val="none"/>
              </w:rPr>
            </w:pPr>
            <w:r>
              <w:rPr>
                <w:rFonts w:hint="eastAsia" w:ascii="宋体" w:hAnsi="宋体" w:cs="宋体"/>
                <w:color w:val="auto"/>
                <w:szCs w:val="21"/>
                <w:highlight w:val="none"/>
              </w:rPr>
              <w:t>定额套用：/。</w:t>
            </w:r>
          </w:p>
          <w:p>
            <w:pPr>
              <w:tabs>
                <w:tab w:val="left" w:pos="-63"/>
                <w:tab w:val="left" w:pos="360"/>
                <w:tab w:val="left" w:pos="540"/>
                <w:tab w:val="left" w:pos="780"/>
                <w:tab w:val="left" w:pos="1800"/>
              </w:tabs>
              <w:spacing w:line="336" w:lineRule="auto"/>
              <w:rPr>
                <w:rFonts w:ascii="宋体" w:hAnsi="宋体" w:cs="宋体"/>
                <w:color w:val="auto"/>
                <w:szCs w:val="21"/>
                <w:highlight w:val="none"/>
              </w:rPr>
            </w:pPr>
            <w:r>
              <w:rPr>
                <w:rFonts w:hint="eastAsia" w:ascii="宋体" w:hAnsi="宋体" w:cs="宋体"/>
                <w:color w:val="auto"/>
                <w:szCs w:val="21"/>
                <w:highlight w:val="none"/>
              </w:rPr>
              <w:t>二、费用计取：/</w:t>
            </w:r>
          </w:p>
          <w:p>
            <w:pPr>
              <w:spacing w:line="336" w:lineRule="auto"/>
              <w:rPr>
                <w:rFonts w:ascii="宋体" w:hAnsi="宋体" w:cs="宋体"/>
                <w:color w:val="auto"/>
                <w:highlight w:val="none"/>
              </w:rPr>
            </w:pPr>
            <w:r>
              <w:rPr>
                <w:rFonts w:hint="eastAsia" w:ascii="宋体" w:hAnsi="宋体" w:cs="宋体"/>
                <w:color w:val="auto"/>
                <w:highlight w:val="none"/>
              </w:rPr>
              <w:t>三、所选用材料及人工的计价依据：/</w:t>
            </w:r>
          </w:p>
          <w:p>
            <w:pPr>
              <w:spacing w:line="336" w:lineRule="auto"/>
              <w:rPr>
                <w:rFonts w:ascii="宋体" w:hAnsi="宋体" w:cs="宋体"/>
                <w:color w:val="auto"/>
                <w:highlight w:val="none"/>
              </w:rPr>
            </w:pPr>
            <w:r>
              <w:rPr>
                <w:rFonts w:hint="eastAsia" w:ascii="宋体" w:hAnsi="宋体" w:cs="宋体"/>
                <w:color w:val="auto"/>
                <w:highlight w:val="none"/>
              </w:rPr>
              <w:t>1、材料价格：/。</w:t>
            </w:r>
          </w:p>
          <w:p>
            <w:pPr>
              <w:tabs>
                <w:tab w:val="left" w:pos="-63"/>
                <w:tab w:val="left" w:pos="360"/>
                <w:tab w:val="left" w:pos="540"/>
                <w:tab w:val="left" w:pos="780"/>
                <w:tab w:val="left" w:pos="1800"/>
              </w:tabs>
              <w:spacing w:line="336" w:lineRule="auto"/>
              <w:rPr>
                <w:rFonts w:ascii="宋体" w:hAnsi="宋体" w:cs="宋体"/>
                <w:color w:val="auto"/>
                <w:highlight w:val="none"/>
              </w:rPr>
            </w:pPr>
            <w:r>
              <w:rPr>
                <w:rFonts w:hint="eastAsia" w:ascii="宋体" w:hAnsi="宋体" w:cs="宋体"/>
                <w:color w:val="auto"/>
                <w:highlight w:val="none"/>
              </w:rPr>
              <w:t>2、人工单价（包括机械人工单价）：/。</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90" w:hRule="atLeast"/>
        </w:trPr>
        <w:tc>
          <w:tcPr>
            <w:tcW w:w="8486" w:type="dxa"/>
            <w:gridSpan w:val="3"/>
            <w:tcBorders>
              <w:top w:val="single" w:color="auto" w:sz="4" w:space="0"/>
              <w:left w:val="single" w:color="auto" w:sz="4"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10.3  “暗标”评审</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139" w:hRule="atLeast"/>
        </w:trPr>
        <w:tc>
          <w:tcPr>
            <w:tcW w:w="1031"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p>
        </w:tc>
        <w:tc>
          <w:tcPr>
            <w:tcW w:w="256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施工组织设计是否采用“暗标”评审方式</w:t>
            </w:r>
          </w:p>
        </w:tc>
        <w:tc>
          <w:tcPr>
            <w:tcW w:w="4886"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不采用</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□采用，投标人应严格按照第八章“投标</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文件格式”中“施工组织设计（技术暗</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标）编制及装订要求”编制和装订施工</w:t>
            </w:r>
          </w:p>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 xml:space="preserve">  组织设计</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7"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10.5  计算机辅助评标</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c>
          <w:tcPr>
            <w:tcW w:w="1031" w:type="dxa"/>
            <w:vMerge w:val="restart"/>
            <w:tcBorders>
              <w:top w:val="single" w:color="auto" w:sz="6" w:space="0"/>
              <w:left w:val="single" w:color="auto" w:sz="6" w:space="0"/>
              <w:right w:val="single" w:color="auto" w:sz="6" w:space="0"/>
            </w:tcBorders>
            <w:vAlign w:val="center"/>
          </w:tcPr>
          <w:p>
            <w:pPr>
              <w:shd w:val="clear" w:color="auto" w:fill="FFFFFF"/>
              <w:spacing w:line="336" w:lineRule="auto"/>
              <w:jc w:val="center"/>
              <w:rPr>
                <w:rFonts w:ascii="宋体" w:hAnsi="宋体" w:cs="宋体"/>
                <w:color w:val="auto"/>
                <w:highlight w:val="none"/>
              </w:rPr>
            </w:pPr>
          </w:p>
        </w:tc>
        <w:tc>
          <w:tcPr>
            <w:tcW w:w="2569" w:type="dxa"/>
            <w:vMerge w:val="restart"/>
            <w:tcBorders>
              <w:top w:val="single" w:color="auto" w:sz="6" w:space="0"/>
              <w:left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是否实行计算机辅助评标</w:t>
            </w:r>
          </w:p>
        </w:tc>
        <w:tc>
          <w:tcPr>
            <w:tcW w:w="488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bdr w:val="single" w:color="auto" w:sz="4" w:space="0"/>
              </w:rPr>
              <w:t>√</w:t>
            </w:r>
            <w:r>
              <w:rPr>
                <w:rFonts w:hint="eastAsia" w:ascii="宋体" w:hAnsi="宋体" w:cs="宋体"/>
                <w:color w:val="auto"/>
                <w:highlight w:val="none"/>
              </w:rPr>
              <w:t>否</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c>
          <w:tcPr>
            <w:tcW w:w="1031" w:type="dxa"/>
            <w:vMerge w:val="continue"/>
            <w:tcBorders>
              <w:left w:val="single" w:color="auto" w:sz="6" w:space="0"/>
              <w:bottom w:val="single" w:color="auto" w:sz="6" w:space="0"/>
              <w:right w:val="single" w:color="auto" w:sz="6" w:space="0"/>
            </w:tcBorders>
          </w:tcPr>
          <w:p>
            <w:pPr>
              <w:shd w:val="clear" w:color="auto" w:fill="FFFFFF"/>
              <w:spacing w:line="336" w:lineRule="auto"/>
              <w:jc w:val="center"/>
              <w:rPr>
                <w:rFonts w:ascii="宋体" w:hAnsi="宋体" w:cs="宋体"/>
                <w:color w:val="auto"/>
                <w:highlight w:val="none"/>
              </w:rPr>
            </w:pPr>
          </w:p>
        </w:tc>
        <w:tc>
          <w:tcPr>
            <w:tcW w:w="2569" w:type="dxa"/>
            <w:vMerge w:val="continue"/>
            <w:tcBorders>
              <w:left w:val="single" w:color="auto" w:sz="6" w:space="0"/>
              <w:bottom w:val="single" w:color="auto" w:sz="6" w:space="0"/>
              <w:right w:val="single" w:color="auto" w:sz="6" w:space="0"/>
            </w:tcBorders>
          </w:tcPr>
          <w:p>
            <w:pPr>
              <w:shd w:val="clear" w:color="auto" w:fill="FFFFFF"/>
              <w:spacing w:line="336" w:lineRule="auto"/>
              <w:rPr>
                <w:rFonts w:ascii="宋体" w:hAnsi="宋体" w:cs="宋体"/>
                <w:color w:val="auto"/>
                <w:highlight w:val="none"/>
              </w:rPr>
            </w:pPr>
          </w:p>
        </w:tc>
        <w:tc>
          <w:tcPr>
            <w:tcW w:w="488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left="210" w:hanging="210" w:hangingChars="100"/>
              <w:rPr>
                <w:rFonts w:ascii="宋体" w:hAnsi="宋体" w:cs="宋体"/>
                <w:color w:val="auto"/>
                <w:highlight w:val="none"/>
              </w:rPr>
            </w:pPr>
            <w:r>
              <w:rPr>
                <w:rFonts w:hint="eastAsia" w:ascii="宋体" w:hAnsi="宋体" w:cs="宋体"/>
                <w:color w:val="auto"/>
                <w:highlight w:val="none"/>
              </w:rPr>
              <w:t>□是</w:t>
            </w:r>
          </w:p>
          <w:p>
            <w:pPr>
              <w:shd w:val="clear" w:color="auto" w:fill="FFFFFF"/>
              <w:spacing w:line="336" w:lineRule="auto"/>
              <w:ind w:left="210" w:hanging="210" w:hangingChars="100"/>
              <w:rPr>
                <w:rFonts w:ascii="宋体" w:hAnsi="宋体" w:cs="宋体"/>
                <w:color w:val="auto"/>
                <w:highlight w:val="none"/>
              </w:rPr>
            </w:pPr>
            <w:r>
              <w:rPr>
                <w:rFonts w:hint="eastAsia" w:ascii="宋体" w:hAnsi="宋体" w:cs="宋体"/>
                <w:color w:val="auto"/>
                <w:highlight w:val="none"/>
              </w:rPr>
              <w:t>计算机辅助评标方法见第三章“评标办法”。</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left="210" w:hanging="210" w:hangingChars="100"/>
              <w:rPr>
                <w:rFonts w:ascii="宋体" w:hAnsi="宋体" w:cs="宋体"/>
                <w:color w:val="auto"/>
                <w:highlight w:val="none"/>
              </w:rPr>
            </w:pPr>
            <w:r>
              <w:rPr>
                <w:rFonts w:hint="eastAsia" w:ascii="宋体" w:hAnsi="宋体" w:cs="宋体"/>
                <w:color w:val="auto"/>
                <w:highlight w:val="none"/>
              </w:rPr>
              <w:t>10.6  投标人代表出席开标会</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53"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2" w:firstLineChars="200"/>
              <w:jc w:val="left"/>
              <w:rPr>
                <w:rFonts w:ascii="宋体" w:hAnsi="宋体" w:cs="宋体"/>
                <w:strike/>
                <w:color w:val="auto"/>
                <w:highlight w:val="none"/>
              </w:rPr>
            </w:pPr>
            <w:r>
              <w:rPr>
                <w:rFonts w:hint="eastAsia" w:ascii="宋体" w:hAnsi="宋体" w:cs="宋体"/>
                <w:b/>
                <w:color w:val="auto"/>
                <w:szCs w:val="21"/>
                <w:highlight w:val="none"/>
              </w:rPr>
              <w:t>投标人的法定代表人或授权委托人、项目负责人等均可不参加开标会议。若投标人法定代表人或授权委托人不在现场参加开标会议的，投标人需向招标代理机构人员告知联系方式，以备询标等事宜。若委派授权委托人在现场参加开标会议的，授权委托人均由投标人自行选择确定。</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rFonts w:ascii="宋体" w:hAnsi="宋体" w:cs="宋体"/>
                <w:color w:val="auto"/>
                <w:highlight w:val="none"/>
              </w:rPr>
            </w:pPr>
            <w:r>
              <w:rPr>
                <w:rFonts w:hint="eastAsia" w:ascii="宋体" w:hAnsi="宋体" w:cs="宋体"/>
                <w:color w:val="auto"/>
                <w:highlight w:val="none"/>
              </w:rPr>
              <w:t>10.7   中标公示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60" w:lineRule="auto"/>
              <w:ind w:firstLine="420" w:firstLineChars="200"/>
              <w:jc w:val="left"/>
              <w:rPr>
                <w:rFonts w:ascii="宋体" w:hAnsi="宋体" w:cs="宋体"/>
                <w:color w:val="auto"/>
                <w:highlight w:val="none"/>
              </w:rPr>
            </w:pPr>
            <w:r>
              <w:rPr>
                <w:rFonts w:hint="eastAsia" w:ascii="宋体" w:hAnsi="宋体"/>
                <w:color w:val="auto"/>
                <w:highlight w:val="none"/>
                <w:shd w:val="clear" w:color="auto" w:fill="FCFCFC"/>
              </w:rPr>
              <w:t>对中标候选人的情况（有业绩要求的，包括业绩）在绍兴公共资源交易网予以公示，公示期间招标人将对业绩及相关资质、证书原件等进行核查并</w:t>
            </w:r>
            <w:r>
              <w:rPr>
                <w:rFonts w:hint="eastAsia"/>
                <w:color w:val="auto"/>
                <w:highlight w:val="none"/>
              </w:rPr>
              <w:t>将相关核查资料存档备案</w:t>
            </w:r>
            <w:r>
              <w:rPr>
                <w:rFonts w:hint="eastAsia" w:ascii="宋体" w:hAnsi="宋体"/>
                <w:color w:val="auto"/>
                <w:highlight w:val="none"/>
                <w:shd w:val="clear" w:color="auto" w:fill="FCFCFC"/>
              </w:rPr>
              <w:t>，公示期不少于3日</w:t>
            </w:r>
            <w:r>
              <w:rPr>
                <w:rFonts w:hint="eastAsia" w:ascii="宋体" w:hAnsi="宋体" w:cs="宋体"/>
                <w:color w:val="auto"/>
                <w:szCs w:val="21"/>
                <w:highlight w:val="none"/>
              </w:rPr>
              <w:t>(截止日为国家法定休假日的，自动顺延至法定休假日后的第1个工作日)</w:t>
            </w:r>
            <w:r>
              <w:rPr>
                <w:rFonts w:hint="eastAsia" w:ascii="宋体" w:hAnsi="宋体"/>
                <w:color w:val="auto"/>
                <w:highlight w:val="none"/>
                <w:shd w:val="clear" w:color="auto" w:fill="FCFCFC"/>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left="210" w:hanging="210" w:hangingChars="100"/>
              <w:rPr>
                <w:rFonts w:ascii="宋体" w:hAnsi="宋体" w:cs="宋体"/>
                <w:color w:val="auto"/>
                <w:highlight w:val="none"/>
              </w:rPr>
            </w:pPr>
            <w:r>
              <w:rPr>
                <w:rFonts w:hint="eastAsia" w:ascii="宋体" w:hAnsi="宋体" w:cs="宋体"/>
                <w:color w:val="auto"/>
                <w:highlight w:val="none"/>
              </w:rPr>
              <w:t>10.8  知识产权</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826"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10.9  重新招标的其他情形</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06"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除投标人须知正文第8条规定的情形外，除非已经产生中标候选人，在投标有效期内同意延长投标有效期的投标人少于三个的，招标人应当依法重新招标。</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left="210" w:hanging="210" w:hangingChars="100"/>
              <w:rPr>
                <w:rFonts w:ascii="宋体" w:hAnsi="宋体" w:cs="宋体"/>
                <w:color w:val="auto"/>
                <w:highlight w:val="none"/>
              </w:rPr>
            </w:pPr>
            <w:r>
              <w:rPr>
                <w:rFonts w:hint="eastAsia" w:ascii="宋体" w:hAnsi="宋体" w:cs="宋体"/>
                <w:color w:val="auto"/>
                <w:highlight w:val="none"/>
              </w:rPr>
              <w:t>10.10  同义词语</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构成招标文件组成部分的“通用合同条款”、“专用合同条款”、“技术标准和要求”和“工程量清单”等章节中出现的措辞“招标人”和“承包人”，在招标投标阶段应当分别按“招标人”和“投标人”进行理解，“项目负责人”按“项目负责人”进行理解。</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left="210" w:hanging="210" w:hangingChars="100"/>
              <w:rPr>
                <w:rFonts w:ascii="宋体" w:hAnsi="宋体" w:cs="宋体"/>
                <w:color w:val="auto"/>
                <w:highlight w:val="none"/>
              </w:rPr>
            </w:pPr>
            <w:r>
              <w:rPr>
                <w:rFonts w:hint="eastAsia" w:ascii="宋体" w:hAnsi="宋体" w:cs="宋体"/>
                <w:color w:val="auto"/>
                <w:highlight w:val="none"/>
              </w:rPr>
              <w:t>10.11  监  督</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47"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本招标项目由</w:t>
            </w:r>
            <w:r>
              <w:rPr>
                <w:rFonts w:hint="eastAsia" w:ascii="宋体" w:hAnsi="宋体" w:cs="宋体"/>
                <w:b/>
                <w:bCs/>
                <w:color w:val="auto"/>
                <w:highlight w:val="none"/>
                <w:u w:val="single"/>
              </w:rPr>
              <w:t>绍兴市政务服务办</w:t>
            </w:r>
            <w:r>
              <w:rPr>
                <w:rFonts w:hint="eastAsia" w:ascii="宋体" w:hAnsi="宋体" w:cs="宋体"/>
                <w:color w:val="auto"/>
                <w:highlight w:val="none"/>
              </w:rPr>
              <w:t>参与监督，并请</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绍兴市国信</w:t>
            </w:r>
            <w:r>
              <w:rPr>
                <w:rFonts w:hint="eastAsia" w:ascii="宋体" w:hAnsi="宋体" w:cs="宋体"/>
                <w:color w:val="auto"/>
                <w:highlight w:val="none"/>
              </w:rPr>
              <w:t>公证处予以公证。</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3"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left="210" w:hanging="210" w:hangingChars="100"/>
              <w:rPr>
                <w:rFonts w:ascii="宋体" w:hAnsi="宋体" w:cs="宋体"/>
                <w:color w:val="auto"/>
                <w:highlight w:val="none"/>
              </w:rPr>
            </w:pPr>
            <w:r>
              <w:rPr>
                <w:rFonts w:hint="eastAsia" w:ascii="宋体" w:hAnsi="宋体" w:cs="宋体"/>
                <w:color w:val="auto"/>
                <w:highlight w:val="none"/>
              </w:rPr>
              <w:t>10.12  解释权</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875"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315" w:firstLineChars="150"/>
              <w:rPr>
                <w:rFonts w:ascii="宋体" w:hAnsi="宋体" w:cs="宋体"/>
                <w:color w:val="auto"/>
                <w:highlight w:val="none"/>
              </w:rPr>
            </w:pPr>
            <w:r>
              <w:rPr>
                <w:rFonts w:hint="eastAsia" w:ascii="宋体" w:hAnsi="宋体" w:cs="宋体"/>
                <w:color w:val="auto"/>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2" w:hRule="atLeast"/>
        </w:trPr>
        <w:tc>
          <w:tcPr>
            <w:tcW w:w="848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ascii="宋体" w:hAnsi="宋体" w:cs="宋体"/>
                <w:color w:val="auto"/>
                <w:highlight w:val="none"/>
              </w:rPr>
            </w:pPr>
            <w:r>
              <w:rPr>
                <w:rFonts w:hint="eastAsia" w:ascii="宋体" w:hAnsi="宋体" w:cs="宋体"/>
                <w:color w:val="auto"/>
                <w:highlight w:val="none"/>
              </w:rPr>
              <w:t>10.13  招标人补充的其他内容</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07"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hint="eastAsia" w:ascii="宋体" w:hAnsi="宋体" w:eastAsia="宋体" w:cs="宋体"/>
                <w:strike w:val="0"/>
                <w:dstrike w:val="0"/>
                <w:color w:val="auto"/>
                <w:highlight w:val="none"/>
                <w:lang w:eastAsia="zh-CN"/>
              </w:rPr>
            </w:pPr>
            <w:r>
              <w:rPr>
                <w:rFonts w:hint="eastAsia" w:ascii="宋体" w:hAnsi="宋体" w:cs="宋体"/>
                <w:strike w:val="0"/>
                <w:dstrike w:val="0"/>
                <w:color w:val="auto"/>
                <w:highlight w:val="none"/>
              </w:rPr>
              <w:t>10.13.</w:t>
            </w:r>
            <w:r>
              <w:rPr>
                <w:rFonts w:hint="eastAsia" w:ascii="宋体" w:hAnsi="宋体" w:cs="宋体"/>
                <w:strike w:val="0"/>
                <w:dstrike w:val="0"/>
                <w:color w:val="auto"/>
                <w:highlight w:val="none"/>
                <w:lang w:val="en-US" w:eastAsia="zh-CN"/>
              </w:rPr>
              <w:t>1</w:t>
            </w: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315" w:firstLineChars="150"/>
              <w:rPr>
                <w:rFonts w:ascii="宋体" w:hAnsi="宋体" w:cs="宋体"/>
                <w:strike w:val="0"/>
                <w:dstrike w:val="0"/>
                <w:color w:val="auto"/>
                <w:highlight w:val="none"/>
              </w:rPr>
            </w:pPr>
            <w:r>
              <w:rPr>
                <w:rFonts w:hint="eastAsia" w:ascii="宋体" w:hAnsi="宋体" w:cs="宋体"/>
                <w:strike w:val="0"/>
                <w:dstrike w:val="0"/>
                <w:color w:val="auto"/>
                <w:highlight w:val="none"/>
              </w:rPr>
              <w:t>本项目提供业主支付担保，担保形式</w:t>
            </w:r>
            <w:r>
              <w:rPr>
                <w:rFonts w:hint="eastAsia" w:ascii="宋体" w:hAnsi="宋体" w:cs="宋体"/>
                <w:strike w:val="0"/>
                <w:dstrike w:val="0"/>
                <w:color w:val="auto"/>
                <w:szCs w:val="21"/>
                <w:highlight w:val="none"/>
              </w:rPr>
              <w:t>采用以下形式：</w:t>
            </w:r>
            <w:r>
              <w:rPr>
                <w:rFonts w:hint="eastAsia" w:ascii="宋体" w:hAnsi="宋体" w:cs="宋体"/>
                <w:b/>
                <w:bCs/>
                <w:strike w:val="0"/>
                <w:dstrike w:val="0"/>
                <w:color w:val="auto"/>
                <w:highlight w:val="none"/>
                <w:u w:val="single"/>
                <w:bdr w:val="single" w:color="auto" w:sz="4" w:space="0"/>
              </w:rPr>
              <w:t>√</w:t>
            </w:r>
            <w:r>
              <w:rPr>
                <w:rFonts w:hint="eastAsia" w:ascii="宋体" w:hAnsi="宋体" w:cs="宋体"/>
                <w:b/>
                <w:bCs/>
                <w:strike w:val="0"/>
                <w:dstrike w:val="0"/>
                <w:color w:val="auto"/>
                <w:szCs w:val="21"/>
                <w:highlight w:val="none"/>
                <w:u w:val="single"/>
              </w:rPr>
              <w:t>保险公司保险、</w:t>
            </w:r>
            <w:r>
              <w:rPr>
                <w:rFonts w:hint="eastAsia" w:ascii="宋体" w:hAnsi="宋体" w:cs="宋体"/>
                <w:b/>
                <w:bCs/>
                <w:strike w:val="0"/>
                <w:dstrike w:val="0"/>
                <w:color w:val="auto"/>
                <w:highlight w:val="none"/>
                <w:u w:val="single"/>
                <w:bdr w:val="single" w:color="auto" w:sz="4" w:space="0"/>
              </w:rPr>
              <w:t>√</w:t>
            </w:r>
            <w:r>
              <w:rPr>
                <w:rFonts w:hint="eastAsia" w:ascii="宋体" w:hAnsi="宋体" w:cs="宋体"/>
                <w:b/>
                <w:bCs/>
                <w:strike w:val="0"/>
                <w:dstrike w:val="0"/>
                <w:color w:val="auto"/>
                <w:szCs w:val="21"/>
                <w:highlight w:val="none"/>
                <w:u w:val="single"/>
              </w:rPr>
              <w:t>银行保函（市区范围内符合规定要求的银行业金融机构的保函）</w:t>
            </w:r>
            <w:r>
              <w:rPr>
                <w:rFonts w:hint="eastAsia" w:ascii="宋体" w:hAnsi="宋体" w:cs="宋体"/>
                <w:b/>
                <w:bCs/>
                <w:strike w:val="0"/>
                <w:dstrike w:val="0"/>
                <w:color w:val="auto"/>
                <w:highlight w:val="none"/>
                <w:u w:val="single"/>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29"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hint="eastAsia" w:ascii="宋体" w:hAnsi="宋体" w:eastAsia="宋体" w:cs="宋体"/>
                <w:color w:val="auto"/>
                <w:highlight w:val="none"/>
                <w:lang w:eastAsia="zh-CN"/>
              </w:rPr>
            </w:pPr>
            <w:r>
              <w:rPr>
                <w:rFonts w:hint="eastAsia" w:ascii="宋体" w:hAnsi="宋体" w:cs="宋体"/>
                <w:color w:val="auto"/>
                <w:highlight w:val="none"/>
              </w:rPr>
              <w:t>10.13.</w:t>
            </w:r>
            <w:r>
              <w:rPr>
                <w:rFonts w:hint="eastAsia" w:ascii="宋体" w:hAnsi="宋体" w:cs="宋体"/>
                <w:color w:val="auto"/>
                <w:highlight w:val="none"/>
                <w:lang w:val="en-US" w:eastAsia="zh-CN"/>
              </w:rPr>
              <w:t>2</w:t>
            </w: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投标人提交的各类文件格式、内容、文字、次序与本招标文件规定不相符的，其有效性由本项目评标委员会进行甄别。评标委员会可以认定投标人提交的不符合本招标文件规定格式、内容及文字、次序的相关文件为无效文件。</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87"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hint="eastAsia" w:ascii="宋体" w:hAnsi="宋体" w:eastAsia="宋体" w:cs="宋体"/>
                <w:color w:val="auto"/>
                <w:highlight w:val="none"/>
                <w:lang w:eastAsia="zh-CN"/>
              </w:rPr>
            </w:pPr>
            <w:r>
              <w:rPr>
                <w:rFonts w:hint="eastAsia" w:ascii="宋体" w:hAnsi="宋体" w:cs="宋体"/>
                <w:color w:val="auto"/>
                <w:highlight w:val="none"/>
              </w:rPr>
              <w:t>10.13.</w:t>
            </w:r>
            <w:r>
              <w:rPr>
                <w:rFonts w:hint="eastAsia" w:ascii="宋体" w:hAnsi="宋体" w:cs="宋体"/>
                <w:color w:val="auto"/>
                <w:highlight w:val="none"/>
                <w:lang w:val="en-US" w:eastAsia="zh-CN"/>
              </w:rPr>
              <w:t>3</w:t>
            </w: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评标委员会推荐的第一中标候选人在公示期间，被举报、投诉存在有资质、资格、报价、业绩等方面缺陷不能作为中标人时，招标人将在有关部门调查核实后，重新组织招标。</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79"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hint="eastAsia" w:ascii="宋体" w:hAnsi="宋体" w:eastAsia="宋体" w:cs="宋体"/>
                <w:color w:val="auto"/>
                <w:highlight w:val="none"/>
                <w:lang w:eastAsia="zh-CN"/>
              </w:rPr>
            </w:pPr>
            <w:r>
              <w:rPr>
                <w:rFonts w:hint="eastAsia" w:ascii="宋体" w:hAnsi="宋体" w:cs="宋体"/>
                <w:color w:val="auto"/>
                <w:highlight w:val="none"/>
              </w:rPr>
              <w:t>10.13.</w:t>
            </w:r>
            <w:r>
              <w:rPr>
                <w:rFonts w:hint="eastAsia" w:ascii="宋体" w:hAnsi="宋体" w:cs="宋体"/>
                <w:color w:val="auto"/>
                <w:highlight w:val="none"/>
                <w:lang w:val="en-US" w:eastAsia="zh-CN"/>
              </w:rPr>
              <w:t>4</w:t>
            </w:r>
          </w:p>
        </w:tc>
        <w:tc>
          <w:tcPr>
            <w:tcW w:w="745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本项目招标评标采用</w:t>
            </w:r>
            <w:r>
              <w:rPr>
                <w:rFonts w:hint="eastAsia" w:ascii="宋体" w:hAnsi="宋体" w:cs="宋体"/>
                <w:b/>
                <w:color w:val="auto"/>
                <w:highlight w:val="none"/>
                <w:u w:val="single"/>
              </w:rPr>
              <w:t>综合评分法（设技术标）</w:t>
            </w:r>
            <w:r>
              <w:rPr>
                <w:rFonts w:hint="eastAsia" w:ascii="宋体" w:hAnsi="宋体" w:cs="宋体"/>
                <w:color w:val="auto"/>
                <w:highlight w:val="none"/>
              </w:rPr>
              <w:t xml:space="preserve"> 方式评标。</w:t>
            </w:r>
          </w:p>
          <w:p>
            <w:pPr>
              <w:shd w:val="clear" w:color="auto" w:fill="FFFFFF"/>
              <w:spacing w:line="336" w:lineRule="auto"/>
              <w:ind w:firstLine="420" w:firstLineChars="200"/>
              <w:rPr>
                <w:rFonts w:ascii="宋体" w:hAnsi="宋体" w:cs="宋体"/>
                <w:color w:val="auto"/>
                <w:highlight w:val="none"/>
              </w:rPr>
            </w:pPr>
            <w:r>
              <w:rPr>
                <w:rFonts w:hint="eastAsia" w:ascii="宋体" w:hAnsi="宋体" w:cs="宋体"/>
                <w:color w:val="auto"/>
                <w:highlight w:val="none"/>
              </w:rPr>
              <w:t>中标方式：</w:t>
            </w:r>
            <w:r>
              <w:rPr>
                <w:rFonts w:hint="eastAsia" w:ascii="宋体" w:hAnsi="宋体" w:cs="宋体"/>
                <w:b/>
                <w:bCs/>
                <w:color w:val="auto"/>
                <w:szCs w:val="21"/>
                <w:highlight w:val="none"/>
                <w:u w:val="single"/>
              </w:rPr>
              <w:t>总得分最高者为中标候选人。若出现最高总得分相同的情况，取其中报价较低者为中标候选人，若报价也相同，则由招标人当场抽签确定中标候选人</w:t>
            </w:r>
            <w:r>
              <w:rPr>
                <w:rFonts w:hint="eastAsia" w:ascii="宋体" w:hAnsi="宋体" w:cs="宋体"/>
                <w:b/>
                <w:bCs/>
                <w:color w:val="auto"/>
                <w:highlight w:val="none"/>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79" w:hRule="atLeast"/>
        </w:trPr>
        <w:tc>
          <w:tcPr>
            <w:tcW w:w="1031"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36" w:lineRule="auto"/>
              <w:rPr>
                <w:rFonts w:hint="eastAsia" w:ascii="宋体" w:hAnsi="宋体" w:eastAsia="宋体" w:cs="宋体"/>
                <w:color w:val="auto"/>
                <w:highlight w:val="none"/>
                <w:lang w:eastAsia="zh-CN"/>
              </w:rPr>
            </w:pPr>
            <w:bookmarkStart w:id="1" w:name="_Toc144974497"/>
            <w:bookmarkStart w:id="2" w:name="_Toc179632546"/>
            <w:bookmarkStart w:id="3" w:name="_Toc152042305"/>
            <w:bookmarkStart w:id="4" w:name="_Toc152045529"/>
            <w:r>
              <w:rPr>
                <w:rFonts w:hint="eastAsia" w:ascii="宋体" w:hAnsi="宋体" w:cs="宋体"/>
                <w:color w:val="auto"/>
                <w:highlight w:val="none"/>
              </w:rPr>
              <w:t>10.13.</w:t>
            </w:r>
            <w:r>
              <w:rPr>
                <w:rFonts w:hint="eastAsia" w:ascii="宋体" w:hAnsi="宋体" w:cs="宋体"/>
                <w:color w:val="auto"/>
                <w:highlight w:val="none"/>
                <w:lang w:val="en-US" w:eastAsia="zh-CN"/>
              </w:rPr>
              <w:t>5</w:t>
            </w:r>
          </w:p>
        </w:tc>
        <w:tc>
          <w:tcPr>
            <w:tcW w:w="7455" w:type="dxa"/>
            <w:gridSpan w:val="2"/>
            <w:tcBorders>
              <w:top w:val="single" w:color="auto" w:sz="6" w:space="0"/>
              <w:left w:val="single" w:color="auto" w:sz="6" w:space="0"/>
              <w:bottom w:val="single" w:color="auto" w:sz="6" w:space="0"/>
              <w:right w:val="single" w:color="auto" w:sz="6" w:space="0"/>
            </w:tcBorders>
            <w:vAlign w:val="center"/>
          </w:tcPr>
          <w:p>
            <w:pPr>
              <w:pStyle w:val="10"/>
              <w:numPr>
                <w:ilvl w:val="0"/>
                <w:numId w:val="0"/>
              </w:numPr>
              <w:spacing w:line="312" w:lineRule="auto"/>
              <w:ind w:firstLine="422" w:firstLineChars="200"/>
              <w:contextualSpacing/>
              <w:rPr>
                <w:rFonts w:ascii="宋体" w:hAnsi="宋体" w:cs="宋体"/>
                <w:color w:val="auto"/>
                <w:highlight w:val="none"/>
              </w:rPr>
            </w:pPr>
            <w:r>
              <w:rPr>
                <w:rFonts w:hint="eastAsia" w:ascii="宋体" w:hAnsi="宋体" w:cs="宋体"/>
                <w:b/>
                <w:color w:val="auto"/>
                <w:szCs w:val="21"/>
                <w:highlight w:val="none"/>
              </w:rPr>
              <w:t>为保证供货产品的质量及货源纯正，在中标结果公示期内，中标候选人需提供主要投标产品（主要有：</w:t>
            </w:r>
            <w:r>
              <w:rPr>
                <w:rFonts w:hint="eastAsia" w:ascii="宋体" w:hAnsi="宋体" w:cs="宋体"/>
                <w:b/>
                <w:bCs/>
                <w:color w:val="auto"/>
                <w:kern w:val="0"/>
                <w:szCs w:val="21"/>
                <w:highlight w:val="none"/>
                <w:u w:val="single"/>
              </w:rPr>
              <w:t>钢管、潜水排污泵、格栅、启闭机、电动葫芦</w:t>
            </w:r>
            <w:r>
              <w:rPr>
                <w:rFonts w:hint="eastAsia" w:ascii="宋体" w:hAnsi="宋体" w:cs="宋体"/>
                <w:b/>
                <w:color w:val="auto"/>
                <w:szCs w:val="21"/>
                <w:highlight w:val="none"/>
              </w:rPr>
              <w:t>）的制造厂家针对本项目授权书原件，若中标候选人不能提供的，视为自动放弃中标，其投标保证金不予退还。</w:t>
            </w:r>
          </w:p>
        </w:tc>
      </w:tr>
    </w:tbl>
    <w:p>
      <w:pPr>
        <w:keepNext/>
        <w:keepLines/>
        <w:shd w:val="clear" w:color="auto" w:fill="FFFFFF"/>
        <w:spacing w:before="100" w:line="440" w:lineRule="exact"/>
        <w:outlineLvl w:val="1"/>
        <w:rPr>
          <w:rFonts w:ascii="宋体" w:hAnsi="宋体" w:cs="宋体"/>
          <w:color w:val="auto"/>
          <w:sz w:val="28"/>
          <w:szCs w:val="20"/>
          <w:highlight w:val="none"/>
        </w:rPr>
      </w:pPr>
      <w:r>
        <w:rPr>
          <w:rFonts w:hint="eastAsia" w:ascii="宋体" w:hAnsi="宋体" w:cs="宋体"/>
          <w:color w:val="auto"/>
          <w:sz w:val="28"/>
          <w:szCs w:val="20"/>
          <w:highlight w:val="none"/>
        </w:rPr>
        <w:br w:type="page"/>
      </w:r>
      <w:r>
        <w:rPr>
          <w:rFonts w:hint="eastAsia" w:ascii="宋体" w:hAnsi="宋体" w:cs="宋体"/>
          <w:color w:val="auto"/>
          <w:sz w:val="28"/>
          <w:szCs w:val="20"/>
          <w:highlight w:val="none"/>
        </w:rPr>
        <w:t>1. 总则</w:t>
      </w:r>
      <w:bookmarkEnd w:id="1"/>
      <w:bookmarkEnd w:id="2"/>
      <w:bookmarkEnd w:id="3"/>
      <w:bookmarkEnd w:id="4"/>
    </w:p>
    <w:p>
      <w:pPr>
        <w:keepNext/>
        <w:keepLines/>
        <w:shd w:val="clear" w:color="auto" w:fill="FFFFFF"/>
        <w:spacing w:line="440" w:lineRule="exact"/>
        <w:outlineLvl w:val="2"/>
        <w:rPr>
          <w:rFonts w:ascii="宋体" w:hAnsi="宋体" w:cs="宋体"/>
          <w:color w:val="auto"/>
          <w:sz w:val="24"/>
          <w:szCs w:val="20"/>
          <w:highlight w:val="none"/>
        </w:rPr>
      </w:pPr>
      <w:bookmarkStart w:id="5" w:name="_Toc179632547"/>
      <w:bookmarkStart w:id="6" w:name="_Toc152045530"/>
      <w:bookmarkStart w:id="7" w:name="_Toc144974498"/>
      <w:bookmarkStart w:id="8" w:name="_Toc152042306"/>
      <w:r>
        <w:rPr>
          <w:rFonts w:hint="eastAsia" w:ascii="宋体" w:hAnsi="宋体" w:cs="宋体"/>
          <w:color w:val="auto"/>
          <w:sz w:val="24"/>
          <w:szCs w:val="20"/>
          <w:highlight w:val="none"/>
        </w:rPr>
        <w:t>1.1 项目概况</w:t>
      </w:r>
      <w:bookmarkEnd w:id="5"/>
      <w:bookmarkEnd w:id="6"/>
      <w:bookmarkEnd w:id="7"/>
      <w:bookmarkEnd w:id="8"/>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1.1.1根据《中华人民共和国招标投标法》等有关法律、法规和规章的规定，本招标项目已具备招标条件，现对本标段</w:t>
      </w:r>
      <w:r>
        <w:rPr>
          <w:rFonts w:hint="eastAsia" w:ascii="宋体" w:hAnsi="宋体" w:cs="宋体"/>
          <w:b/>
          <w:bCs/>
          <w:color w:val="auto"/>
          <w:highlight w:val="none"/>
        </w:rPr>
        <w:t>材料供货</w:t>
      </w:r>
      <w:r>
        <w:rPr>
          <w:rFonts w:hint="eastAsia" w:ascii="宋体" w:hAnsi="宋体" w:cs="宋体"/>
          <w:color w:val="auto"/>
          <w:highlight w:val="none"/>
        </w:rPr>
        <w:t>进行招标。</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1.1.2 本招标项目招标人：见投标人须知前附表。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1.1.3 本标段招标代理机构：见投标人须知前附表。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1.1.4 本招标项目名称：见投标人须知前附表。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1.1.5 本标段建设地点：见投标人须知前附表。</w:t>
      </w:r>
    </w:p>
    <w:p>
      <w:pPr>
        <w:keepNext/>
        <w:keepLines/>
        <w:shd w:val="clear" w:color="auto" w:fill="FFFFFF"/>
        <w:spacing w:line="440" w:lineRule="exact"/>
        <w:outlineLvl w:val="2"/>
        <w:rPr>
          <w:rFonts w:ascii="宋体" w:hAnsi="宋体" w:cs="宋体"/>
          <w:color w:val="auto"/>
          <w:sz w:val="24"/>
          <w:szCs w:val="20"/>
          <w:highlight w:val="none"/>
        </w:rPr>
      </w:pPr>
      <w:bookmarkStart w:id="9" w:name="_Toc152045531"/>
      <w:bookmarkStart w:id="10" w:name="_Toc152042307"/>
      <w:bookmarkStart w:id="11" w:name="_Toc179632548"/>
      <w:bookmarkStart w:id="12" w:name="_Toc144974499"/>
      <w:r>
        <w:rPr>
          <w:rFonts w:hint="eastAsia" w:ascii="宋体" w:hAnsi="宋体" w:cs="宋体"/>
          <w:color w:val="auto"/>
          <w:sz w:val="24"/>
          <w:szCs w:val="20"/>
          <w:highlight w:val="none"/>
        </w:rPr>
        <w:t>1.2 资金来源和落实情况</w:t>
      </w:r>
      <w:bookmarkEnd w:id="9"/>
      <w:bookmarkEnd w:id="10"/>
      <w:bookmarkEnd w:id="11"/>
      <w:bookmarkEnd w:id="12"/>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1.2.1 本招标项目的资金来源：见投标人须知前附表。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1.2.2 本招标项目的出资比例：见投标人须知前附表。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1.2.3 本招标项目的资金落实情况：见投标人须知前附表。</w:t>
      </w:r>
    </w:p>
    <w:p>
      <w:pPr>
        <w:keepNext/>
        <w:keepLines/>
        <w:shd w:val="clear" w:color="auto" w:fill="FFFFFF"/>
        <w:spacing w:line="440" w:lineRule="exact"/>
        <w:outlineLvl w:val="2"/>
        <w:rPr>
          <w:rFonts w:ascii="宋体" w:hAnsi="宋体" w:cs="宋体"/>
          <w:color w:val="auto"/>
          <w:sz w:val="24"/>
          <w:szCs w:val="20"/>
          <w:highlight w:val="none"/>
        </w:rPr>
      </w:pPr>
      <w:bookmarkStart w:id="13" w:name="_Toc152045532"/>
      <w:bookmarkStart w:id="14" w:name="_Toc152042308"/>
      <w:bookmarkStart w:id="15" w:name="_Toc179632549"/>
      <w:bookmarkStart w:id="16" w:name="_Toc144974500"/>
      <w:r>
        <w:rPr>
          <w:rFonts w:hint="eastAsia" w:ascii="宋体" w:hAnsi="宋体" w:cs="宋体"/>
          <w:color w:val="auto"/>
          <w:sz w:val="24"/>
          <w:szCs w:val="20"/>
          <w:highlight w:val="none"/>
        </w:rPr>
        <w:t>1.3 招标范围、计划工期和质量要求</w:t>
      </w:r>
      <w:bookmarkEnd w:id="13"/>
      <w:bookmarkEnd w:id="14"/>
      <w:bookmarkEnd w:id="15"/>
      <w:bookmarkEnd w:id="16"/>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1.3.1 本次招标范围：见投标人须知前附表。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1.3.2 本标段的计划工期：见投标人须知前附表。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1.3.3 本标段的质量要求：见投标人须知前附表。</w:t>
      </w:r>
    </w:p>
    <w:p>
      <w:pPr>
        <w:keepNext/>
        <w:keepLines/>
        <w:shd w:val="clear" w:color="auto" w:fill="FFFFFF"/>
        <w:spacing w:line="440" w:lineRule="exact"/>
        <w:outlineLvl w:val="2"/>
        <w:rPr>
          <w:rFonts w:ascii="宋体" w:hAnsi="宋体" w:cs="宋体"/>
          <w:strike/>
          <w:color w:val="auto"/>
          <w:sz w:val="24"/>
          <w:szCs w:val="20"/>
          <w:highlight w:val="none"/>
        </w:rPr>
      </w:pPr>
      <w:bookmarkStart w:id="17" w:name="_Toc144974501"/>
      <w:bookmarkStart w:id="18" w:name="_Toc152042309"/>
      <w:bookmarkStart w:id="19" w:name="_Toc179632550"/>
      <w:bookmarkStart w:id="20" w:name="_Toc152045533"/>
      <w:r>
        <w:rPr>
          <w:rFonts w:hint="eastAsia" w:ascii="宋体" w:hAnsi="宋体" w:cs="宋体"/>
          <w:strike/>
          <w:color w:val="auto"/>
          <w:sz w:val="24"/>
          <w:szCs w:val="20"/>
          <w:highlight w:val="none"/>
        </w:rPr>
        <w:t>1.4 投标人资格要求（适用于已进行资格预审的）</w:t>
      </w:r>
      <w:bookmarkEnd w:id="17"/>
      <w:bookmarkEnd w:id="18"/>
      <w:bookmarkEnd w:id="19"/>
      <w:bookmarkEnd w:id="20"/>
    </w:p>
    <w:p>
      <w:pPr>
        <w:shd w:val="clear" w:color="auto" w:fill="FFFFFF"/>
        <w:spacing w:line="440" w:lineRule="exact"/>
        <w:ind w:firstLine="420" w:firstLineChars="200"/>
        <w:rPr>
          <w:rFonts w:ascii="宋体" w:hAnsi="宋体" w:cs="宋体"/>
          <w:strike/>
          <w:color w:val="auto"/>
          <w:highlight w:val="none"/>
        </w:rPr>
      </w:pPr>
      <w:r>
        <w:rPr>
          <w:rFonts w:hint="eastAsia" w:ascii="宋体" w:hAnsi="宋体" w:cs="宋体"/>
          <w:strike/>
          <w:color w:val="auto"/>
          <w:highlight w:val="none"/>
        </w:rPr>
        <w:t>投标人应是收到招标人发出投标邀请书的单位。</w:t>
      </w:r>
    </w:p>
    <w:p>
      <w:pPr>
        <w:keepNext/>
        <w:keepLines/>
        <w:shd w:val="clear" w:color="auto" w:fill="FFFFFF"/>
        <w:spacing w:line="440" w:lineRule="exact"/>
        <w:outlineLvl w:val="2"/>
        <w:rPr>
          <w:rFonts w:ascii="宋体" w:hAnsi="宋体" w:cs="宋体"/>
          <w:color w:val="auto"/>
          <w:sz w:val="24"/>
          <w:szCs w:val="20"/>
          <w:highlight w:val="none"/>
        </w:rPr>
      </w:pPr>
      <w:bookmarkStart w:id="21" w:name="_Toc144974502"/>
      <w:bookmarkStart w:id="22" w:name="_Toc179632551"/>
      <w:bookmarkStart w:id="23" w:name="_Toc152045534"/>
      <w:bookmarkStart w:id="24" w:name="_Toc152042310"/>
      <w:r>
        <w:rPr>
          <w:rFonts w:hint="eastAsia" w:ascii="宋体" w:hAnsi="宋体" w:cs="宋体"/>
          <w:color w:val="auto"/>
          <w:sz w:val="24"/>
          <w:szCs w:val="20"/>
          <w:highlight w:val="none"/>
        </w:rPr>
        <w:t>1.4 投标人资格要求（适用于未进行资格预审的）</w:t>
      </w:r>
      <w:bookmarkEnd w:id="21"/>
      <w:bookmarkEnd w:id="22"/>
      <w:bookmarkEnd w:id="23"/>
      <w:bookmarkEnd w:id="24"/>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1.4.1投标人应具备承担本标段</w:t>
      </w:r>
      <w:r>
        <w:rPr>
          <w:rFonts w:hint="eastAsia" w:ascii="宋体" w:hAnsi="宋体" w:cs="宋体"/>
          <w:b/>
          <w:bCs/>
          <w:color w:val="auto"/>
          <w:highlight w:val="none"/>
        </w:rPr>
        <w:t>材料供货</w:t>
      </w:r>
      <w:r>
        <w:rPr>
          <w:rFonts w:hint="eastAsia" w:ascii="宋体" w:hAnsi="宋体" w:cs="宋体"/>
          <w:color w:val="auto"/>
          <w:highlight w:val="none"/>
        </w:rPr>
        <w:t>的资质条件、能力和信誉。</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（1）资质条件：见投标人须知前附表；</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（2）财务要求：见投标人须知前附表；</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（3）业绩要求：见投标人须知前附表；</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（4）信誉要求：见投标人须知前附表；</w:t>
      </w:r>
    </w:p>
    <w:p>
      <w:pPr>
        <w:shd w:val="clear" w:color="auto" w:fill="FFFFFF"/>
        <w:spacing w:line="440" w:lineRule="exact"/>
        <w:ind w:firstLine="735" w:firstLineChars="350"/>
        <w:rPr>
          <w:rFonts w:ascii="宋体" w:hAnsi="宋体" w:cs="宋体"/>
          <w:color w:val="auto"/>
          <w:highlight w:val="none"/>
        </w:rPr>
      </w:pPr>
      <w:r>
        <w:rPr>
          <w:rFonts w:hint="eastAsia" w:ascii="宋体" w:hAnsi="宋体" w:cs="宋体"/>
          <w:color w:val="auto"/>
          <w:highlight w:val="none"/>
        </w:rPr>
        <w:t>（5）项目负责人资格：见投标人须知前附表；</w:t>
      </w:r>
    </w:p>
    <w:p>
      <w:pPr>
        <w:shd w:val="clear" w:color="auto" w:fill="FFFFFF"/>
        <w:spacing w:line="440" w:lineRule="exact"/>
        <w:ind w:firstLine="735" w:firstLineChars="350"/>
        <w:rPr>
          <w:rFonts w:ascii="宋体" w:hAnsi="宋体" w:cs="宋体"/>
          <w:color w:val="auto"/>
          <w:highlight w:val="none"/>
        </w:rPr>
      </w:pPr>
      <w:r>
        <w:rPr>
          <w:rFonts w:hint="eastAsia" w:ascii="宋体" w:hAnsi="宋体" w:cs="宋体"/>
          <w:color w:val="auto"/>
          <w:highlight w:val="none"/>
        </w:rPr>
        <w:t>（6）其他要求：见投标人须知前附表。</w:t>
      </w:r>
    </w:p>
    <w:p>
      <w:pPr>
        <w:spacing w:line="440" w:lineRule="exact"/>
        <w:ind w:firstLine="420" w:firstLineChars="200"/>
        <w:rPr>
          <w:strike/>
          <w:color w:val="auto"/>
          <w:highlight w:val="none"/>
        </w:rPr>
      </w:pPr>
      <w:r>
        <w:rPr>
          <w:rFonts w:hint="eastAsia"/>
          <w:strike/>
          <w:color w:val="auto"/>
          <w:highlight w:val="none"/>
        </w:rPr>
        <w:t xml:space="preserve">1.4.2 投标人须知前附表规定接受联合体投标的，除应符合本章第1.4.1项和投标人须知前附表的要求外，还应遵守以下规定： </w:t>
      </w:r>
    </w:p>
    <w:p>
      <w:pPr>
        <w:spacing w:line="440" w:lineRule="exact"/>
        <w:ind w:firstLine="718" w:firstLineChars="342"/>
        <w:rPr>
          <w:strike/>
          <w:color w:val="auto"/>
          <w:highlight w:val="none"/>
        </w:rPr>
      </w:pPr>
      <w:r>
        <w:rPr>
          <w:rFonts w:hint="eastAsia"/>
          <w:strike/>
          <w:color w:val="auto"/>
          <w:highlight w:val="none"/>
        </w:rPr>
        <w:t>（1）联合体各方应按招标文件提供的格式签订联合体协议书，明确联合体牵头人和各方权利义务；</w:t>
      </w:r>
    </w:p>
    <w:p>
      <w:pPr>
        <w:spacing w:line="440" w:lineRule="exact"/>
        <w:ind w:firstLine="718" w:firstLineChars="342"/>
        <w:rPr>
          <w:strike/>
          <w:color w:val="auto"/>
          <w:highlight w:val="none"/>
        </w:rPr>
      </w:pPr>
      <w:r>
        <w:rPr>
          <w:rFonts w:hint="eastAsia"/>
          <w:strike/>
          <w:color w:val="auto"/>
          <w:highlight w:val="none"/>
        </w:rPr>
        <w:t xml:space="preserve">（2）由同一专业的单位组成的联合体，按照资质等级较低的单位确定资质等级； </w:t>
      </w:r>
    </w:p>
    <w:p>
      <w:pPr>
        <w:spacing w:line="440" w:lineRule="exact"/>
        <w:ind w:firstLine="718" w:firstLineChars="342"/>
        <w:rPr>
          <w:strike/>
          <w:color w:val="auto"/>
          <w:highlight w:val="none"/>
        </w:rPr>
      </w:pPr>
      <w:r>
        <w:rPr>
          <w:rFonts w:hint="eastAsia"/>
          <w:strike/>
          <w:color w:val="auto"/>
          <w:highlight w:val="none"/>
        </w:rPr>
        <w:t>（3）联合体各方不得再以自己名义单独或参加其他联合体在同一标段中投标。</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1.4.3投标人不得存在下列情形之一：</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 xml:space="preserve">（1）为招标人不具有独立法人资格的附属机构（单位）； </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 xml:space="preserve">（2）为本标段前期准备提供设计或咨询服务的，但设计施工总承包的除外； </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（3）为本标段的监理人；</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 xml:space="preserve">（4）为本标段的代建人； </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 xml:space="preserve">（5）为本标段提供招标代理服务的； </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（6）与本标段的监理人或代建人或招标代理机构同为一个法定代表人的；</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（7）与本标段的监理人或代建人或招标代理机构相互控股或参股的；</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（8）与本标段的监理人或代建人或招标代理机构相互任职或工作的；</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 xml:space="preserve">（9）被责令停业的； </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 xml:space="preserve">（10）被暂停或取消投标资格的； </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（11）财产被接管或冻结的；</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（12）在最近三年内有骗取中标或严重违约或重大工程质量问题的。</w:t>
      </w:r>
    </w:p>
    <w:p>
      <w:pPr>
        <w:keepNext/>
        <w:keepLines/>
        <w:shd w:val="clear" w:color="auto" w:fill="FFFFFF"/>
        <w:spacing w:line="440" w:lineRule="exact"/>
        <w:outlineLvl w:val="2"/>
        <w:rPr>
          <w:rFonts w:ascii="宋体" w:hAnsi="宋体" w:cs="宋体"/>
          <w:color w:val="auto"/>
          <w:sz w:val="24"/>
          <w:szCs w:val="20"/>
          <w:highlight w:val="none"/>
        </w:rPr>
      </w:pPr>
      <w:bookmarkStart w:id="25" w:name="_Toc144974503"/>
      <w:bookmarkStart w:id="26" w:name="_Toc179632552"/>
      <w:bookmarkStart w:id="27" w:name="_Toc152045535"/>
      <w:bookmarkStart w:id="28" w:name="_Toc152042311"/>
      <w:r>
        <w:rPr>
          <w:rFonts w:hint="eastAsia" w:ascii="宋体" w:hAnsi="宋体" w:cs="宋体"/>
          <w:color w:val="auto"/>
          <w:sz w:val="24"/>
          <w:szCs w:val="20"/>
          <w:highlight w:val="none"/>
        </w:rPr>
        <w:t>1.5 费用承担</w:t>
      </w:r>
      <w:bookmarkEnd w:id="25"/>
      <w:bookmarkEnd w:id="26"/>
      <w:bookmarkEnd w:id="27"/>
      <w:bookmarkEnd w:id="28"/>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投标人准备和参加投标活动发生的费用自理。</w:t>
      </w:r>
    </w:p>
    <w:p>
      <w:pPr>
        <w:keepNext/>
        <w:keepLines/>
        <w:shd w:val="clear" w:color="auto" w:fill="FFFFFF"/>
        <w:spacing w:line="440" w:lineRule="exact"/>
        <w:outlineLvl w:val="2"/>
        <w:rPr>
          <w:rFonts w:ascii="宋体" w:hAnsi="宋体" w:cs="宋体"/>
          <w:color w:val="auto"/>
          <w:sz w:val="24"/>
          <w:szCs w:val="20"/>
          <w:highlight w:val="none"/>
        </w:rPr>
      </w:pPr>
      <w:bookmarkStart w:id="29" w:name="_Toc179632553"/>
      <w:bookmarkStart w:id="30" w:name="_Toc152042312"/>
      <w:bookmarkStart w:id="31" w:name="_Toc144974504"/>
      <w:bookmarkStart w:id="32" w:name="_Toc152045536"/>
      <w:r>
        <w:rPr>
          <w:rFonts w:hint="eastAsia" w:ascii="宋体" w:hAnsi="宋体" w:cs="宋体"/>
          <w:color w:val="auto"/>
          <w:sz w:val="24"/>
          <w:szCs w:val="20"/>
          <w:highlight w:val="none"/>
        </w:rPr>
        <w:t>1.6 保密</w:t>
      </w:r>
      <w:bookmarkEnd w:id="29"/>
      <w:bookmarkEnd w:id="30"/>
      <w:bookmarkEnd w:id="31"/>
      <w:bookmarkEnd w:id="32"/>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 xml:space="preserve">参与招标投标活动的各方应对招标文件和投标文件中的商业和技术等秘密保密，违者应对由此造成的后果承担法律责任。 </w:t>
      </w:r>
    </w:p>
    <w:p>
      <w:pPr>
        <w:keepNext/>
        <w:keepLines/>
        <w:shd w:val="clear" w:color="auto" w:fill="FFFFFF"/>
        <w:spacing w:line="440" w:lineRule="exact"/>
        <w:outlineLvl w:val="2"/>
        <w:rPr>
          <w:rFonts w:ascii="宋体" w:hAnsi="宋体" w:cs="宋体"/>
          <w:color w:val="auto"/>
          <w:sz w:val="24"/>
          <w:szCs w:val="20"/>
          <w:highlight w:val="none"/>
        </w:rPr>
      </w:pPr>
      <w:bookmarkStart w:id="33" w:name="_Toc144974505"/>
      <w:bookmarkStart w:id="34" w:name="_Toc179632554"/>
      <w:bookmarkStart w:id="35" w:name="_Toc152045537"/>
      <w:bookmarkStart w:id="36" w:name="_Toc152042313"/>
      <w:r>
        <w:rPr>
          <w:rFonts w:hint="eastAsia" w:ascii="宋体" w:hAnsi="宋体" w:cs="宋体"/>
          <w:color w:val="auto"/>
          <w:sz w:val="24"/>
          <w:szCs w:val="20"/>
          <w:highlight w:val="none"/>
        </w:rPr>
        <w:t>1.7 语言</w:t>
      </w:r>
      <w:bookmarkEnd w:id="33"/>
      <w:r>
        <w:rPr>
          <w:rFonts w:hint="eastAsia" w:ascii="宋体" w:hAnsi="宋体" w:cs="宋体"/>
          <w:color w:val="auto"/>
          <w:sz w:val="24"/>
          <w:szCs w:val="20"/>
          <w:highlight w:val="none"/>
        </w:rPr>
        <w:t>文字</w:t>
      </w:r>
      <w:bookmarkEnd w:id="34"/>
      <w:bookmarkEnd w:id="35"/>
      <w:bookmarkEnd w:id="36"/>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除专用术语外，与招标投标有关的语言均使用中文。必要时专用术语应附有中文注释。</w:t>
      </w:r>
    </w:p>
    <w:p>
      <w:pPr>
        <w:keepNext/>
        <w:keepLines/>
        <w:shd w:val="clear" w:color="auto" w:fill="FFFFFF"/>
        <w:spacing w:line="440" w:lineRule="exact"/>
        <w:outlineLvl w:val="2"/>
        <w:rPr>
          <w:rFonts w:ascii="宋体" w:hAnsi="宋体" w:cs="宋体"/>
          <w:color w:val="auto"/>
          <w:sz w:val="24"/>
          <w:szCs w:val="20"/>
          <w:highlight w:val="none"/>
        </w:rPr>
      </w:pPr>
      <w:bookmarkStart w:id="37" w:name="_Toc179632555"/>
      <w:bookmarkStart w:id="38" w:name="_Toc144974506"/>
      <w:bookmarkStart w:id="39" w:name="_Toc152045538"/>
      <w:bookmarkStart w:id="40" w:name="_Toc152042314"/>
      <w:r>
        <w:rPr>
          <w:rFonts w:hint="eastAsia" w:ascii="宋体" w:hAnsi="宋体" w:cs="宋体"/>
          <w:color w:val="auto"/>
          <w:sz w:val="24"/>
          <w:szCs w:val="20"/>
          <w:highlight w:val="none"/>
        </w:rPr>
        <w:t>1.8 计量单位</w:t>
      </w:r>
      <w:bookmarkEnd w:id="37"/>
      <w:bookmarkEnd w:id="38"/>
      <w:bookmarkEnd w:id="39"/>
      <w:bookmarkEnd w:id="40"/>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所有计量均采用中华人民共和国法定计量单位。</w:t>
      </w:r>
    </w:p>
    <w:p>
      <w:pPr>
        <w:keepNext/>
        <w:keepLines/>
        <w:shd w:val="clear" w:color="auto" w:fill="FFFFFF"/>
        <w:spacing w:line="440" w:lineRule="exact"/>
        <w:outlineLvl w:val="2"/>
        <w:rPr>
          <w:rFonts w:ascii="宋体" w:hAnsi="宋体" w:cs="宋体"/>
          <w:color w:val="auto"/>
          <w:sz w:val="24"/>
          <w:szCs w:val="20"/>
          <w:highlight w:val="none"/>
        </w:rPr>
      </w:pPr>
      <w:bookmarkStart w:id="41" w:name="_Toc152042315"/>
      <w:bookmarkStart w:id="42" w:name="_Toc152045539"/>
      <w:bookmarkStart w:id="43" w:name="_Toc144974507"/>
      <w:bookmarkStart w:id="44" w:name="_Toc179632556"/>
      <w:r>
        <w:rPr>
          <w:rFonts w:hint="eastAsia" w:ascii="宋体" w:hAnsi="宋体" w:cs="宋体"/>
          <w:color w:val="auto"/>
          <w:sz w:val="24"/>
          <w:szCs w:val="20"/>
          <w:highlight w:val="none"/>
        </w:rPr>
        <w:t>1.9 踏勘现场</w:t>
      </w:r>
      <w:bookmarkEnd w:id="41"/>
      <w:bookmarkEnd w:id="42"/>
      <w:bookmarkEnd w:id="43"/>
      <w:bookmarkEnd w:id="44"/>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 xml:space="preserve">1.9.1 投标人须知前附表规定组织踏勘现场的，招标人按投标人须知前附表规定的时间、地点组织投标人踏勘项目现场。 </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1.9.2 投标人踏勘现场发生的费用自理。</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1.9.3 除招标人的原因外，投标人自行负责在踏勘现场中所发生的人员伤亡和财产损失。</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1.9.4 招标人在踏勘现场中介绍的工程场地和相关的周边环境情况，供投标人在编制投标文件时参考，招标人不对投标人据此作出的判断和决策负责。</w:t>
      </w:r>
    </w:p>
    <w:p>
      <w:pPr>
        <w:keepNext/>
        <w:keepLines/>
        <w:shd w:val="clear" w:color="auto" w:fill="FFFFFF"/>
        <w:spacing w:line="440" w:lineRule="exact"/>
        <w:outlineLvl w:val="2"/>
        <w:rPr>
          <w:rFonts w:ascii="宋体" w:hAnsi="宋体" w:cs="宋体"/>
          <w:color w:val="auto"/>
          <w:sz w:val="24"/>
          <w:szCs w:val="20"/>
          <w:highlight w:val="none"/>
        </w:rPr>
      </w:pPr>
      <w:bookmarkStart w:id="45" w:name="_Toc179632557"/>
      <w:bookmarkStart w:id="46" w:name="_Toc152045540"/>
      <w:bookmarkStart w:id="47" w:name="_Toc144974508"/>
      <w:bookmarkStart w:id="48" w:name="_Toc152042316"/>
      <w:r>
        <w:rPr>
          <w:rFonts w:hint="eastAsia" w:ascii="宋体" w:hAnsi="宋体" w:cs="宋体"/>
          <w:color w:val="auto"/>
          <w:sz w:val="24"/>
          <w:szCs w:val="20"/>
          <w:highlight w:val="none"/>
        </w:rPr>
        <w:t>1.10 投标预备会</w:t>
      </w:r>
      <w:bookmarkEnd w:id="45"/>
      <w:bookmarkEnd w:id="46"/>
      <w:bookmarkEnd w:id="47"/>
      <w:bookmarkEnd w:id="48"/>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1.10.1 投标人须知前附表规定召开投标预备会的，招标人按投标人须知前附表规定的时间和地点召开投标预备会，澄清投标人提出的问题。</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1.10.2 投标人应在投标人须知前附表规定的时间前，以书面形式将提出的问题送达招标人，以便招标人在会议期间澄清。</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1.10.3 投标预备会后，招标人在投标人须知前附表规定的时间内，将对投标人所提问题的澄清，以书面方式通知所有购买招标文件的投标人。该澄清内容为招标文件的组成部分。</w:t>
      </w:r>
    </w:p>
    <w:p>
      <w:pPr>
        <w:keepNext/>
        <w:keepLines/>
        <w:shd w:val="clear" w:color="auto" w:fill="FFFFFF"/>
        <w:spacing w:line="440" w:lineRule="exact"/>
        <w:outlineLvl w:val="2"/>
        <w:rPr>
          <w:rFonts w:ascii="宋体" w:hAnsi="宋体" w:cs="宋体"/>
          <w:color w:val="auto"/>
          <w:sz w:val="24"/>
          <w:szCs w:val="20"/>
          <w:highlight w:val="none"/>
        </w:rPr>
      </w:pPr>
      <w:bookmarkStart w:id="49" w:name="_Toc144974509"/>
      <w:bookmarkStart w:id="50" w:name="_Toc152042317"/>
      <w:bookmarkStart w:id="51" w:name="_Toc152045541"/>
      <w:bookmarkStart w:id="52" w:name="_Toc179632558"/>
      <w:r>
        <w:rPr>
          <w:rFonts w:hint="eastAsia" w:ascii="宋体" w:hAnsi="宋体" w:cs="宋体"/>
          <w:color w:val="auto"/>
          <w:sz w:val="24"/>
          <w:szCs w:val="20"/>
          <w:highlight w:val="none"/>
        </w:rPr>
        <w:t>1.11 分包</w:t>
      </w:r>
      <w:bookmarkEnd w:id="49"/>
      <w:bookmarkEnd w:id="50"/>
      <w:bookmarkEnd w:id="51"/>
      <w:bookmarkEnd w:id="52"/>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投标人拟在中标后将中标项目的部分非主体、非关键性工作进行分包的，应符合投标人须知前附表规定的分包内容、分包金额和接受分包的第三人资质要求等限制性条件。</w:t>
      </w:r>
    </w:p>
    <w:p>
      <w:pPr>
        <w:keepNext/>
        <w:keepLines/>
        <w:shd w:val="clear" w:color="auto" w:fill="FFFFFF"/>
        <w:spacing w:line="440" w:lineRule="exact"/>
        <w:outlineLvl w:val="2"/>
        <w:rPr>
          <w:rFonts w:ascii="宋体" w:hAnsi="宋体" w:cs="宋体"/>
          <w:color w:val="auto"/>
          <w:sz w:val="24"/>
          <w:szCs w:val="20"/>
          <w:highlight w:val="none"/>
        </w:rPr>
      </w:pPr>
      <w:bookmarkStart w:id="53" w:name="_Toc179632559"/>
      <w:r>
        <w:rPr>
          <w:rFonts w:hint="eastAsia" w:ascii="宋体" w:hAnsi="宋体" w:cs="宋体"/>
          <w:color w:val="auto"/>
          <w:sz w:val="24"/>
          <w:szCs w:val="20"/>
          <w:highlight w:val="none"/>
        </w:rPr>
        <w:t>1.12 偏离</w:t>
      </w:r>
      <w:bookmarkEnd w:id="53"/>
    </w:p>
    <w:p>
      <w:pPr>
        <w:shd w:val="clear" w:color="auto" w:fill="FFFFFF"/>
        <w:spacing w:line="440" w:lineRule="exact"/>
        <w:ind w:firstLine="462" w:firstLineChars="220"/>
        <w:rPr>
          <w:rFonts w:ascii="宋体" w:hAnsi="宋体" w:cs="宋体"/>
          <w:color w:val="auto"/>
          <w:highlight w:val="none"/>
        </w:rPr>
      </w:pPr>
      <w:r>
        <w:rPr>
          <w:rFonts w:hint="eastAsia" w:ascii="宋体" w:hAnsi="宋体" w:cs="宋体"/>
          <w:color w:val="auto"/>
          <w:highlight w:val="none"/>
        </w:rPr>
        <w:t>投标人须知前附表允许投标文件偏离招标文件某些要求的，偏离应当符合招标文件规定的偏离范围和幅度。</w:t>
      </w:r>
    </w:p>
    <w:p>
      <w:pPr>
        <w:keepNext/>
        <w:keepLines/>
        <w:shd w:val="clear" w:color="auto" w:fill="FFFFFF"/>
        <w:spacing w:before="100" w:line="440" w:lineRule="exact"/>
        <w:outlineLvl w:val="1"/>
        <w:rPr>
          <w:rFonts w:ascii="宋体" w:hAnsi="宋体" w:cs="宋体"/>
          <w:color w:val="auto"/>
          <w:sz w:val="28"/>
          <w:szCs w:val="20"/>
          <w:highlight w:val="none"/>
        </w:rPr>
      </w:pPr>
      <w:bookmarkStart w:id="54" w:name="_Toc179632560"/>
      <w:bookmarkStart w:id="55" w:name="_Toc152045542"/>
      <w:bookmarkStart w:id="56" w:name="_Toc144974510"/>
      <w:bookmarkStart w:id="57" w:name="_Toc152042318"/>
      <w:r>
        <w:rPr>
          <w:rFonts w:hint="eastAsia" w:ascii="宋体" w:hAnsi="宋体" w:cs="宋体"/>
          <w:color w:val="auto"/>
          <w:sz w:val="28"/>
          <w:szCs w:val="20"/>
          <w:highlight w:val="none"/>
        </w:rPr>
        <w:t>2. 招标文件</w:t>
      </w:r>
      <w:bookmarkEnd w:id="54"/>
      <w:bookmarkEnd w:id="55"/>
      <w:bookmarkEnd w:id="56"/>
      <w:bookmarkEnd w:id="57"/>
    </w:p>
    <w:p>
      <w:pPr>
        <w:keepNext/>
        <w:keepLines/>
        <w:shd w:val="clear" w:color="auto" w:fill="FFFFFF"/>
        <w:spacing w:line="440" w:lineRule="exact"/>
        <w:outlineLvl w:val="2"/>
        <w:rPr>
          <w:rFonts w:ascii="宋体" w:hAnsi="宋体" w:cs="宋体"/>
          <w:color w:val="auto"/>
          <w:sz w:val="24"/>
          <w:szCs w:val="20"/>
          <w:highlight w:val="none"/>
        </w:rPr>
      </w:pPr>
      <w:bookmarkStart w:id="58" w:name="_Toc144974511"/>
      <w:bookmarkStart w:id="59" w:name="_Toc152042319"/>
      <w:bookmarkStart w:id="60" w:name="_Toc179632561"/>
      <w:bookmarkStart w:id="61" w:name="_Toc152045543"/>
      <w:r>
        <w:rPr>
          <w:rFonts w:hint="eastAsia" w:ascii="宋体" w:hAnsi="宋体" w:cs="宋体"/>
          <w:color w:val="auto"/>
          <w:sz w:val="24"/>
          <w:szCs w:val="20"/>
          <w:highlight w:val="none"/>
        </w:rPr>
        <w:t>2.1 招标文件的组成</w:t>
      </w:r>
      <w:bookmarkEnd w:id="58"/>
      <w:bookmarkEnd w:id="59"/>
      <w:bookmarkEnd w:id="60"/>
      <w:bookmarkEnd w:id="61"/>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本招标文件包括：</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（1）招标公告（或投标邀请书）；</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（2）投标人须知；</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（3）评标办法；</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（4）合同条款及格式；</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 xml:space="preserve">（5）工程量清单； </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 xml:space="preserve">（6）图纸； </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 xml:space="preserve">（7）技术标准和要求； </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（8）投标文件格式；</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（9）投标人须知前附表规定的其他材料。</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根据本章第1.10款、第2.2款和第2.3款对招标文件所作的澄清、修改，构成招标文件的组成部分。</w:t>
      </w:r>
    </w:p>
    <w:p>
      <w:pPr>
        <w:keepNext/>
        <w:keepLines/>
        <w:shd w:val="clear" w:color="auto" w:fill="FFFFFF"/>
        <w:spacing w:line="440" w:lineRule="exact"/>
        <w:outlineLvl w:val="2"/>
        <w:rPr>
          <w:rFonts w:ascii="宋体" w:hAnsi="宋体" w:cs="宋体"/>
          <w:color w:val="auto"/>
          <w:sz w:val="24"/>
          <w:szCs w:val="20"/>
          <w:highlight w:val="none"/>
        </w:rPr>
      </w:pPr>
      <w:bookmarkStart w:id="62" w:name="_Toc144974512"/>
      <w:bookmarkStart w:id="63" w:name="_Toc152045544"/>
      <w:bookmarkStart w:id="64" w:name="_Toc179632562"/>
      <w:bookmarkStart w:id="65" w:name="_Toc152042320"/>
      <w:r>
        <w:rPr>
          <w:rFonts w:hint="eastAsia" w:ascii="宋体" w:hAnsi="宋体" w:cs="宋体"/>
          <w:color w:val="auto"/>
          <w:sz w:val="24"/>
          <w:szCs w:val="20"/>
          <w:highlight w:val="none"/>
        </w:rPr>
        <w:t>2.2 招标文件的澄清</w:t>
      </w:r>
      <w:bookmarkEnd w:id="62"/>
      <w:bookmarkEnd w:id="63"/>
      <w:bookmarkEnd w:id="64"/>
      <w:bookmarkEnd w:id="65"/>
      <w:r>
        <w:rPr>
          <w:rFonts w:hint="eastAsia" w:ascii="宋体" w:hAnsi="宋体" w:cs="宋体"/>
          <w:color w:val="auto"/>
          <w:sz w:val="24"/>
          <w:szCs w:val="20"/>
          <w:highlight w:val="none"/>
        </w:rPr>
        <w:t>或者修改</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2.2.1投标人应仔细阅读和检查招标文件的全部内容。</w:t>
      </w:r>
      <w:r>
        <w:rPr>
          <w:rFonts w:hint="eastAsia" w:ascii="宋体" w:hAnsi="宋体" w:cs="宋体"/>
          <w:color w:val="auto"/>
          <w:szCs w:val="21"/>
          <w:highlight w:val="none"/>
        </w:rPr>
        <w:t>如发现缺页或附件不全，应及时向招标人提出，以便补齐。</w:t>
      </w:r>
      <w:r>
        <w:rPr>
          <w:rFonts w:hint="eastAsia" w:ascii="宋体" w:hAnsi="宋体" w:cs="宋体"/>
          <w:color w:val="auto"/>
          <w:highlight w:val="none"/>
        </w:rPr>
        <w:t>如有疑问，应在投标人须知前附表规定的时间前以书面形式（包括信函、电报、传真等可以有形地表现所载内容的形式，下同），要求招标人对招标文件予以澄清。</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2.2.2招标人可以对已发出的招标文件进行必要的澄清或修改。澄清或修改的内容可能影响投标文件编制的，招标人应当在投标截止时间至少15日前，以书面形式或有效的数据电文形式通知所有获取招标文件的潜在投标人；不足15日的，招标人应当顺延提交投标文件的截止时间。</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2.2.3 投标人在收到澄清或者修改内容后，应在投标人须知前附表规定的时间内以书面形式通知招标人，确认已收到该澄清或者修改。（注：采用电子投标的项目，潜在投标人应密切关注电子招投标交易平台，如有补充文件，投标人必须下载最新的澄清（补充）文件并导入投标文件制作工具，否则将无法上传至交易平台。）</w:t>
      </w:r>
    </w:p>
    <w:p>
      <w:pPr>
        <w:keepNext/>
        <w:keepLines/>
        <w:shd w:val="clear" w:color="auto" w:fill="FFFFFF"/>
        <w:spacing w:before="100" w:line="440" w:lineRule="exact"/>
        <w:outlineLvl w:val="1"/>
        <w:rPr>
          <w:rFonts w:ascii="宋体" w:hAnsi="宋体" w:cs="宋体"/>
          <w:color w:val="auto"/>
          <w:sz w:val="28"/>
          <w:szCs w:val="20"/>
          <w:highlight w:val="none"/>
        </w:rPr>
      </w:pPr>
      <w:bookmarkStart w:id="66" w:name="_Toc152045546"/>
      <w:bookmarkStart w:id="67" w:name="_Toc144974514"/>
      <w:bookmarkStart w:id="68" w:name="_Toc152042322"/>
      <w:bookmarkStart w:id="69" w:name="_Toc179632564"/>
      <w:r>
        <w:rPr>
          <w:rFonts w:hint="eastAsia" w:ascii="宋体" w:hAnsi="宋体" w:cs="宋体"/>
          <w:color w:val="auto"/>
          <w:sz w:val="28"/>
          <w:szCs w:val="20"/>
          <w:highlight w:val="none"/>
        </w:rPr>
        <w:t>3. 投标文件</w:t>
      </w:r>
      <w:bookmarkEnd w:id="66"/>
      <w:bookmarkEnd w:id="67"/>
      <w:bookmarkEnd w:id="68"/>
      <w:bookmarkEnd w:id="69"/>
    </w:p>
    <w:p>
      <w:pPr>
        <w:keepNext/>
        <w:keepLines/>
        <w:shd w:val="clear" w:color="auto" w:fill="FFFFFF"/>
        <w:spacing w:line="440" w:lineRule="exact"/>
        <w:outlineLvl w:val="2"/>
        <w:rPr>
          <w:rFonts w:ascii="宋体" w:hAnsi="宋体" w:cs="宋体"/>
          <w:color w:val="auto"/>
          <w:sz w:val="24"/>
          <w:szCs w:val="20"/>
          <w:highlight w:val="none"/>
        </w:rPr>
      </w:pPr>
      <w:bookmarkStart w:id="70" w:name="_Toc179632565"/>
      <w:bookmarkStart w:id="71" w:name="_Toc144974515"/>
      <w:bookmarkStart w:id="72" w:name="_Toc152042323"/>
      <w:bookmarkStart w:id="73" w:name="_Toc152045547"/>
      <w:r>
        <w:rPr>
          <w:rFonts w:hint="eastAsia" w:ascii="宋体" w:hAnsi="宋体" w:cs="宋体"/>
          <w:color w:val="auto"/>
          <w:sz w:val="24"/>
          <w:szCs w:val="20"/>
          <w:highlight w:val="none"/>
        </w:rPr>
        <w:t>3.1 投标文件的组成</w:t>
      </w:r>
      <w:bookmarkEnd w:id="70"/>
      <w:bookmarkEnd w:id="71"/>
      <w:bookmarkEnd w:id="72"/>
      <w:bookmarkEnd w:id="73"/>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3.1.1投标文件应包括下列内容（按第八章 投标文件格式选择）：</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1、资格审查资料：</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具体详见第八章投标文件格式资格后审投标人必须提交的资料。</w:t>
      </w:r>
    </w:p>
    <w:p>
      <w:pPr>
        <w:shd w:val="clear" w:color="auto" w:fill="FFFFFF"/>
        <w:spacing w:line="440" w:lineRule="exact"/>
        <w:ind w:firstLine="420" w:firstLineChars="200"/>
        <w:rPr>
          <w:rFonts w:ascii="宋体" w:hAnsi="宋体" w:cs="宋体"/>
          <w:color w:val="auto"/>
          <w:highlight w:val="none"/>
          <w:u w:val="single"/>
        </w:rPr>
      </w:pPr>
      <w:r>
        <w:rPr>
          <w:rFonts w:hint="eastAsia" w:ascii="宋体" w:hAnsi="宋体" w:cs="宋体"/>
          <w:color w:val="auto"/>
          <w:highlight w:val="none"/>
        </w:rPr>
        <w:t>2、投标函：</w:t>
      </w:r>
      <w:r>
        <w:rPr>
          <w:rFonts w:hint="eastAsia" w:ascii="宋体" w:hAnsi="宋体" w:cs="宋体"/>
          <w:color w:val="auto"/>
          <w:highlight w:val="none"/>
          <w:u w:val="single"/>
        </w:rPr>
        <w:t xml:space="preserve">                    /                </w:t>
      </w:r>
    </w:p>
    <w:p>
      <w:pPr>
        <w:shd w:val="clear" w:color="auto" w:fill="FFFFFF"/>
        <w:spacing w:line="440" w:lineRule="exact"/>
        <w:ind w:firstLine="420" w:firstLineChars="200"/>
        <w:rPr>
          <w:rFonts w:ascii="宋体" w:hAnsi="宋体" w:cs="宋体"/>
          <w:color w:val="auto"/>
          <w:highlight w:val="none"/>
          <w:u w:val="single"/>
        </w:rPr>
      </w:pPr>
      <w:r>
        <w:rPr>
          <w:rFonts w:hint="eastAsia" w:ascii="宋体" w:hAnsi="宋体" w:cs="宋体"/>
          <w:color w:val="auto"/>
          <w:highlight w:val="none"/>
        </w:rPr>
        <w:t>3、商务标：</w:t>
      </w:r>
      <w:r>
        <w:rPr>
          <w:rFonts w:hint="eastAsia" w:ascii="宋体" w:hAnsi="宋体" w:cs="宋体"/>
          <w:b/>
          <w:color w:val="auto"/>
          <w:highlight w:val="none"/>
          <w:u w:val="single"/>
        </w:rPr>
        <w:t>一、封面；二、授权委托书；三、</w:t>
      </w:r>
      <w:r>
        <w:rPr>
          <w:rFonts w:hint="eastAsia"/>
          <w:b/>
          <w:color w:val="auto"/>
          <w:highlight w:val="none"/>
          <w:u w:val="single"/>
        </w:rPr>
        <w:t>投标函；</w:t>
      </w:r>
      <w:r>
        <w:rPr>
          <w:rFonts w:hint="eastAsia" w:ascii="宋体" w:hAnsi="宋体" w:cs="宋体"/>
          <w:b/>
          <w:color w:val="auto"/>
          <w:highlight w:val="none"/>
          <w:u w:val="single"/>
        </w:rPr>
        <w:t>四、投标承诺书；五、投标设备材料报价明细表；</w:t>
      </w:r>
      <w:r>
        <w:rPr>
          <w:rFonts w:hint="eastAsia"/>
          <w:b/>
          <w:color w:val="auto"/>
          <w:highlight w:val="none"/>
          <w:u w:val="single"/>
        </w:rPr>
        <w:t>六、随机专用工具及备品备件明细表；七、供招标人选购的备品备件一览表；八、驻项目现场的工程技术、管理人员；</w:t>
      </w:r>
      <w:r>
        <w:rPr>
          <w:rFonts w:hint="eastAsia" w:ascii="宋体" w:hAnsi="宋体" w:cs="宋体"/>
          <w:b/>
          <w:color w:val="auto"/>
          <w:highlight w:val="none"/>
          <w:u w:val="single"/>
        </w:rPr>
        <w:t>九、投标人需要说明的其他文件和说明（如有，格式自拟）</w:t>
      </w:r>
      <w:r>
        <w:rPr>
          <w:rFonts w:hint="eastAsia" w:ascii="宋体" w:hAnsi="宋体" w:cs="宋体"/>
          <w:b/>
          <w:color w:val="auto"/>
          <w:szCs w:val="21"/>
          <w:highlight w:val="none"/>
          <w:u w:val="single"/>
        </w:rPr>
        <w:t>。</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4、技术标：</w:t>
      </w:r>
      <w:r>
        <w:rPr>
          <w:rFonts w:hint="eastAsia" w:ascii="宋体" w:hAnsi="宋体" w:cs="宋体"/>
          <w:b/>
          <w:color w:val="auto"/>
          <w:highlight w:val="none"/>
          <w:u w:val="single"/>
        </w:rPr>
        <w:t>封面、投标人提供的技术评审打分资料索引表、技术偏离表、根据技术标评标内容自拟（格式自拟）。</w:t>
      </w:r>
    </w:p>
    <w:p>
      <w:pPr>
        <w:keepNext/>
        <w:keepLines/>
        <w:shd w:val="clear" w:color="auto" w:fill="FFFFFF"/>
        <w:spacing w:line="440" w:lineRule="exact"/>
        <w:outlineLvl w:val="2"/>
        <w:rPr>
          <w:rFonts w:ascii="宋体" w:hAnsi="宋体" w:cs="宋体"/>
          <w:color w:val="auto"/>
          <w:sz w:val="24"/>
          <w:szCs w:val="20"/>
          <w:highlight w:val="none"/>
        </w:rPr>
      </w:pPr>
      <w:bookmarkStart w:id="74" w:name="_Toc179632566"/>
      <w:bookmarkStart w:id="75" w:name="_Toc144974516"/>
      <w:bookmarkStart w:id="76" w:name="_Toc152045548"/>
      <w:bookmarkStart w:id="77" w:name="_Toc152042324"/>
      <w:r>
        <w:rPr>
          <w:rFonts w:hint="eastAsia" w:ascii="宋体" w:hAnsi="宋体" w:cs="宋体"/>
          <w:color w:val="auto"/>
          <w:sz w:val="24"/>
          <w:szCs w:val="20"/>
          <w:highlight w:val="none"/>
        </w:rPr>
        <w:t>3.2 投标报价</w:t>
      </w:r>
      <w:bookmarkEnd w:id="74"/>
      <w:bookmarkEnd w:id="75"/>
      <w:bookmarkEnd w:id="76"/>
      <w:bookmarkEnd w:id="77"/>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3.2.1 投标人应按招标文件的要求填写相应表格。</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3.2.2（补） 投标报价书写规范说明：</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1 \* GB3 </w:instrText>
      </w:r>
      <w:r>
        <w:rPr>
          <w:rFonts w:hint="eastAsia" w:ascii="宋体" w:hAnsi="宋体" w:cs="宋体"/>
          <w:color w:val="auto"/>
          <w:highlight w:val="none"/>
        </w:rPr>
        <w:fldChar w:fldCharType="separate"/>
      </w:r>
      <w:r>
        <w:rPr>
          <w:rFonts w:hint="eastAsia" w:ascii="宋体" w:hAnsi="宋体" w:cs="宋体"/>
          <w:color w:val="auto"/>
          <w:highlight w:val="none"/>
        </w:rPr>
        <w:t>①</w:t>
      </w:r>
      <w:r>
        <w:rPr>
          <w:rFonts w:hint="eastAsia" w:ascii="宋体" w:hAnsi="宋体" w:cs="宋体"/>
          <w:color w:val="auto"/>
          <w:highlight w:val="none"/>
        </w:rPr>
        <w:fldChar w:fldCharType="end"/>
      </w:r>
      <w:r>
        <w:rPr>
          <w:rFonts w:hint="eastAsia" w:ascii="宋体" w:hAnsi="宋体" w:cs="宋体"/>
          <w:color w:val="auto"/>
          <w:highlight w:val="none"/>
        </w:rPr>
        <w:t>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2 \* GB3 </w:instrText>
      </w:r>
      <w:r>
        <w:rPr>
          <w:rFonts w:hint="eastAsia" w:ascii="宋体" w:hAnsi="宋体" w:cs="宋体"/>
          <w:color w:val="auto"/>
          <w:highlight w:val="none"/>
        </w:rPr>
        <w:fldChar w:fldCharType="separate"/>
      </w:r>
      <w:r>
        <w:rPr>
          <w:rFonts w:hint="eastAsia" w:ascii="宋体" w:hAnsi="宋体" w:cs="宋体"/>
          <w:color w:val="auto"/>
          <w:highlight w:val="none"/>
        </w:rPr>
        <w:t>②</w:t>
      </w:r>
      <w:r>
        <w:rPr>
          <w:rFonts w:hint="eastAsia" w:ascii="宋体" w:hAnsi="宋体" w:cs="宋体"/>
          <w:color w:val="auto"/>
          <w:highlight w:val="none"/>
        </w:rPr>
        <w:fldChar w:fldCharType="end"/>
      </w:r>
      <w:r>
        <w:rPr>
          <w:rFonts w:hint="eastAsia" w:ascii="宋体" w:hAnsi="宋体" w:cs="宋体"/>
          <w:color w:val="auto"/>
          <w:highlight w:val="none"/>
        </w:rPr>
        <w:t>投标文件中对同一内容有多处报价的，出现报价不一致时，按以下办法处理：</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（1）大写与小写不一致的，以大写为准（大写或者小写书写不规范的，或未填写的按第“①”条处理）；</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（2）有二个及以上大写报价且数值大小有不一致的，按废标处理；</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（3）无大写报价的，但有二个以上小写报价且数值大小有不一致的，按废标处理。</w:t>
      </w:r>
    </w:p>
    <w:p>
      <w:pPr>
        <w:shd w:val="clear" w:color="auto" w:fill="FFFFFF"/>
        <w:spacing w:line="400" w:lineRule="exact"/>
        <w:ind w:firstLine="422" w:firstLineChars="200"/>
        <w:rPr>
          <w:rFonts w:ascii="宋体" w:hAnsi="宋体" w:cs="宋体"/>
          <w:b/>
          <w:bCs/>
          <w:color w:val="auto"/>
          <w:highlight w:val="none"/>
        </w:rPr>
      </w:pPr>
      <w:r>
        <w:rPr>
          <w:rFonts w:hint="eastAsia" w:ascii="宋体" w:hAnsi="宋体" w:cs="宋体"/>
          <w:b/>
          <w:bCs/>
          <w:color w:val="auto"/>
          <w:highlight w:val="none"/>
        </w:rPr>
        <w:t>3.2.4本次招标以人民币报价，投标人的报价（合价）应包括因承包本次采购项目所需的货物价款、劳务、质检（自检）、运输、装卸、指导安装、指导调试、缺陷修复、风险、保险、税费、质保、培训、监造等费用。</w:t>
      </w:r>
    </w:p>
    <w:p>
      <w:pPr>
        <w:shd w:val="clear" w:color="auto" w:fill="FFFFFF"/>
        <w:spacing w:line="400" w:lineRule="exact"/>
        <w:ind w:firstLine="422" w:firstLineChars="200"/>
        <w:rPr>
          <w:rFonts w:ascii="宋体" w:hAnsi="宋体" w:cs="宋体"/>
          <w:b/>
          <w:bCs/>
          <w:color w:val="auto"/>
          <w:highlight w:val="none"/>
        </w:rPr>
      </w:pPr>
      <w:r>
        <w:rPr>
          <w:rFonts w:hint="eastAsia" w:ascii="宋体" w:hAnsi="宋体" w:cs="宋体"/>
          <w:b/>
          <w:bCs/>
          <w:color w:val="auto"/>
          <w:highlight w:val="none"/>
        </w:rPr>
        <w:t>投标人的报价必须是本标书所要求的全部项目投标价的总和，并以投标人在投标报价清单中提供的单价及总额价为依据。</w:t>
      </w:r>
    </w:p>
    <w:p>
      <w:pPr>
        <w:shd w:val="clear" w:color="auto" w:fill="FFFFFF"/>
        <w:spacing w:line="400" w:lineRule="exact"/>
        <w:ind w:firstLine="422" w:firstLineChars="200"/>
        <w:rPr>
          <w:rFonts w:ascii="宋体" w:hAnsi="宋体" w:cs="宋体"/>
          <w:b/>
          <w:bCs/>
          <w:color w:val="auto"/>
          <w:highlight w:val="none"/>
        </w:rPr>
      </w:pPr>
      <w:r>
        <w:rPr>
          <w:rFonts w:hint="eastAsia" w:ascii="宋体" w:hAnsi="宋体" w:cs="宋体"/>
          <w:b/>
          <w:bCs/>
          <w:color w:val="auto"/>
          <w:highlight w:val="none"/>
        </w:rPr>
        <w:t>各细目单价应报综合单价，包括一切与供货相关的费用。</w:t>
      </w:r>
    </w:p>
    <w:p>
      <w:pPr>
        <w:shd w:val="clear" w:color="auto" w:fill="FFFFFF"/>
        <w:spacing w:line="400" w:lineRule="exact"/>
        <w:ind w:firstLine="422" w:firstLineChars="200"/>
        <w:rPr>
          <w:rFonts w:ascii="宋体" w:hAnsi="宋体" w:cs="宋体"/>
          <w:b/>
          <w:bCs/>
          <w:color w:val="auto"/>
          <w:highlight w:val="none"/>
        </w:rPr>
      </w:pPr>
      <w:r>
        <w:rPr>
          <w:rFonts w:hint="eastAsia" w:ascii="宋体" w:hAnsi="宋体" w:cs="宋体"/>
          <w:b/>
          <w:bCs/>
          <w:color w:val="auto"/>
          <w:highlight w:val="none"/>
        </w:rPr>
        <w:t>投标人必须填报各项目单项的价款，今后采购量如有增减，其总价款则按实以单项价款调整。</w:t>
      </w:r>
    </w:p>
    <w:p>
      <w:pPr>
        <w:shd w:val="clear" w:color="auto" w:fill="FFFFFF"/>
        <w:spacing w:line="400" w:lineRule="exact"/>
        <w:ind w:firstLine="422" w:firstLineChars="200"/>
        <w:rPr>
          <w:rFonts w:ascii="宋体" w:hAnsi="宋体" w:cs="宋体"/>
          <w:b/>
          <w:bCs/>
          <w:color w:val="auto"/>
          <w:highlight w:val="none"/>
        </w:rPr>
      </w:pPr>
      <w:r>
        <w:rPr>
          <w:rFonts w:hint="eastAsia" w:ascii="宋体" w:hAnsi="宋体" w:cs="宋体"/>
          <w:b/>
          <w:bCs/>
          <w:color w:val="auto"/>
          <w:highlight w:val="none"/>
        </w:rPr>
        <w:t>投标设备材料报价明细表中标明的价格在合同执行过程中是固定不变的，不得以任何理由予以变更。每个投标人只允许有一个报价，任何有选择的报价将不予接受。</w:t>
      </w:r>
    </w:p>
    <w:p>
      <w:pPr>
        <w:shd w:val="clear" w:color="auto" w:fill="FFFFFF"/>
        <w:spacing w:line="400" w:lineRule="exact"/>
        <w:ind w:firstLine="422" w:firstLineChars="200"/>
        <w:rPr>
          <w:rFonts w:ascii="宋体" w:hAnsi="宋体" w:cs="宋体"/>
          <w:b/>
          <w:bCs/>
          <w:color w:val="auto"/>
          <w:highlight w:val="none"/>
        </w:rPr>
      </w:pPr>
      <w:r>
        <w:rPr>
          <w:rFonts w:hint="eastAsia" w:ascii="宋体" w:hAnsi="宋体" w:cs="宋体"/>
          <w:b/>
          <w:bCs/>
          <w:color w:val="auto"/>
          <w:highlight w:val="none"/>
        </w:rPr>
        <w:t>投标设备材料报价明细表以主要设备材料清单为准，投标设备材料报价明细表中不得漏填项目，否则当实施合同时投标人没有填入单价与金额的项目，将不予支付，并认为此项目费用已包括在价格表的其他项目的单价和金额之中。</w:t>
      </w:r>
    </w:p>
    <w:p>
      <w:pPr>
        <w:shd w:val="clear" w:color="auto" w:fill="FFFFFF"/>
        <w:spacing w:line="400" w:lineRule="exact"/>
        <w:ind w:firstLine="422" w:firstLineChars="200"/>
        <w:rPr>
          <w:rFonts w:ascii="宋体" w:hAnsi="宋体" w:cs="宋体"/>
          <w:b/>
          <w:bCs/>
          <w:color w:val="auto"/>
          <w:highlight w:val="none"/>
        </w:rPr>
      </w:pPr>
      <w:r>
        <w:rPr>
          <w:rFonts w:hint="eastAsia" w:ascii="宋体" w:hAnsi="宋体" w:cs="宋体"/>
          <w:b/>
          <w:bCs/>
          <w:color w:val="auto"/>
          <w:highlight w:val="none"/>
        </w:rPr>
        <w:t>投标设备材料报价明细表需加盖投标人公章并由法定代表人或其委托代理人签字或盖章。</w:t>
      </w:r>
    </w:p>
    <w:p>
      <w:pPr>
        <w:keepNext/>
        <w:keepLines/>
        <w:shd w:val="clear" w:color="auto" w:fill="FFFFFF"/>
        <w:spacing w:line="440" w:lineRule="exact"/>
        <w:outlineLvl w:val="2"/>
        <w:rPr>
          <w:rFonts w:ascii="宋体" w:hAnsi="宋体" w:cs="宋体"/>
          <w:color w:val="auto"/>
          <w:sz w:val="24"/>
          <w:szCs w:val="20"/>
          <w:highlight w:val="none"/>
        </w:rPr>
      </w:pPr>
      <w:bookmarkStart w:id="78" w:name="_Toc144974517"/>
      <w:bookmarkStart w:id="79" w:name="_Toc179632567"/>
      <w:bookmarkStart w:id="80" w:name="_Toc152045549"/>
      <w:bookmarkStart w:id="81" w:name="_Toc152042325"/>
      <w:r>
        <w:rPr>
          <w:rFonts w:hint="eastAsia" w:ascii="宋体" w:hAnsi="宋体" w:cs="宋体"/>
          <w:color w:val="auto"/>
          <w:sz w:val="24"/>
          <w:szCs w:val="20"/>
          <w:highlight w:val="none"/>
        </w:rPr>
        <w:t>3.3 投标有效期</w:t>
      </w:r>
      <w:bookmarkEnd w:id="78"/>
      <w:bookmarkEnd w:id="79"/>
      <w:bookmarkEnd w:id="80"/>
      <w:bookmarkEnd w:id="81"/>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3.3.1 在投标人须知前附表规定的投标有效期内，投标人不得要求撤销或修改其投标文件。</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keepNext/>
        <w:keepLines/>
        <w:shd w:val="clear" w:color="auto" w:fill="FFFFFF"/>
        <w:spacing w:line="440" w:lineRule="exact"/>
        <w:outlineLvl w:val="2"/>
        <w:rPr>
          <w:rFonts w:ascii="宋体" w:hAnsi="宋体" w:cs="宋体"/>
          <w:color w:val="auto"/>
          <w:sz w:val="24"/>
          <w:szCs w:val="20"/>
          <w:highlight w:val="none"/>
        </w:rPr>
      </w:pPr>
      <w:bookmarkStart w:id="82" w:name="_Toc152042326"/>
      <w:bookmarkStart w:id="83" w:name="_Toc152045550"/>
      <w:bookmarkStart w:id="84" w:name="_Toc144974518"/>
      <w:bookmarkStart w:id="85" w:name="_Toc179632568"/>
      <w:r>
        <w:rPr>
          <w:rFonts w:hint="eastAsia" w:ascii="宋体" w:hAnsi="宋体" w:cs="宋体"/>
          <w:color w:val="auto"/>
          <w:sz w:val="24"/>
          <w:szCs w:val="20"/>
          <w:highlight w:val="none"/>
        </w:rPr>
        <w:t>3.4 投标保证金</w:t>
      </w:r>
      <w:bookmarkEnd w:id="82"/>
      <w:bookmarkEnd w:id="83"/>
      <w:bookmarkEnd w:id="84"/>
      <w:bookmarkEnd w:id="85"/>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3.4.1 按现行规定缴交及退还。</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 xml:space="preserve">3.4.2 有下列情形之一的，投标保证金将不予退还： </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（1）投标人在规定的投标有效期内撤销或修改其投标文件；</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（2）中标人在收到中标通知书后，无正当理由拒签合同协议书或未按招标文件规定提交履约担保。</w:t>
      </w:r>
    </w:p>
    <w:p>
      <w:pPr>
        <w:keepNext/>
        <w:keepLines/>
        <w:shd w:val="clear" w:color="auto" w:fill="FFFFFF"/>
        <w:spacing w:line="440" w:lineRule="exact"/>
        <w:outlineLvl w:val="2"/>
        <w:rPr>
          <w:rFonts w:ascii="宋体" w:hAnsi="宋体" w:cs="宋体"/>
          <w:color w:val="auto"/>
          <w:sz w:val="24"/>
          <w:szCs w:val="20"/>
          <w:highlight w:val="none"/>
        </w:rPr>
      </w:pPr>
      <w:bookmarkStart w:id="86" w:name="_Toc152045553"/>
      <w:bookmarkStart w:id="87" w:name="_Toc179632571"/>
      <w:bookmarkStart w:id="88" w:name="_Toc144974521"/>
      <w:bookmarkStart w:id="89" w:name="_Toc152042329"/>
      <w:r>
        <w:rPr>
          <w:rFonts w:hint="eastAsia" w:ascii="宋体" w:hAnsi="宋体" w:cs="宋体"/>
          <w:color w:val="auto"/>
          <w:sz w:val="24"/>
          <w:szCs w:val="20"/>
          <w:highlight w:val="none"/>
        </w:rPr>
        <w:t>3.6 备选投标方案</w:t>
      </w:r>
      <w:bookmarkEnd w:id="86"/>
      <w:bookmarkEnd w:id="87"/>
      <w:bookmarkEnd w:id="88"/>
      <w:bookmarkEnd w:id="89"/>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keepNext/>
        <w:keepLines/>
        <w:shd w:val="clear" w:color="auto" w:fill="FFFFFF"/>
        <w:spacing w:line="440" w:lineRule="exact"/>
        <w:outlineLvl w:val="2"/>
        <w:rPr>
          <w:rFonts w:ascii="宋体" w:hAnsi="宋体" w:cs="宋体"/>
          <w:color w:val="auto"/>
          <w:sz w:val="24"/>
          <w:szCs w:val="20"/>
          <w:highlight w:val="none"/>
        </w:rPr>
      </w:pPr>
      <w:bookmarkStart w:id="90" w:name="_Toc152045554"/>
      <w:bookmarkStart w:id="91" w:name="_Toc179632572"/>
      <w:bookmarkStart w:id="92" w:name="_Toc152042330"/>
      <w:bookmarkStart w:id="93" w:name="_Toc144974522"/>
      <w:r>
        <w:rPr>
          <w:rFonts w:hint="eastAsia" w:ascii="宋体" w:hAnsi="宋体" w:cs="宋体"/>
          <w:color w:val="auto"/>
          <w:sz w:val="24"/>
          <w:szCs w:val="20"/>
          <w:highlight w:val="none"/>
        </w:rPr>
        <w:t>3.7 投标文件的编制</w:t>
      </w:r>
      <w:bookmarkEnd w:id="90"/>
      <w:bookmarkEnd w:id="91"/>
      <w:bookmarkEnd w:id="92"/>
      <w:bookmarkEnd w:id="93"/>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w:t>
      </w:r>
    </w:p>
    <w:p>
      <w:pPr>
        <w:shd w:val="clear" w:color="auto" w:fill="FFFFFF"/>
        <w:spacing w:line="440" w:lineRule="exact"/>
        <w:ind w:firstLine="420" w:firstLineChars="200"/>
        <w:rPr>
          <w:rFonts w:ascii="宋体" w:hAnsi="宋体" w:cs="宋体"/>
          <w:color w:val="auto"/>
          <w:szCs w:val="21"/>
          <w:highlight w:val="none"/>
        </w:rPr>
      </w:pPr>
      <w:r>
        <w:rPr>
          <w:rFonts w:hint="eastAsia" w:ascii="宋体" w:hAnsi="宋体" w:cs="宋体"/>
          <w:color w:val="auto"/>
          <w:highlight w:val="none"/>
        </w:rPr>
        <w:t>3.7.2 投标文件应当对招标文件有关</w:t>
      </w:r>
      <w:r>
        <w:rPr>
          <w:rFonts w:hint="eastAsia" w:ascii="宋体" w:hAnsi="宋体" w:cs="宋体"/>
          <w:color w:val="auto"/>
          <w:szCs w:val="21"/>
          <w:highlight w:val="none"/>
        </w:rPr>
        <w:t>工期、投标有效期、质量要求、技术标准和要求、招标范围等实质性内容作出响应。</w:t>
      </w:r>
    </w:p>
    <w:p>
      <w:pPr>
        <w:shd w:val="clear" w:color="auto" w:fill="FFFFFF"/>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3.7.3投标文件应用不褪色的材料书写或打印，并由投标人的法定代表人或其委托代理人签字或盖单位章</w:t>
      </w:r>
      <w:bookmarkStart w:id="94" w:name="_Hlk11847468"/>
      <w:r>
        <w:rPr>
          <w:rFonts w:hint="eastAsia" w:ascii="宋体" w:hAnsi="宋体" w:cs="宋体"/>
          <w:color w:val="auto"/>
          <w:highlight w:val="none"/>
        </w:rPr>
        <w:t>（不采用电子投标的项目，第八章“</w:t>
      </w:r>
      <w:bookmarkStart w:id="95" w:name="_Hlk11847408"/>
      <w:r>
        <w:rPr>
          <w:rFonts w:hint="eastAsia" w:ascii="宋体" w:hAnsi="宋体" w:cs="宋体"/>
          <w:color w:val="auto"/>
          <w:highlight w:val="none"/>
        </w:rPr>
        <w:t>投标文件格式</w:t>
      </w:r>
      <w:bookmarkEnd w:id="95"/>
      <w:r>
        <w:rPr>
          <w:rFonts w:hint="eastAsia" w:ascii="宋体" w:hAnsi="宋体" w:cs="宋体"/>
          <w:color w:val="auto"/>
          <w:highlight w:val="none"/>
        </w:rPr>
        <w:t>”中各处要求“盖投标人（牵头人）电子公章”和“盖法定代表人电子印章”均视作要求“盖章”）</w:t>
      </w:r>
      <w:bookmarkEnd w:id="94"/>
      <w:r>
        <w:rPr>
          <w:rFonts w:hint="eastAsia" w:ascii="宋体" w:hAnsi="宋体" w:cs="宋体"/>
          <w:color w:val="auto"/>
          <w:highlight w:val="none"/>
        </w:rPr>
        <w:t>。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3.7.4 投标文件正本一份, 副本份数见投标人须知前附表。正本和副本的封面上应清楚地标记“正本”或“副本”的字样。当副本和正本不一致时，以正本为准。</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3.7.5 投标文件的正本与副本应分别装订成册，并编制目录，具体装订要求见投标人须知前附表规定。</w:t>
      </w:r>
    </w:p>
    <w:p>
      <w:pPr>
        <w:keepNext/>
        <w:keepLines/>
        <w:shd w:val="clear" w:color="auto" w:fill="FFFFFF"/>
        <w:spacing w:before="100" w:line="440" w:lineRule="exact"/>
        <w:outlineLvl w:val="1"/>
        <w:rPr>
          <w:rFonts w:ascii="宋体" w:hAnsi="宋体" w:cs="宋体"/>
          <w:color w:val="auto"/>
          <w:sz w:val="28"/>
          <w:szCs w:val="20"/>
          <w:highlight w:val="none"/>
        </w:rPr>
      </w:pPr>
      <w:bookmarkStart w:id="96" w:name="_Toc152042331"/>
      <w:bookmarkStart w:id="97" w:name="_Toc152045555"/>
      <w:bookmarkStart w:id="98" w:name="_Toc144974523"/>
      <w:bookmarkStart w:id="99" w:name="_Toc179632573"/>
      <w:r>
        <w:rPr>
          <w:rFonts w:hint="eastAsia" w:ascii="宋体" w:hAnsi="宋体" w:cs="宋体"/>
          <w:color w:val="auto"/>
          <w:sz w:val="28"/>
          <w:szCs w:val="20"/>
          <w:highlight w:val="none"/>
        </w:rPr>
        <w:t>4. 投标</w:t>
      </w:r>
      <w:bookmarkEnd w:id="96"/>
      <w:bookmarkEnd w:id="97"/>
      <w:bookmarkEnd w:id="98"/>
      <w:bookmarkEnd w:id="99"/>
    </w:p>
    <w:p>
      <w:pPr>
        <w:keepNext/>
        <w:keepLines/>
        <w:shd w:val="clear" w:color="auto" w:fill="FFFFFF"/>
        <w:spacing w:line="440" w:lineRule="exact"/>
        <w:outlineLvl w:val="2"/>
        <w:rPr>
          <w:rFonts w:ascii="宋体" w:hAnsi="宋体" w:cs="宋体"/>
          <w:color w:val="auto"/>
          <w:sz w:val="24"/>
          <w:szCs w:val="20"/>
          <w:highlight w:val="none"/>
        </w:rPr>
      </w:pPr>
      <w:bookmarkStart w:id="100" w:name="_Toc144974524"/>
      <w:bookmarkStart w:id="101" w:name="_Toc152045556"/>
      <w:bookmarkStart w:id="102" w:name="_Toc152042332"/>
      <w:bookmarkStart w:id="103" w:name="_Toc179632574"/>
      <w:r>
        <w:rPr>
          <w:rFonts w:hint="eastAsia" w:ascii="宋体" w:hAnsi="宋体" w:cs="宋体"/>
          <w:color w:val="auto"/>
          <w:sz w:val="24"/>
          <w:szCs w:val="20"/>
          <w:highlight w:val="none"/>
        </w:rPr>
        <w:t>4.1 投标文件的密封和标记</w:t>
      </w:r>
      <w:bookmarkEnd w:id="100"/>
      <w:bookmarkEnd w:id="101"/>
      <w:bookmarkEnd w:id="102"/>
      <w:bookmarkEnd w:id="103"/>
    </w:p>
    <w:p>
      <w:pPr>
        <w:shd w:val="clear" w:color="auto" w:fill="FFFFFF"/>
        <w:spacing w:line="360" w:lineRule="auto"/>
        <w:ind w:firstLine="420" w:firstLineChars="200"/>
        <w:rPr>
          <w:rFonts w:ascii="宋体" w:hAnsi="宋体" w:cs="宋体"/>
          <w:strike/>
          <w:color w:val="auto"/>
          <w:highlight w:val="none"/>
        </w:rPr>
      </w:pPr>
      <w:r>
        <w:rPr>
          <w:rFonts w:hint="eastAsia" w:ascii="宋体" w:hAnsi="宋体" w:cs="宋体"/>
          <w:color w:val="auto"/>
          <w:highlight w:val="none"/>
        </w:rPr>
        <w:t>4.1.1投标文件的资格审查资料、商务标与技术标应分开包装，分别加贴封条，并在封套的封口处加盖投标人单位章。</w:t>
      </w:r>
      <w:r>
        <w:rPr>
          <w:rFonts w:hint="eastAsia" w:ascii="宋体" w:hAnsi="宋体" w:cs="宋体"/>
          <w:strike/>
          <w:color w:val="auto"/>
          <w:highlight w:val="none"/>
        </w:rPr>
        <w:t>资格审查资料纸质原件应单独存放在档案袋中，并在档案袋封面写明投标人名称、纸质原件等字样。</w:t>
      </w:r>
    </w:p>
    <w:p>
      <w:pPr>
        <w:shd w:val="clear" w:color="auto" w:fill="FFFFFF"/>
        <w:spacing w:line="360" w:lineRule="auto"/>
        <w:ind w:firstLine="420" w:firstLineChars="200"/>
        <w:rPr>
          <w:rFonts w:ascii="宋体" w:hAnsi="宋体" w:cs="宋体"/>
          <w:color w:val="auto"/>
          <w:highlight w:val="none"/>
        </w:rPr>
      </w:pPr>
      <w:r>
        <w:rPr>
          <w:rFonts w:hint="eastAsia" w:ascii="宋体" w:hAnsi="宋体" w:cs="宋体"/>
          <w:color w:val="auto"/>
          <w:highlight w:val="none"/>
        </w:rPr>
        <w:t>4.1.2 投标文件的封套上应写明的内容见投标人须知前附表。</w:t>
      </w:r>
    </w:p>
    <w:p>
      <w:pPr>
        <w:shd w:val="clear" w:color="auto" w:fill="FFFFFF"/>
        <w:spacing w:line="360" w:lineRule="auto"/>
        <w:ind w:firstLine="420" w:firstLineChars="200"/>
        <w:rPr>
          <w:rFonts w:ascii="宋体" w:hAnsi="宋体" w:cs="宋体"/>
          <w:color w:val="auto"/>
          <w:highlight w:val="none"/>
        </w:rPr>
      </w:pPr>
      <w:r>
        <w:rPr>
          <w:rFonts w:hint="eastAsia" w:ascii="宋体" w:hAnsi="宋体" w:cs="宋体"/>
          <w:color w:val="auto"/>
          <w:highlight w:val="none"/>
        </w:rPr>
        <w:t>4.1.3 未按本章第4.1.1项或第4.1.2项要求密封和加写标记的投标文件，招标人不予受理。</w:t>
      </w:r>
    </w:p>
    <w:p>
      <w:pPr>
        <w:keepNext/>
        <w:keepLines/>
        <w:shd w:val="clear" w:color="auto" w:fill="FFFFFF"/>
        <w:spacing w:line="440" w:lineRule="exact"/>
        <w:outlineLvl w:val="2"/>
        <w:rPr>
          <w:rFonts w:ascii="宋体" w:hAnsi="宋体" w:cs="宋体"/>
          <w:color w:val="auto"/>
          <w:sz w:val="24"/>
          <w:szCs w:val="20"/>
          <w:highlight w:val="none"/>
        </w:rPr>
      </w:pPr>
      <w:bookmarkStart w:id="104" w:name="_Toc152045557"/>
      <w:bookmarkStart w:id="105" w:name="_Toc179632575"/>
      <w:bookmarkStart w:id="106" w:name="_Toc152042333"/>
      <w:bookmarkStart w:id="107" w:name="_Toc144974525"/>
      <w:r>
        <w:rPr>
          <w:rFonts w:hint="eastAsia" w:ascii="宋体" w:hAnsi="宋体" w:cs="宋体"/>
          <w:color w:val="auto"/>
          <w:sz w:val="24"/>
          <w:szCs w:val="20"/>
          <w:highlight w:val="none"/>
        </w:rPr>
        <w:t>4.2 投标文件的递交</w:t>
      </w:r>
      <w:bookmarkEnd w:id="104"/>
      <w:bookmarkEnd w:id="105"/>
      <w:bookmarkEnd w:id="106"/>
      <w:bookmarkEnd w:id="107"/>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4.2.1 投标人应在本章第2.2.2项规定的投标截止时间前递交投标文件。</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4.2.2 投标人递交投标文件的地点：见投标人须知前附表。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4.2.3 除投标人须知前附表另有规定外，投标人所递交的投标文件不予退还。</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4.2.4 逾期送达的或者未送达指定地点的投标文件，招标人不予受理。</w:t>
      </w:r>
    </w:p>
    <w:p>
      <w:pPr>
        <w:keepNext/>
        <w:keepLines/>
        <w:shd w:val="clear" w:color="auto" w:fill="FFFFFF"/>
        <w:spacing w:line="440" w:lineRule="exact"/>
        <w:outlineLvl w:val="2"/>
        <w:rPr>
          <w:rFonts w:ascii="宋体" w:hAnsi="宋体" w:cs="宋体"/>
          <w:color w:val="auto"/>
          <w:sz w:val="24"/>
          <w:szCs w:val="20"/>
          <w:highlight w:val="none"/>
        </w:rPr>
      </w:pPr>
      <w:bookmarkStart w:id="108" w:name="_Toc152045558"/>
      <w:bookmarkStart w:id="109" w:name="_Toc152042334"/>
      <w:bookmarkStart w:id="110" w:name="_Toc144974526"/>
      <w:bookmarkStart w:id="111" w:name="_Toc179632576"/>
      <w:r>
        <w:rPr>
          <w:rFonts w:hint="eastAsia" w:ascii="宋体" w:hAnsi="宋体" w:cs="宋体"/>
          <w:color w:val="auto"/>
          <w:sz w:val="24"/>
          <w:szCs w:val="20"/>
          <w:highlight w:val="none"/>
        </w:rPr>
        <w:t>4.3 投标文件的修改与撤回</w:t>
      </w:r>
      <w:bookmarkEnd w:id="108"/>
      <w:bookmarkEnd w:id="109"/>
      <w:bookmarkEnd w:id="110"/>
      <w:bookmarkEnd w:id="111"/>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4.3.1 在本章第2.2.2项规定的投标截止时间前，投标人可以修改或撤回已递交的投标文件，但应以书面形式通知招标人。</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4.3.2 投标人修改或撤回已递交投标文件的书面通知应按照本章第3.7.3项的要求签字或盖章。招标人收到书面通知后，向投标人出具签收凭证。</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4.3.3 修改的内容为投标文件的组成部分。修改的投标文件应按照本章第3条、第4条规定进行编制、密封、标记和递交，并标明“修改”字样。</w:t>
      </w:r>
    </w:p>
    <w:p>
      <w:pPr>
        <w:shd w:val="clear" w:color="auto" w:fill="FFFFFF"/>
        <w:spacing w:line="440" w:lineRule="exact"/>
        <w:ind w:firstLine="420" w:firstLineChars="200"/>
        <w:rPr>
          <w:rFonts w:ascii="宋体" w:hAnsi="宋体" w:cs="宋体"/>
          <w:color w:val="auto"/>
          <w:highlight w:val="none"/>
        </w:rPr>
      </w:pPr>
      <w:bookmarkStart w:id="112" w:name="_Toc152042335"/>
      <w:bookmarkStart w:id="113" w:name="_Toc152045559"/>
      <w:bookmarkStart w:id="114" w:name="_Toc144974527"/>
      <w:bookmarkStart w:id="115" w:name="_Toc179632577"/>
      <w:r>
        <w:rPr>
          <w:rFonts w:hint="eastAsia" w:ascii="宋体" w:hAnsi="宋体" w:cs="宋体"/>
          <w:color w:val="auto"/>
          <w:highlight w:val="none"/>
        </w:rPr>
        <w:t>5. 开标</w:t>
      </w:r>
      <w:bookmarkEnd w:id="112"/>
      <w:bookmarkEnd w:id="113"/>
      <w:bookmarkEnd w:id="114"/>
      <w:bookmarkEnd w:id="115"/>
    </w:p>
    <w:p>
      <w:pPr>
        <w:shd w:val="clear" w:color="auto" w:fill="FFFFFF"/>
        <w:spacing w:line="440" w:lineRule="exact"/>
        <w:ind w:firstLine="420" w:firstLineChars="200"/>
        <w:rPr>
          <w:rFonts w:ascii="宋体" w:hAnsi="宋体" w:cs="宋体"/>
          <w:color w:val="auto"/>
          <w:highlight w:val="none"/>
        </w:rPr>
      </w:pPr>
      <w:bookmarkStart w:id="116" w:name="_Toc152042337"/>
      <w:bookmarkStart w:id="117" w:name="_Toc179632579"/>
      <w:bookmarkStart w:id="118" w:name="_Toc144974529"/>
      <w:bookmarkStart w:id="119" w:name="_Toc152045561"/>
      <w:r>
        <w:rPr>
          <w:rFonts w:hint="eastAsia" w:ascii="宋体" w:hAnsi="宋体" w:cs="宋体"/>
          <w:color w:val="auto"/>
          <w:highlight w:val="none"/>
        </w:rPr>
        <w:t>5.1 开标程序</w:t>
      </w:r>
      <w:bookmarkEnd w:id="116"/>
      <w:bookmarkEnd w:id="117"/>
      <w:bookmarkEnd w:id="118"/>
      <w:bookmarkEnd w:id="119"/>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主持人按下列程序进行开标：</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（1）宣布开标纪律；</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（2）公布在投标截止时间前递交投标文件的投标人名称，</w:t>
      </w:r>
      <w:r>
        <w:rPr>
          <w:rFonts w:hint="eastAsia" w:ascii="宋体" w:hAnsi="宋体" w:cs="宋体"/>
          <w:b/>
          <w:bCs/>
          <w:color w:val="auto"/>
          <w:highlight w:val="none"/>
        </w:rPr>
        <w:t>投标人不需到场。</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（3）宣布开标人、唱标人、记录人、监标人等有关人员姓名；</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（4）按照投标人须知前附表规定检查投标文件的密封情况；</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（5）按照投标人须知前附表的规定确定并宣布投标文件开标顺序；</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 xml:space="preserve">（6）设有标底的，公布标底； </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（7）按照宣布的开标顺序当众开标，公布投标人名称、标段名称、投标保证金的递交情况、投标报价、质量目标、工期及其他内容，并记录在案；</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（8）</w:t>
      </w:r>
      <w:r>
        <w:rPr>
          <w:rFonts w:hint="eastAsia" w:ascii="宋体" w:hAnsi="宋体" w:cs="宋体"/>
          <w:b/>
          <w:bCs/>
          <w:color w:val="auto"/>
          <w:highlight w:val="none"/>
        </w:rPr>
        <w:t>投标人不需签字确认</w:t>
      </w:r>
      <w:r>
        <w:rPr>
          <w:rFonts w:hint="eastAsia" w:ascii="宋体" w:hAnsi="宋体" w:cs="宋体"/>
          <w:color w:val="auto"/>
          <w:highlight w:val="none"/>
        </w:rPr>
        <w:t>、招标人代表、监标人、记录人等有关人员在开标记录上签字确认；</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（9）开标结束。</w:t>
      </w:r>
    </w:p>
    <w:p>
      <w:pPr>
        <w:shd w:val="clear" w:color="auto" w:fill="FFFFFF"/>
        <w:spacing w:line="440" w:lineRule="exact"/>
        <w:ind w:firstLine="464" w:firstLineChars="221"/>
        <w:rPr>
          <w:rFonts w:ascii="宋体" w:hAnsi="宋体" w:cs="宋体"/>
          <w:color w:val="auto"/>
          <w:highlight w:val="none"/>
        </w:rPr>
      </w:pPr>
      <w:r>
        <w:rPr>
          <w:rFonts w:hint="eastAsia" w:ascii="宋体" w:hAnsi="宋体" w:cs="宋体"/>
          <w:color w:val="auto"/>
          <w:highlight w:val="none"/>
        </w:rPr>
        <w:t>5.2 评标入围办法：</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全部入围  </w:t>
      </w:r>
      <w:r>
        <w:rPr>
          <w:rFonts w:hint="eastAsia" w:ascii="宋体" w:hAnsi="宋体" w:cs="宋体"/>
          <w:color w:val="auto"/>
          <w:highlight w:val="none"/>
          <w:u w:val="single"/>
        </w:rPr>
        <w:t xml:space="preserve">   </w:t>
      </w:r>
      <w:r>
        <w:rPr>
          <w:rFonts w:hint="eastAsia" w:ascii="宋体" w:hAnsi="宋体" w:cs="宋体"/>
          <w:color w:val="auto"/>
          <w:highlight w:val="none"/>
        </w:rPr>
        <w:t>。</w:t>
      </w:r>
      <w:bookmarkStart w:id="120" w:name="_Toc152042338"/>
      <w:bookmarkStart w:id="121" w:name="_Toc144974530"/>
      <w:bookmarkStart w:id="122" w:name="_Toc179632580"/>
      <w:bookmarkStart w:id="123" w:name="_Toc152045562"/>
    </w:p>
    <w:p>
      <w:pPr>
        <w:shd w:val="clear" w:color="auto" w:fill="FFFFFF"/>
        <w:spacing w:line="440" w:lineRule="exact"/>
        <w:ind w:firstLine="478" w:firstLineChars="171"/>
        <w:rPr>
          <w:rFonts w:ascii="宋体" w:hAnsi="宋体" w:cs="宋体"/>
          <w:color w:val="auto"/>
          <w:sz w:val="28"/>
          <w:szCs w:val="20"/>
          <w:highlight w:val="none"/>
        </w:rPr>
      </w:pPr>
      <w:r>
        <w:rPr>
          <w:rFonts w:hint="eastAsia" w:ascii="宋体" w:hAnsi="宋体" w:cs="宋体"/>
          <w:color w:val="auto"/>
          <w:sz w:val="28"/>
          <w:szCs w:val="20"/>
          <w:highlight w:val="none"/>
        </w:rPr>
        <w:t>6. 评标</w:t>
      </w:r>
      <w:bookmarkEnd w:id="120"/>
      <w:bookmarkEnd w:id="121"/>
      <w:bookmarkEnd w:id="122"/>
      <w:bookmarkEnd w:id="123"/>
    </w:p>
    <w:p>
      <w:pPr>
        <w:keepNext/>
        <w:keepLines/>
        <w:shd w:val="clear" w:color="auto" w:fill="FFFFFF"/>
        <w:spacing w:line="440" w:lineRule="exact"/>
        <w:ind w:firstLine="480" w:firstLineChars="200"/>
        <w:outlineLvl w:val="2"/>
        <w:rPr>
          <w:rFonts w:ascii="宋体" w:hAnsi="宋体" w:cs="宋体"/>
          <w:color w:val="auto"/>
          <w:sz w:val="24"/>
          <w:szCs w:val="20"/>
          <w:highlight w:val="none"/>
        </w:rPr>
      </w:pPr>
      <w:bookmarkStart w:id="124" w:name="_Toc179632581"/>
      <w:bookmarkStart w:id="125" w:name="_Toc152045563"/>
      <w:bookmarkStart w:id="126" w:name="_Toc144974531"/>
      <w:bookmarkStart w:id="127" w:name="_Toc152042339"/>
      <w:r>
        <w:rPr>
          <w:rFonts w:hint="eastAsia" w:ascii="宋体" w:hAnsi="宋体" w:cs="宋体"/>
          <w:color w:val="auto"/>
          <w:sz w:val="24"/>
          <w:szCs w:val="20"/>
          <w:highlight w:val="none"/>
        </w:rPr>
        <w:t>6.1 评标委员会</w:t>
      </w:r>
      <w:bookmarkEnd w:id="124"/>
      <w:bookmarkEnd w:id="125"/>
      <w:bookmarkEnd w:id="126"/>
      <w:bookmarkEnd w:id="127"/>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6.1.2 评标委员会成员有下列情形之一的，应当回避：</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（1）招标人或投标人的主要负责人的近亲属；</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（2）项目主管部门或者行政监督部门的人员；</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（3）与投标人有经济利益关系，可能影响对投标公正评审的；</w:t>
      </w:r>
    </w:p>
    <w:p>
      <w:pPr>
        <w:shd w:val="clear" w:color="auto" w:fill="FFFFFF"/>
        <w:spacing w:line="440" w:lineRule="exact"/>
        <w:ind w:firstLine="718" w:firstLineChars="342"/>
        <w:rPr>
          <w:rFonts w:ascii="宋体" w:hAnsi="宋体" w:cs="宋体"/>
          <w:color w:val="auto"/>
          <w:highlight w:val="none"/>
        </w:rPr>
      </w:pPr>
      <w:r>
        <w:rPr>
          <w:rFonts w:hint="eastAsia" w:ascii="宋体" w:hAnsi="宋体" w:cs="宋体"/>
          <w:color w:val="auto"/>
          <w:highlight w:val="none"/>
        </w:rPr>
        <w:t>（4）曾因在招标、评标以及其他与招标投标有关活动中从事违法行为而受过行政处罚或刑事处罚的。</w:t>
      </w:r>
    </w:p>
    <w:p>
      <w:pPr>
        <w:keepNext/>
        <w:keepLines/>
        <w:shd w:val="clear" w:color="auto" w:fill="FFFFFF"/>
        <w:tabs>
          <w:tab w:val="left" w:pos="2620"/>
        </w:tabs>
        <w:spacing w:line="440" w:lineRule="exact"/>
        <w:outlineLvl w:val="2"/>
        <w:rPr>
          <w:rFonts w:ascii="宋体" w:hAnsi="宋体" w:cs="宋体"/>
          <w:color w:val="auto"/>
          <w:sz w:val="24"/>
          <w:szCs w:val="20"/>
          <w:highlight w:val="none"/>
        </w:rPr>
      </w:pPr>
      <w:bookmarkStart w:id="128" w:name="_Toc152045564"/>
      <w:bookmarkStart w:id="129" w:name="_Toc144974532"/>
      <w:bookmarkStart w:id="130" w:name="_Toc152042340"/>
      <w:bookmarkStart w:id="131" w:name="_Toc179632582"/>
      <w:r>
        <w:rPr>
          <w:rFonts w:hint="eastAsia" w:ascii="宋体" w:hAnsi="宋体" w:cs="宋体"/>
          <w:color w:val="auto"/>
          <w:sz w:val="24"/>
          <w:szCs w:val="20"/>
          <w:highlight w:val="none"/>
        </w:rPr>
        <w:t>6.2 评标原则</w:t>
      </w:r>
      <w:bookmarkEnd w:id="128"/>
      <w:bookmarkEnd w:id="129"/>
      <w:bookmarkEnd w:id="130"/>
      <w:bookmarkEnd w:id="131"/>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评标活动遵循公平、公正、科学和择优的原则。</w:t>
      </w:r>
    </w:p>
    <w:p>
      <w:pPr>
        <w:keepNext/>
        <w:keepLines/>
        <w:shd w:val="clear" w:color="auto" w:fill="FFFFFF"/>
        <w:spacing w:line="440" w:lineRule="exact"/>
        <w:outlineLvl w:val="2"/>
        <w:rPr>
          <w:rFonts w:ascii="宋体" w:hAnsi="宋体" w:cs="宋体"/>
          <w:color w:val="auto"/>
          <w:sz w:val="24"/>
          <w:szCs w:val="20"/>
          <w:highlight w:val="none"/>
        </w:rPr>
      </w:pPr>
      <w:bookmarkStart w:id="132" w:name="_Toc144974533"/>
      <w:bookmarkStart w:id="133" w:name="_Toc152045565"/>
      <w:bookmarkStart w:id="134" w:name="_Toc152042341"/>
      <w:bookmarkStart w:id="135" w:name="_Toc179632583"/>
      <w:r>
        <w:rPr>
          <w:rFonts w:hint="eastAsia" w:ascii="宋体" w:hAnsi="宋体" w:cs="宋体"/>
          <w:color w:val="auto"/>
          <w:sz w:val="24"/>
          <w:szCs w:val="20"/>
          <w:highlight w:val="none"/>
        </w:rPr>
        <w:t>6.3 评标</w:t>
      </w:r>
      <w:bookmarkEnd w:id="132"/>
      <w:bookmarkEnd w:id="133"/>
      <w:bookmarkEnd w:id="134"/>
      <w:bookmarkEnd w:id="135"/>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6.3.1评标委员会按照第三章“评标办法”规定的方法、评审因素、标准和程序对投标文件进行评审。第三章“评标办法”没有规定的方法、评审因素和标准，不作为评标依据。</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6.3.2</w:t>
      </w:r>
      <w:r>
        <w:rPr>
          <w:rFonts w:hint="eastAsia" w:ascii="宋体" w:hAnsi="宋体" w:cs="宋体"/>
          <w:b/>
          <w:bCs/>
          <w:color w:val="auto"/>
          <w:highlight w:val="none"/>
        </w:rPr>
        <w:t>评标委员会通过邮件形式在线质询，投标单位通过邮件形式回复，一般应在30分钟内提供书面答复</w:t>
      </w:r>
      <w:r>
        <w:rPr>
          <w:rFonts w:hint="eastAsia" w:ascii="宋体" w:hAnsi="宋体" w:cs="宋体"/>
          <w:color w:val="auto"/>
          <w:highlight w:val="none"/>
        </w:rPr>
        <w:t>，情况特别复杂的，经评标委员会同意后，可视情延长回复时限。</w:t>
      </w:r>
    </w:p>
    <w:p>
      <w:pPr>
        <w:keepNext/>
        <w:keepLines/>
        <w:shd w:val="clear" w:color="auto" w:fill="FFFFFF"/>
        <w:spacing w:before="100" w:line="440" w:lineRule="exact"/>
        <w:outlineLvl w:val="1"/>
        <w:rPr>
          <w:rFonts w:ascii="宋体" w:hAnsi="宋体" w:cs="宋体"/>
          <w:color w:val="auto"/>
          <w:sz w:val="28"/>
          <w:szCs w:val="20"/>
          <w:highlight w:val="none"/>
        </w:rPr>
      </w:pPr>
      <w:bookmarkStart w:id="136" w:name="_Toc144974534"/>
      <w:bookmarkStart w:id="137" w:name="_Toc152045566"/>
      <w:bookmarkStart w:id="138" w:name="_Toc179632584"/>
      <w:bookmarkStart w:id="139" w:name="_Toc152042342"/>
      <w:r>
        <w:rPr>
          <w:rFonts w:hint="eastAsia" w:ascii="宋体" w:hAnsi="宋体" w:cs="宋体"/>
          <w:color w:val="auto"/>
          <w:sz w:val="28"/>
          <w:szCs w:val="20"/>
          <w:highlight w:val="none"/>
        </w:rPr>
        <w:t>7. 合同授予</w:t>
      </w:r>
      <w:bookmarkEnd w:id="136"/>
      <w:bookmarkEnd w:id="137"/>
      <w:bookmarkEnd w:id="138"/>
      <w:bookmarkEnd w:id="139"/>
    </w:p>
    <w:p>
      <w:pPr>
        <w:keepNext/>
        <w:keepLines/>
        <w:shd w:val="clear" w:color="auto" w:fill="FFFFFF"/>
        <w:spacing w:line="440" w:lineRule="exact"/>
        <w:outlineLvl w:val="2"/>
        <w:rPr>
          <w:rFonts w:ascii="宋体" w:hAnsi="宋体" w:cs="宋体"/>
          <w:color w:val="auto"/>
          <w:sz w:val="24"/>
          <w:szCs w:val="20"/>
          <w:highlight w:val="none"/>
        </w:rPr>
      </w:pPr>
      <w:bookmarkStart w:id="140" w:name="_Toc152045567"/>
      <w:bookmarkStart w:id="141" w:name="_Toc144974535"/>
      <w:bookmarkStart w:id="142" w:name="_Toc179632585"/>
      <w:bookmarkStart w:id="143" w:name="_Toc152042343"/>
      <w:r>
        <w:rPr>
          <w:rFonts w:hint="eastAsia" w:ascii="宋体" w:hAnsi="宋体" w:cs="宋体"/>
          <w:color w:val="auto"/>
          <w:sz w:val="24"/>
          <w:szCs w:val="20"/>
          <w:highlight w:val="none"/>
        </w:rPr>
        <w:t>7.1 定标方式</w:t>
      </w:r>
      <w:bookmarkEnd w:id="140"/>
      <w:bookmarkEnd w:id="141"/>
      <w:bookmarkEnd w:id="142"/>
      <w:bookmarkEnd w:id="143"/>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除投标人须知前附表规定评标委员会直接确定中标人外，招标人依据评标委员会推荐的中标候选人确定中标人，评标委员会推荐中标候选人的人数按有关规定。</w:t>
      </w:r>
    </w:p>
    <w:p>
      <w:pPr>
        <w:keepNext/>
        <w:keepLines/>
        <w:shd w:val="clear" w:color="auto" w:fill="FFFFFF"/>
        <w:spacing w:line="440" w:lineRule="exact"/>
        <w:outlineLvl w:val="2"/>
        <w:rPr>
          <w:rFonts w:ascii="宋体" w:hAnsi="宋体" w:cs="宋体"/>
          <w:color w:val="auto"/>
          <w:sz w:val="24"/>
          <w:szCs w:val="20"/>
          <w:highlight w:val="none"/>
        </w:rPr>
      </w:pPr>
      <w:bookmarkStart w:id="144" w:name="_Toc152042344"/>
      <w:bookmarkStart w:id="145" w:name="_Toc152045568"/>
      <w:bookmarkStart w:id="146" w:name="_Toc179632586"/>
      <w:bookmarkStart w:id="147" w:name="_Toc144974536"/>
      <w:r>
        <w:rPr>
          <w:rFonts w:hint="eastAsia" w:ascii="宋体" w:hAnsi="宋体" w:cs="宋体"/>
          <w:color w:val="auto"/>
          <w:sz w:val="24"/>
          <w:szCs w:val="20"/>
          <w:highlight w:val="none"/>
        </w:rPr>
        <w:t>7.2 中标通知</w:t>
      </w:r>
      <w:bookmarkEnd w:id="144"/>
      <w:bookmarkEnd w:id="145"/>
      <w:bookmarkEnd w:id="146"/>
      <w:bookmarkEnd w:id="147"/>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在本章第3.3款规定的投标有效期内，招标人以书面形式向中标人发出中标通知书，同时将中标结果通知未中标的投标人。</w:t>
      </w:r>
    </w:p>
    <w:p>
      <w:pPr>
        <w:keepNext/>
        <w:keepLines/>
        <w:shd w:val="clear" w:color="auto" w:fill="FFFFFF"/>
        <w:spacing w:line="440" w:lineRule="exact"/>
        <w:outlineLvl w:val="2"/>
        <w:rPr>
          <w:rFonts w:ascii="宋体" w:hAnsi="宋体" w:cs="宋体"/>
          <w:color w:val="auto"/>
          <w:sz w:val="24"/>
          <w:szCs w:val="20"/>
          <w:highlight w:val="none"/>
        </w:rPr>
      </w:pPr>
      <w:bookmarkStart w:id="148" w:name="_Toc152045569"/>
      <w:bookmarkStart w:id="149" w:name="_Toc179632587"/>
      <w:bookmarkStart w:id="150" w:name="_Toc152042345"/>
      <w:bookmarkStart w:id="151" w:name="_Toc144974537"/>
      <w:r>
        <w:rPr>
          <w:rFonts w:hint="eastAsia" w:ascii="宋体" w:hAnsi="宋体" w:cs="宋体"/>
          <w:color w:val="auto"/>
          <w:sz w:val="24"/>
          <w:szCs w:val="20"/>
          <w:highlight w:val="none"/>
        </w:rPr>
        <w:t>7.3 履约担保</w:t>
      </w:r>
      <w:bookmarkEnd w:id="148"/>
      <w:bookmarkEnd w:id="149"/>
      <w:bookmarkEnd w:id="150"/>
      <w:bookmarkEnd w:id="151"/>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7.3.1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7.3.2 中标人不能按本章第7.3.1项要求提交履约担保的，视为放弃中标，其投标保证金不予退还，给招标人造成的损失超过投标保证金数额的，中标人还应当对超过部分予以赔偿。</w:t>
      </w:r>
    </w:p>
    <w:p>
      <w:pPr>
        <w:keepNext/>
        <w:keepLines/>
        <w:shd w:val="clear" w:color="auto" w:fill="FFFFFF"/>
        <w:spacing w:line="440" w:lineRule="exact"/>
        <w:outlineLvl w:val="2"/>
        <w:rPr>
          <w:rFonts w:ascii="宋体" w:hAnsi="宋体" w:cs="宋体"/>
          <w:color w:val="auto"/>
          <w:sz w:val="24"/>
          <w:szCs w:val="20"/>
          <w:highlight w:val="none"/>
        </w:rPr>
      </w:pPr>
      <w:bookmarkStart w:id="152" w:name="_Toc152042346"/>
      <w:bookmarkStart w:id="153" w:name="_Toc144974538"/>
      <w:bookmarkStart w:id="154" w:name="_Toc179632588"/>
      <w:bookmarkStart w:id="155" w:name="_Toc152045570"/>
      <w:r>
        <w:rPr>
          <w:rFonts w:hint="eastAsia" w:ascii="宋体" w:hAnsi="宋体" w:cs="宋体"/>
          <w:color w:val="auto"/>
          <w:sz w:val="24"/>
          <w:szCs w:val="20"/>
          <w:highlight w:val="none"/>
        </w:rPr>
        <w:t>7.4 签订合同</w:t>
      </w:r>
      <w:bookmarkEnd w:id="152"/>
      <w:bookmarkEnd w:id="153"/>
      <w:bookmarkEnd w:id="154"/>
      <w:bookmarkEnd w:id="155"/>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 xml:space="preserve">7.4.1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 xml:space="preserve">7.4.2 发出中标通知书后，招标人无正当理由拒签合同的，招标人向中标人退还投标保证金；给中标人造成损失的，还应当赔偿损失。 </w:t>
      </w:r>
    </w:p>
    <w:p>
      <w:pPr>
        <w:keepNext/>
        <w:keepLines/>
        <w:shd w:val="clear" w:color="auto" w:fill="FFFFFF"/>
        <w:spacing w:before="100" w:line="440" w:lineRule="exact"/>
        <w:outlineLvl w:val="1"/>
        <w:rPr>
          <w:rFonts w:ascii="宋体" w:hAnsi="宋体" w:cs="宋体"/>
          <w:color w:val="auto"/>
          <w:sz w:val="28"/>
          <w:szCs w:val="20"/>
          <w:highlight w:val="none"/>
        </w:rPr>
      </w:pPr>
      <w:bookmarkStart w:id="156" w:name="_Toc152042347"/>
      <w:bookmarkStart w:id="157" w:name="_Toc152045571"/>
      <w:bookmarkStart w:id="158" w:name="_Toc179632589"/>
      <w:bookmarkStart w:id="159" w:name="_Toc144974539"/>
      <w:r>
        <w:rPr>
          <w:rFonts w:hint="eastAsia" w:ascii="宋体" w:hAnsi="宋体" w:cs="宋体"/>
          <w:color w:val="auto"/>
          <w:sz w:val="28"/>
          <w:szCs w:val="20"/>
          <w:highlight w:val="none"/>
        </w:rPr>
        <w:t>8. 重新招标和不再招标</w:t>
      </w:r>
      <w:bookmarkEnd w:id="156"/>
      <w:bookmarkEnd w:id="157"/>
      <w:bookmarkEnd w:id="158"/>
      <w:bookmarkEnd w:id="159"/>
    </w:p>
    <w:p>
      <w:pPr>
        <w:keepNext/>
        <w:keepLines/>
        <w:shd w:val="clear" w:color="auto" w:fill="FFFFFF"/>
        <w:spacing w:line="440" w:lineRule="exact"/>
        <w:outlineLvl w:val="2"/>
        <w:rPr>
          <w:rFonts w:ascii="宋体" w:hAnsi="宋体" w:cs="宋体"/>
          <w:color w:val="auto"/>
          <w:sz w:val="24"/>
          <w:szCs w:val="20"/>
          <w:highlight w:val="none"/>
        </w:rPr>
      </w:pPr>
      <w:bookmarkStart w:id="160" w:name="_Toc152042348"/>
      <w:bookmarkStart w:id="161" w:name="_Toc152045572"/>
      <w:bookmarkStart w:id="162" w:name="_Toc144974540"/>
      <w:bookmarkStart w:id="163" w:name="_Toc179632590"/>
      <w:r>
        <w:rPr>
          <w:rFonts w:hint="eastAsia" w:ascii="宋体" w:hAnsi="宋体" w:cs="宋体"/>
          <w:color w:val="auto"/>
          <w:sz w:val="24"/>
          <w:szCs w:val="20"/>
          <w:highlight w:val="none"/>
        </w:rPr>
        <w:t>8.1 重新招标</w:t>
      </w:r>
      <w:bookmarkEnd w:id="160"/>
      <w:bookmarkEnd w:id="161"/>
      <w:bookmarkEnd w:id="162"/>
      <w:bookmarkEnd w:id="163"/>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有下列情形之一的，招标人将重新招标：</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（1）投标截止时间止，投标人少于3个的；</w:t>
      </w:r>
    </w:p>
    <w:p>
      <w:pPr>
        <w:shd w:val="clear" w:color="auto" w:fill="FFFFFF"/>
        <w:spacing w:line="440" w:lineRule="exact"/>
        <w:ind w:firstLine="359" w:firstLineChars="171"/>
        <w:rPr>
          <w:rFonts w:ascii="宋体" w:hAnsi="宋体" w:cs="宋体"/>
          <w:color w:val="auto"/>
          <w:highlight w:val="none"/>
        </w:rPr>
      </w:pPr>
      <w:r>
        <w:rPr>
          <w:rFonts w:hint="eastAsia" w:ascii="宋体" w:hAnsi="宋体" w:cs="宋体"/>
          <w:color w:val="auto"/>
          <w:highlight w:val="none"/>
        </w:rPr>
        <w:t>（2）经评标委员会评审后否决所有投标的或有效标少于3个的。</w:t>
      </w:r>
    </w:p>
    <w:p>
      <w:pPr>
        <w:keepNext/>
        <w:keepLines/>
        <w:shd w:val="clear" w:color="auto" w:fill="FFFFFF"/>
        <w:spacing w:line="440" w:lineRule="exact"/>
        <w:outlineLvl w:val="2"/>
        <w:rPr>
          <w:rFonts w:ascii="宋体" w:hAnsi="宋体" w:cs="宋体"/>
          <w:color w:val="auto"/>
          <w:sz w:val="24"/>
          <w:szCs w:val="20"/>
          <w:highlight w:val="none"/>
        </w:rPr>
      </w:pPr>
      <w:bookmarkStart w:id="164" w:name="_Toc144974541"/>
      <w:bookmarkStart w:id="165" w:name="_Toc152042349"/>
      <w:bookmarkStart w:id="166" w:name="_Toc179632591"/>
      <w:bookmarkStart w:id="167" w:name="_Toc152045573"/>
      <w:r>
        <w:rPr>
          <w:rFonts w:hint="eastAsia" w:ascii="宋体" w:hAnsi="宋体" w:cs="宋体"/>
          <w:color w:val="auto"/>
          <w:sz w:val="24"/>
          <w:szCs w:val="20"/>
          <w:highlight w:val="none"/>
        </w:rPr>
        <w:t>8.2 不再招标</w:t>
      </w:r>
      <w:bookmarkEnd w:id="164"/>
      <w:bookmarkEnd w:id="165"/>
      <w:bookmarkEnd w:id="166"/>
      <w:bookmarkEnd w:id="167"/>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重新招标、评标后有效投标人仍少于3个或者所有投标被否决的，属于必须审批或核准的工程建设项目，经原审批或核准部门批准后不再进行招标。</w:t>
      </w:r>
    </w:p>
    <w:p>
      <w:pPr>
        <w:keepNext/>
        <w:keepLines/>
        <w:shd w:val="clear" w:color="auto" w:fill="FFFFFF"/>
        <w:spacing w:before="100" w:line="440" w:lineRule="exact"/>
        <w:outlineLvl w:val="1"/>
        <w:rPr>
          <w:rFonts w:ascii="宋体" w:hAnsi="宋体" w:cs="宋体"/>
          <w:color w:val="auto"/>
          <w:sz w:val="28"/>
          <w:szCs w:val="20"/>
          <w:highlight w:val="none"/>
        </w:rPr>
      </w:pPr>
      <w:bookmarkStart w:id="168" w:name="_Toc152042350"/>
      <w:bookmarkStart w:id="169" w:name="_Toc144974542"/>
      <w:bookmarkStart w:id="170" w:name="_Toc152045574"/>
      <w:bookmarkStart w:id="171" w:name="_Toc179632592"/>
      <w:r>
        <w:rPr>
          <w:rFonts w:hint="eastAsia" w:ascii="宋体" w:hAnsi="宋体" w:cs="宋体"/>
          <w:color w:val="auto"/>
          <w:sz w:val="28"/>
          <w:szCs w:val="20"/>
          <w:highlight w:val="none"/>
        </w:rPr>
        <w:t>9. 纪律和监督</w:t>
      </w:r>
      <w:bookmarkEnd w:id="168"/>
      <w:bookmarkEnd w:id="169"/>
      <w:bookmarkEnd w:id="170"/>
      <w:bookmarkEnd w:id="171"/>
    </w:p>
    <w:p>
      <w:pPr>
        <w:keepNext/>
        <w:keepLines/>
        <w:shd w:val="clear" w:color="auto" w:fill="FFFFFF"/>
        <w:spacing w:line="440" w:lineRule="exact"/>
        <w:outlineLvl w:val="2"/>
        <w:rPr>
          <w:rFonts w:ascii="宋体" w:hAnsi="宋体" w:cs="宋体"/>
          <w:color w:val="auto"/>
          <w:sz w:val="24"/>
          <w:szCs w:val="20"/>
          <w:highlight w:val="none"/>
        </w:rPr>
      </w:pPr>
      <w:bookmarkStart w:id="172" w:name="_Toc152042351"/>
      <w:bookmarkStart w:id="173" w:name="_Toc144974543"/>
      <w:bookmarkStart w:id="174" w:name="_Toc179632593"/>
      <w:bookmarkStart w:id="175" w:name="_Toc152045575"/>
      <w:r>
        <w:rPr>
          <w:rFonts w:hint="eastAsia" w:ascii="宋体" w:hAnsi="宋体" w:cs="宋体"/>
          <w:color w:val="auto"/>
          <w:sz w:val="24"/>
          <w:szCs w:val="20"/>
          <w:highlight w:val="none"/>
        </w:rPr>
        <w:t>9.1 对招标人的纪律要求</w:t>
      </w:r>
      <w:bookmarkEnd w:id="172"/>
      <w:bookmarkEnd w:id="173"/>
      <w:bookmarkEnd w:id="174"/>
      <w:bookmarkEnd w:id="175"/>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招标人不得泄漏招标投标活动中应当保密的情况和资料，不得与投标人串通损害国家利益、社会公共利益或者他人合法权益。</w:t>
      </w:r>
    </w:p>
    <w:p>
      <w:pPr>
        <w:keepNext/>
        <w:keepLines/>
        <w:shd w:val="clear" w:color="auto" w:fill="FFFFFF"/>
        <w:spacing w:line="440" w:lineRule="exact"/>
        <w:outlineLvl w:val="2"/>
        <w:rPr>
          <w:rFonts w:ascii="宋体" w:hAnsi="宋体" w:cs="宋体"/>
          <w:color w:val="auto"/>
          <w:sz w:val="24"/>
          <w:szCs w:val="20"/>
          <w:highlight w:val="none"/>
        </w:rPr>
      </w:pPr>
      <w:bookmarkStart w:id="176" w:name="_Toc152045576"/>
      <w:bookmarkStart w:id="177" w:name="_Toc152042352"/>
      <w:bookmarkStart w:id="178" w:name="_Toc144974544"/>
      <w:bookmarkStart w:id="179" w:name="_Toc179632594"/>
      <w:r>
        <w:rPr>
          <w:rFonts w:hint="eastAsia" w:ascii="宋体" w:hAnsi="宋体" w:cs="宋体"/>
          <w:color w:val="auto"/>
          <w:sz w:val="24"/>
          <w:szCs w:val="20"/>
          <w:highlight w:val="none"/>
        </w:rPr>
        <w:t>9.2 对投标人的纪律要求</w:t>
      </w:r>
      <w:bookmarkEnd w:id="176"/>
      <w:bookmarkEnd w:id="177"/>
      <w:bookmarkEnd w:id="178"/>
      <w:bookmarkEnd w:id="179"/>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keepNext/>
        <w:keepLines/>
        <w:shd w:val="clear" w:color="auto" w:fill="FFFFFF"/>
        <w:spacing w:line="440" w:lineRule="exact"/>
        <w:outlineLvl w:val="2"/>
        <w:rPr>
          <w:rFonts w:ascii="宋体" w:hAnsi="宋体" w:cs="宋体"/>
          <w:color w:val="auto"/>
          <w:sz w:val="24"/>
          <w:szCs w:val="20"/>
          <w:highlight w:val="none"/>
        </w:rPr>
      </w:pPr>
      <w:bookmarkStart w:id="180" w:name="_Toc179632595"/>
      <w:bookmarkStart w:id="181" w:name="_Toc152045577"/>
      <w:bookmarkStart w:id="182" w:name="_Toc152042353"/>
      <w:bookmarkStart w:id="183" w:name="_Toc144974545"/>
      <w:r>
        <w:rPr>
          <w:rFonts w:hint="eastAsia" w:ascii="宋体" w:hAnsi="宋体" w:cs="宋体"/>
          <w:color w:val="auto"/>
          <w:sz w:val="24"/>
          <w:szCs w:val="20"/>
          <w:highlight w:val="none"/>
        </w:rPr>
        <w:t>9.3 对评标委员会成员的纪律要求</w:t>
      </w:r>
      <w:bookmarkEnd w:id="180"/>
      <w:bookmarkEnd w:id="181"/>
      <w:bookmarkEnd w:id="182"/>
      <w:bookmarkEnd w:id="183"/>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keepNext/>
        <w:keepLines/>
        <w:shd w:val="clear" w:color="auto" w:fill="FFFFFF"/>
        <w:spacing w:line="440" w:lineRule="exact"/>
        <w:outlineLvl w:val="2"/>
        <w:rPr>
          <w:rFonts w:ascii="宋体" w:hAnsi="宋体" w:cs="宋体"/>
          <w:color w:val="auto"/>
          <w:sz w:val="24"/>
          <w:szCs w:val="20"/>
          <w:highlight w:val="none"/>
        </w:rPr>
      </w:pPr>
      <w:bookmarkStart w:id="184" w:name="_Toc152045578"/>
      <w:bookmarkStart w:id="185" w:name="_Toc179632596"/>
      <w:bookmarkStart w:id="186" w:name="_Toc152042354"/>
      <w:bookmarkStart w:id="187" w:name="_Toc144974546"/>
      <w:r>
        <w:rPr>
          <w:rFonts w:hint="eastAsia" w:ascii="宋体" w:hAnsi="宋体" w:cs="宋体"/>
          <w:color w:val="auto"/>
          <w:sz w:val="24"/>
          <w:szCs w:val="20"/>
          <w:highlight w:val="none"/>
        </w:rPr>
        <w:t>9.4 对与评标活动有关的工作人员的纪律要求</w:t>
      </w:r>
      <w:bookmarkEnd w:id="184"/>
      <w:bookmarkEnd w:id="185"/>
      <w:bookmarkEnd w:id="186"/>
    </w:p>
    <w:p>
      <w:pPr>
        <w:shd w:val="clear" w:color="auto" w:fill="FFFFFF"/>
        <w:spacing w:line="440" w:lineRule="exact"/>
        <w:ind w:firstLine="420" w:firstLineChars="200"/>
        <w:rPr>
          <w:rFonts w:ascii="宋体" w:hAnsi="宋体" w:cs="宋体"/>
          <w:color w:val="auto"/>
          <w:highlight w:val="none"/>
        </w:rPr>
      </w:pPr>
      <w:bookmarkStart w:id="188" w:name="_Toc152042355"/>
      <w:r>
        <w:rPr>
          <w:rFonts w:hint="eastAsia" w:ascii="宋体" w:hAnsi="宋体" w:cs="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188"/>
    </w:p>
    <w:p>
      <w:pPr>
        <w:keepNext/>
        <w:keepLines/>
        <w:shd w:val="clear" w:color="auto" w:fill="FFFFFF"/>
        <w:spacing w:line="440" w:lineRule="exact"/>
        <w:outlineLvl w:val="2"/>
        <w:rPr>
          <w:rFonts w:ascii="宋体" w:hAnsi="宋体" w:cs="宋体"/>
          <w:color w:val="auto"/>
          <w:sz w:val="24"/>
          <w:szCs w:val="20"/>
          <w:highlight w:val="none"/>
        </w:rPr>
      </w:pPr>
      <w:bookmarkStart w:id="189" w:name="_Toc152045579"/>
      <w:bookmarkStart w:id="190" w:name="_Toc179632597"/>
      <w:bookmarkStart w:id="191" w:name="_Toc152042356"/>
      <w:r>
        <w:rPr>
          <w:rFonts w:hint="eastAsia" w:ascii="宋体" w:hAnsi="宋体" w:cs="宋体"/>
          <w:color w:val="auto"/>
          <w:sz w:val="24"/>
          <w:szCs w:val="20"/>
          <w:highlight w:val="none"/>
        </w:rPr>
        <w:t>9.5 投诉</w:t>
      </w:r>
      <w:bookmarkEnd w:id="187"/>
      <w:bookmarkEnd w:id="189"/>
      <w:bookmarkEnd w:id="190"/>
      <w:bookmarkEnd w:id="191"/>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投标人和其他利害关系人认为本次招标活动违反法律、法规和规章规定的，有权向有关行政监督部门投诉。</w:t>
      </w:r>
    </w:p>
    <w:p>
      <w:pPr>
        <w:keepNext/>
        <w:keepLines/>
        <w:shd w:val="clear" w:color="auto" w:fill="FFFFFF"/>
        <w:spacing w:before="100" w:line="440" w:lineRule="exact"/>
        <w:outlineLvl w:val="1"/>
        <w:rPr>
          <w:rFonts w:ascii="宋体" w:hAnsi="宋体" w:cs="宋体"/>
          <w:color w:val="auto"/>
          <w:sz w:val="28"/>
          <w:szCs w:val="20"/>
          <w:highlight w:val="none"/>
        </w:rPr>
      </w:pPr>
      <w:bookmarkStart w:id="192" w:name="_Toc152045580"/>
      <w:bookmarkStart w:id="193" w:name="_Toc152042357"/>
      <w:bookmarkStart w:id="194" w:name="_Toc179632598"/>
      <w:bookmarkStart w:id="195" w:name="_Toc144974547"/>
      <w:r>
        <w:rPr>
          <w:rFonts w:hint="eastAsia" w:ascii="宋体" w:hAnsi="宋体" w:cs="宋体"/>
          <w:color w:val="auto"/>
          <w:sz w:val="28"/>
          <w:szCs w:val="20"/>
          <w:highlight w:val="none"/>
        </w:rPr>
        <w:t>10. 需要补充的其他内容</w:t>
      </w:r>
      <w:bookmarkEnd w:id="192"/>
      <w:bookmarkEnd w:id="193"/>
      <w:bookmarkEnd w:id="194"/>
      <w:bookmarkEnd w:id="195"/>
    </w:p>
    <w:p>
      <w:pPr>
        <w:shd w:val="clear" w:color="auto" w:fill="FFFFFF"/>
        <w:spacing w:line="440" w:lineRule="exact"/>
        <w:ind w:firstLine="420" w:firstLineChars="200"/>
        <w:rPr>
          <w:rFonts w:ascii="宋体" w:hAnsi="宋体" w:cs="宋体"/>
          <w:color w:val="auto"/>
          <w:highlight w:val="none"/>
        </w:rPr>
      </w:pPr>
      <w:r>
        <w:rPr>
          <w:rFonts w:hint="eastAsia" w:ascii="宋体" w:hAnsi="宋体" w:cs="宋体"/>
          <w:color w:val="auto"/>
          <w:highlight w:val="none"/>
        </w:rPr>
        <w:t>需要补充的其他内容：见投标人须知前附表。</w:t>
      </w:r>
    </w:p>
    <w:p>
      <w:pPr>
        <w:shd w:val="clear" w:color="auto" w:fill="FFFFFF"/>
        <w:rPr>
          <w:rFonts w:ascii="宋体" w:hAnsi="宋体" w:cs="宋体"/>
          <w:color w:val="auto"/>
          <w:highlight w:val="none"/>
        </w:rPr>
      </w:pPr>
    </w:p>
    <w:p>
      <w:pPr>
        <w:shd w:val="clear" w:color="auto" w:fill="FFFFFF"/>
        <w:rPr>
          <w:rFonts w:ascii="宋体" w:hAnsi="宋体" w:cs="宋体"/>
          <w:color w:val="auto"/>
          <w:sz w:val="24"/>
          <w:highlight w:val="none"/>
        </w:rPr>
      </w:pPr>
      <w:r>
        <w:rPr>
          <w:rFonts w:hint="eastAsia" w:ascii="宋体" w:hAnsi="宋体" w:cs="宋体"/>
          <w:color w:val="auto"/>
          <w:sz w:val="24"/>
          <w:highlight w:val="none"/>
        </w:rPr>
        <w:t>附表一：开标记录表（略）</w:t>
      </w:r>
    </w:p>
    <w:p>
      <w:pPr>
        <w:shd w:val="clear" w:color="auto" w:fill="FFFFFF"/>
        <w:spacing w:line="400" w:lineRule="exact"/>
        <w:rPr>
          <w:rFonts w:ascii="宋体" w:hAnsi="宋体" w:cs="宋体"/>
          <w:color w:val="auto"/>
          <w:sz w:val="24"/>
          <w:highlight w:val="none"/>
        </w:rPr>
      </w:pPr>
      <w:r>
        <w:rPr>
          <w:rFonts w:hint="eastAsia" w:ascii="宋体" w:hAnsi="宋体" w:cs="宋体"/>
          <w:color w:val="auto"/>
          <w:sz w:val="24"/>
          <w:highlight w:val="none"/>
        </w:rPr>
        <w:t>附表二：问题澄清通知（略）</w:t>
      </w:r>
    </w:p>
    <w:p>
      <w:pPr>
        <w:shd w:val="clear" w:color="auto" w:fill="FFFFFF"/>
        <w:spacing w:line="480" w:lineRule="exact"/>
        <w:rPr>
          <w:rFonts w:ascii="宋体" w:hAnsi="宋体" w:cs="宋体"/>
          <w:color w:val="auto"/>
          <w:sz w:val="24"/>
          <w:highlight w:val="none"/>
        </w:rPr>
      </w:pPr>
      <w:r>
        <w:rPr>
          <w:rFonts w:hint="eastAsia" w:ascii="宋体" w:hAnsi="宋体" w:cs="宋体"/>
          <w:color w:val="auto"/>
          <w:sz w:val="24"/>
          <w:highlight w:val="none"/>
        </w:rPr>
        <w:t>附表三：问题的澄清（略）</w:t>
      </w:r>
    </w:p>
    <w:p>
      <w:pPr>
        <w:shd w:val="clear" w:color="auto" w:fill="FFFFFF"/>
        <w:spacing w:line="480" w:lineRule="exact"/>
        <w:rPr>
          <w:rFonts w:ascii="宋体" w:hAnsi="宋体" w:cs="宋体"/>
          <w:color w:val="auto"/>
          <w:sz w:val="24"/>
          <w:highlight w:val="none"/>
        </w:rPr>
      </w:pPr>
      <w:r>
        <w:rPr>
          <w:rFonts w:hint="eastAsia" w:ascii="宋体" w:hAnsi="宋体" w:cs="宋体"/>
          <w:color w:val="auto"/>
          <w:sz w:val="24"/>
          <w:highlight w:val="none"/>
        </w:rPr>
        <w:t>附表四：中标通知书（略）</w:t>
      </w:r>
    </w:p>
    <w:p>
      <w:pPr>
        <w:shd w:val="clear" w:color="auto" w:fill="FFFFFF"/>
        <w:spacing w:line="480" w:lineRule="exact"/>
        <w:rPr>
          <w:rFonts w:ascii="宋体" w:hAnsi="宋体" w:cs="宋体"/>
          <w:color w:val="auto"/>
          <w:sz w:val="24"/>
          <w:highlight w:val="none"/>
        </w:rPr>
      </w:pPr>
      <w:r>
        <w:rPr>
          <w:rFonts w:hint="eastAsia" w:ascii="宋体" w:hAnsi="宋体" w:cs="宋体"/>
          <w:color w:val="auto"/>
          <w:sz w:val="24"/>
          <w:highlight w:val="none"/>
        </w:rPr>
        <w:t>附表五：中标结果通知书（略）</w:t>
      </w:r>
    </w:p>
    <w:p>
      <w:pPr>
        <w:shd w:val="clear" w:color="auto" w:fill="FFFFFF"/>
        <w:spacing w:line="480" w:lineRule="exact"/>
        <w:rPr>
          <w:rFonts w:ascii="宋体" w:hAnsi="宋体" w:cs="宋体"/>
          <w:color w:val="auto"/>
          <w:szCs w:val="21"/>
          <w:highlight w:val="none"/>
        </w:rPr>
      </w:pPr>
      <w:r>
        <w:rPr>
          <w:rFonts w:hint="eastAsia" w:ascii="宋体" w:hAnsi="宋体" w:cs="宋体"/>
          <w:color w:val="auto"/>
          <w:sz w:val="24"/>
          <w:highlight w:val="none"/>
        </w:rPr>
        <w:t>附表六：确认通知（略）</w:t>
      </w:r>
    </w:p>
    <w:p>
      <w:pPr>
        <w:keepNext/>
        <w:keepLines/>
        <w:jc w:val="center"/>
        <w:outlineLvl w:val="0"/>
        <w:rPr>
          <w:rFonts w:ascii="宋体" w:hAnsi="宋体" w:cs="宋体"/>
          <w:b/>
          <w:bCs/>
          <w:color w:val="auto"/>
          <w:kern w:val="44"/>
          <w:sz w:val="28"/>
          <w:szCs w:val="28"/>
          <w:highlight w:val="none"/>
        </w:rPr>
      </w:pPr>
      <w:r>
        <w:rPr>
          <w:rFonts w:hint="eastAsia" w:ascii="宋体" w:hAnsi="宋体" w:cs="宋体"/>
          <w:b/>
          <w:bCs/>
          <w:color w:val="auto"/>
          <w:kern w:val="44"/>
          <w:sz w:val="32"/>
          <w:szCs w:val="32"/>
          <w:highlight w:val="none"/>
        </w:rPr>
        <w:br w:type="page"/>
      </w:r>
      <w:r>
        <w:rPr>
          <w:rFonts w:hint="eastAsia" w:ascii="宋体" w:hAnsi="宋体" w:cs="宋体"/>
          <w:b/>
          <w:bCs/>
          <w:color w:val="auto"/>
          <w:kern w:val="44"/>
          <w:sz w:val="32"/>
          <w:szCs w:val="32"/>
          <w:highlight w:val="none"/>
        </w:rPr>
        <w:t>第三章  评标办法</w:t>
      </w:r>
      <w:r>
        <w:rPr>
          <w:rFonts w:hint="eastAsia" w:ascii="宋体" w:hAnsi="宋体" w:cs="宋体"/>
          <w:b/>
          <w:bCs/>
          <w:color w:val="auto"/>
          <w:kern w:val="44"/>
          <w:sz w:val="28"/>
          <w:szCs w:val="28"/>
          <w:highlight w:val="none"/>
        </w:rPr>
        <w:t>（综合评估法）</w:t>
      </w:r>
    </w:p>
    <w:p>
      <w:pPr>
        <w:shd w:val="clear" w:color="auto" w:fill="FFFFFF"/>
        <w:rPr>
          <w:rFonts w:ascii="宋体" w:hAnsi="宋体" w:cs="宋体"/>
          <w:color w:val="auto"/>
          <w:szCs w:val="21"/>
          <w:highlight w:val="none"/>
        </w:rPr>
      </w:pPr>
      <w:r>
        <w:rPr>
          <w:rFonts w:hint="eastAsia" w:ascii="宋体" w:hAnsi="宋体" w:cs="宋体"/>
          <w:color w:val="auto"/>
          <w:szCs w:val="21"/>
          <w:highlight w:val="none"/>
        </w:rPr>
        <w:t>评标办法前附表</w:t>
      </w:r>
    </w:p>
    <w:tbl>
      <w:tblPr>
        <w:tblStyle w:val="28"/>
        <w:tblW w:w="0" w:type="auto"/>
        <w:tblInd w:w="108" w:type="dxa"/>
        <w:tblLayout w:type="fixed"/>
        <w:tblCellMar>
          <w:top w:w="0" w:type="dxa"/>
          <w:left w:w="108" w:type="dxa"/>
          <w:bottom w:w="0" w:type="dxa"/>
          <w:right w:w="108" w:type="dxa"/>
        </w:tblCellMar>
      </w:tblPr>
      <w:tblGrid>
        <w:gridCol w:w="741"/>
        <w:gridCol w:w="1149"/>
        <w:gridCol w:w="750"/>
        <w:gridCol w:w="600"/>
        <w:gridCol w:w="974"/>
        <w:gridCol w:w="4311"/>
      </w:tblGrid>
      <w:tr>
        <w:tblPrEx>
          <w:tblCellMar>
            <w:top w:w="0" w:type="dxa"/>
            <w:left w:w="108" w:type="dxa"/>
            <w:bottom w:w="0" w:type="dxa"/>
            <w:right w:w="108" w:type="dxa"/>
          </w:tblCellMar>
        </w:tblPrEx>
        <w:trPr>
          <w:trHeight w:val="454"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b/>
                <w:color w:val="auto"/>
                <w:szCs w:val="21"/>
                <w:highlight w:val="none"/>
              </w:rPr>
            </w:pPr>
            <w:r>
              <w:rPr>
                <w:rFonts w:hint="eastAsia" w:ascii="宋体" w:hAnsi="宋体" w:cs="宋体"/>
                <w:b/>
                <w:color w:val="auto"/>
                <w:szCs w:val="21"/>
                <w:highlight w:val="none"/>
              </w:rPr>
              <w:t>评审因素</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b/>
                <w:color w:val="auto"/>
                <w:szCs w:val="21"/>
                <w:highlight w:val="none"/>
              </w:rPr>
            </w:pPr>
            <w:r>
              <w:rPr>
                <w:rFonts w:hint="eastAsia" w:ascii="宋体" w:hAnsi="宋体" w:cs="宋体"/>
                <w:b/>
                <w:color w:val="auto"/>
                <w:szCs w:val="21"/>
                <w:highlight w:val="none"/>
              </w:rPr>
              <w:t>评审标准</w:t>
            </w:r>
          </w:p>
        </w:tc>
      </w:tr>
      <w:tr>
        <w:tblPrEx>
          <w:tblCellMar>
            <w:top w:w="0" w:type="dxa"/>
            <w:left w:w="108" w:type="dxa"/>
            <w:bottom w:w="0" w:type="dxa"/>
            <w:right w:w="108" w:type="dxa"/>
          </w:tblCellMar>
        </w:tblPrEx>
        <w:trPr>
          <w:trHeight w:val="397" w:hRule="exact"/>
        </w:trPr>
        <w:tc>
          <w:tcPr>
            <w:tcW w:w="741"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2.1.1</w:t>
            </w:r>
          </w:p>
        </w:tc>
        <w:tc>
          <w:tcPr>
            <w:tcW w:w="1149"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形式评审</w:t>
            </w:r>
          </w:p>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标   准</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投标人名称</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与营业执照一致</w:t>
            </w:r>
          </w:p>
        </w:tc>
      </w:tr>
      <w:tr>
        <w:tblPrEx>
          <w:tblCellMar>
            <w:top w:w="0" w:type="dxa"/>
            <w:left w:w="108" w:type="dxa"/>
            <w:bottom w:w="0" w:type="dxa"/>
            <w:right w:w="108" w:type="dxa"/>
          </w:tblCellMar>
        </w:tblPrEx>
        <w:trPr>
          <w:trHeight w:val="699"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投标函签字盖章</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有法定代表人或其委托代理人签字（或盖章）并盖单位章</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投标文件格式</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符合第八章“投标文件格式”的要求</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联合体投标人（如有）</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提交联合体协议书，并明确联合体牵头人</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报价唯一</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只能有一个有效报价</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w:t>
            </w:r>
          </w:p>
        </w:tc>
      </w:tr>
      <w:tr>
        <w:tblPrEx>
          <w:tblCellMar>
            <w:top w:w="0" w:type="dxa"/>
            <w:left w:w="108" w:type="dxa"/>
            <w:bottom w:w="0" w:type="dxa"/>
            <w:right w:w="108" w:type="dxa"/>
          </w:tblCellMar>
        </w:tblPrEx>
        <w:trPr>
          <w:trHeight w:val="397" w:hRule="exact"/>
        </w:trPr>
        <w:tc>
          <w:tcPr>
            <w:tcW w:w="741"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2.1.2</w:t>
            </w:r>
          </w:p>
        </w:tc>
        <w:tc>
          <w:tcPr>
            <w:tcW w:w="1149"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资格评审标  准</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营业执照</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具备有效的营业执照</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安全生产许可证</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资质等级</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财务状况</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类似项目业绩</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信誉</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项目负责人</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其他要求</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联合体投标人（如有）</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符合第二章“投标人须知”第1.4.2项规定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w:t>
            </w:r>
          </w:p>
        </w:tc>
      </w:tr>
      <w:tr>
        <w:tblPrEx>
          <w:tblCellMar>
            <w:top w:w="0" w:type="dxa"/>
            <w:left w:w="108" w:type="dxa"/>
            <w:bottom w:w="0" w:type="dxa"/>
            <w:right w:w="108" w:type="dxa"/>
          </w:tblCellMar>
        </w:tblPrEx>
        <w:trPr>
          <w:trHeight w:val="397" w:hRule="exact"/>
        </w:trPr>
        <w:tc>
          <w:tcPr>
            <w:tcW w:w="741" w:type="dxa"/>
            <w:vMerge w:val="restart"/>
            <w:tcBorders>
              <w:top w:val="single" w:color="auto" w:sz="6" w:space="0"/>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2.1.3</w:t>
            </w:r>
          </w:p>
        </w:tc>
        <w:tc>
          <w:tcPr>
            <w:tcW w:w="1149" w:type="dxa"/>
            <w:vMerge w:val="restart"/>
            <w:tcBorders>
              <w:top w:val="single" w:color="auto" w:sz="6" w:space="0"/>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响 应 性</w:t>
            </w:r>
          </w:p>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评审标准</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投标内容</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符合第二章“投标人须知”第1.3.1项规定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工期</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符合第二章“投标人须知”第1.3.2项规定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工程质量</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符合第二章“投标人须知”第1.3.3项规定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投标有效期</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符合第二章“投标人须知”第3.3.1项规定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投标保证金</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符合第二章“投标人须知”第3.4.1项规定</w:t>
            </w:r>
          </w:p>
        </w:tc>
      </w:tr>
      <w:tr>
        <w:tblPrEx>
          <w:tblCellMar>
            <w:top w:w="0" w:type="dxa"/>
            <w:left w:w="108" w:type="dxa"/>
            <w:bottom w:w="0" w:type="dxa"/>
            <w:right w:w="108" w:type="dxa"/>
          </w:tblCellMar>
        </w:tblPrEx>
        <w:trPr>
          <w:trHeight w:val="863"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权利义务</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投标函附录中的相关承诺符合或优于第四章“合同条款及格式”的相关规定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技术标准和要求</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符合第七章“技术标准和要求”规定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投标价格</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ind w:firstLine="315" w:firstLineChars="150"/>
              <w:rPr>
                <w:rFonts w:ascii="宋体" w:hAnsi="宋体" w:cs="宋体"/>
                <w:color w:val="auto"/>
                <w:szCs w:val="21"/>
                <w:highlight w:val="none"/>
              </w:rPr>
            </w:pPr>
          </w:p>
        </w:tc>
      </w:tr>
      <w:tr>
        <w:tblPrEx>
          <w:tblCellMar>
            <w:top w:w="0" w:type="dxa"/>
            <w:left w:w="108" w:type="dxa"/>
            <w:bottom w:w="0" w:type="dxa"/>
            <w:right w:w="108" w:type="dxa"/>
          </w:tblCellMar>
        </w:tblPrEx>
        <w:trPr>
          <w:trHeight w:val="439"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分包计划</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符合第二章“投标人须知”第1.11款规定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vMerge w:val="continue"/>
            <w:tcBorders>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p>
        </w:tc>
      </w:tr>
      <w:tr>
        <w:tblPrEx>
          <w:tblCellMar>
            <w:top w:w="0" w:type="dxa"/>
            <w:left w:w="108" w:type="dxa"/>
            <w:bottom w:w="0" w:type="dxa"/>
            <w:right w:w="108" w:type="dxa"/>
          </w:tblCellMar>
        </w:tblPrEx>
        <w:trPr>
          <w:trHeight w:val="362"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b/>
                <w:color w:val="auto"/>
                <w:szCs w:val="21"/>
                <w:highlight w:val="none"/>
              </w:rPr>
            </w:pPr>
            <w:r>
              <w:rPr>
                <w:rFonts w:hint="eastAsia" w:ascii="宋体" w:hAnsi="宋体" w:cs="宋体"/>
                <w:b/>
                <w:color w:val="auto"/>
                <w:szCs w:val="21"/>
                <w:highlight w:val="none"/>
              </w:rPr>
              <w:t>条款内容</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b/>
                <w:color w:val="auto"/>
                <w:szCs w:val="21"/>
                <w:highlight w:val="none"/>
              </w:rPr>
            </w:pPr>
            <w:r>
              <w:rPr>
                <w:rFonts w:hint="eastAsia" w:ascii="宋体" w:hAnsi="宋体" w:cs="宋体"/>
                <w:b/>
                <w:color w:val="auto"/>
                <w:szCs w:val="21"/>
                <w:highlight w:val="none"/>
              </w:rPr>
              <w:t>编列内容</w:t>
            </w:r>
          </w:p>
        </w:tc>
      </w:tr>
      <w:tr>
        <w:tblPrEx>
          <w:tblCellMar>
            <w:top w:w="0" w:type="dxa"/>
            <w:left w:w="108" w:type="dxa"/>
            <w:bottom w:w="0" w:type="dxa"/>
            <w:right w:w="108" w:type="dxa"/>
          </w:tblCellMar>
        </w:tblPrEx>
        <w:trPr>
          <w:trHeight w:val="703"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2.2.1</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分值构成</w:t>
            </w:r>
          </w:p>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（总分100分）</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技术部分</w:t>
            </w:r>
            <w:r>
              <w:rPr>
                <w:rFonts w:hint="eastAsia" w:ascii="宋体" w:hAnsi="宋体" w:cs="宋体"/>
                <w:b/>
                <w:bCs/>
                <w:color w:val="auto"/>
                <w:szCs w:val="21"/>
                <w:highlight w:val="none"/>
                <w:u w:val="single"/>
              </w:rPr>
              <w:t>40</w:t>
            </w:r>
            <w:r>
              <w:rPr>
                <w:rFonts w:hint="eastAsia" w:ascii="宋体" w:hAnsi="宋体" w:cs="宋体"/>
                <w:b/>
                <w:bCs/>
                <w:color w:val="auto"/>
                <w:szCs w:val="21"/>
                <w:highlight w:val="none"/>
              </w:rPr>
              <w:t>分</w:t>
            </w:r>
          </w:p>
          <w:p>
            <w:pPr>
              <w:shd w:val="clear" w:color="auto" w:fill="FFFFFF"/>
              <w:rPr>
                <w:rFonts w:ascii="宋体" w:hAnsi="宋体" w:cs="宋体"/>
                <w:color w:val="auto"/>
                <w:szCs w:val="21"/>
                <w:highlight w:val="none"/>
              </w:rPr>
            </w:pPr>
            <w:r>
              <w:rPr>
                <w:rFonts w:hint="eastAsia" w:ascii="宋体" w:hAnsi="宋体" w:cs="宋体"/>
                <w:b/>
                <w:bCs/>
                <w:color w:val="auto"/>
                <w:szCs w:val="21"/>
                <w:highlight w:val="none"/>
              </w:rPr>
              <w:t>商务部分</w:t>
            </w:r>
            <w:r>
              <w:rPr>
                <w:rFonts w:hint="eastAsia" w:ascii="宋体" w:hAnsi="宋体" w:cs="宋体"/>
                <w:b/>
                <w:bCs/>
                <w:color w:val="auto"/>
                <w:szCs w:val="21"/>
                <w:highlight w:val="none"/>
                <w:u w:val="single"/>
              </w:rPr>
              <w:t>60</w:t>
            </w:r>
            <w:r>
              <w:rPr>
                <w:rFonts w:hint="eastAsia" w:ascii="宋体" w:hAnsi="宋体" w:cs="宋体"/>
                <w:b/>
                <w:bCs/>
                <w:color w:val="auto"/>
                <w:szCs w:val="21"/>
                <w:highlight w:val="none"/>
              </w:rPr>
              <w:t>分</w:t>
            </w:r>
          </w:p>
        </w:tc>
      </w:tr>
      <w:tr>
        <w:tblPrEx>
          <w:tblCellMar>
            <w:top w:w="0" w:type="dxa"/>
            <w:left w:w="108" w:type="dxa"/>
            <w:bottom w:w="0" w:type="dxa"/>
            <w:right w:w="108" w:type="dxa"/>
          </w:tblCellMar>
        </w:tblPrEx>
        <w:trPr>
          <w:trHeight w:val="404"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2.2.2</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基准价计算方法</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w:t>
            </w:r>
          </w:p>
        </w:tc>
      </w:tr>
      <w:tr>
        <w:tblPrEx>
          <w:tblCellMar>
            <w:top w:w="0" w:type="dxa"/>
            <w:left w:w="108" w:type="dxa"/>
            <w:bottom w:w="0" w:type="dxa"/>
            <w:right w:w="108" w:type="dxa"/>
          </w:tblCellMar>
        </w:tblPrEx>
        <w:trPr>
          <w:trHeight w:val="728"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2.2.3</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投标报价的偏差率</w:t>
            </w:r>
          </w:p>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计算公式</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color w:val="auto"/>
                <w:szCs w:val="21"/>
                <w:highlight w:val="none"/>
              </w:rPr>
            </w:pPr>
            <w:r>
              <w:rPr>
                <w:rFonts w:hint="eastAsia" w:ascii="宋体" w:hAnsi="宋体" w:cs="宋体"/>
                <w:color w:val="auto"/>
                <w:szCs w:val="21"/>
                <w:highlight w:val="none"/>
              </w:rPr>
              <w:t>/</w:t>
            </w:r>
          </w:p>
        </w:tc>
      </w:tr>
      <w:tr>
        <w:tblPrEx>
          <w:tblCellMar>
            <w:top w:w="0" w:type="dxa"/>
            <w:left w:w="108" w:type="dxa"/>
            <w:bottom w:w="0" w:type="dxa"/>
            <w:right w:w="108" w:type="dxa"/>
          </w:tblCellMar>
        </w:tblPrEx>
        <w:trPr>
          <w:trHeight w:val="456"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2324"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b/>
                <w:color w:val="auto"/>
                <w:szCs w:val="21"/>
                <w:highlight w:val="none"/>
              </w:rPr>
            </w:pPr>
            <w:r>
              <w:rPr>
                <w:rFonts w:hint="eastAsia" w:ascii="宋体" w:hAnsi="宋体" w:cs="宋体"/>
                <w:b/>
                <w:color w:val="auto"/>
                <w:szCs w:val="21"/>
                <w:highlight w:val="none"/>
              </w:rPr>
              <w:t>评分因素</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b/>
                <w:color w:val="auto"/>
                <w:szCs w:val="21"/>
                <w:highlight w:val="none"/>
              </w:rPr>
            </w:pPr>
            <w:r>
              <w:rPr>
                <w:rFonts w:hint="eastAsia" w:ascii="宋体" w:hAnsi="宋体" w:cs="宋体"/>
                <w:b/>
                <w:color w:val="auto"/>
                <w:szCs w:val="21"/>
                <w:highlight w:val="none"/>
              </w:rPr>
              <w:t>评分标准</w:t>
            </w:r>
          </w:p>
        </w:tc>
      </w:tr>
      <w:tr>
        <w:tblPrEx>
          <w:tblCellMar>
            <w:top w:w="0" w:type="dxa"/>
            <w:left w:w="108" w:type="dxa"/>
            <w:bottom w:w="0" w:type="dxa"/>
            <w:right w:w="108" w:type="dxa"/>
          </w:tblCellMar>
        </w:tblPrEx>
        <w:trPr>
          <w:trHeight w:val="1031" w:hRule="atLeast"/>
        </w:trPr>
        <w:tc>
          <w:tcPr>
            <w:tcW w:w="741" w:type="dxa"/>
            <w:vMerge w:val="restart"/>
            <w:tcBorders>
              <w:top w:val="single" w:color="auto" w:sz="6" w:space="0"/>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2.2.4</w:t>
            </w:r>
          </w:p>
        </w:tc>
        <w:tc>
          <w:tcPr>
            <w:tcW w:w="114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技术标</w:t>
            </w:r>
          </w:p>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评分细</w:t>
            </w:r>
          </w:p>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化标准</w:t>
            </w:r>
          </w:p>
        </w:tc>
        <w:tc>
          <w:tcPr>
            <w:tcW w:w="13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left"/>
              <w:rPr>
                <w:rFonts w:ascii="宋体" w:hAnsi="宋体" w:cs="宋体"/>
                <w:color w:val="auto"/>
                <w:szCs w:val="21"/>
                <w:highlight w:val="none"/>
              </w:rPr>
            </w:pPr>
            <w:r>
              <w:rPr>
                <w:rFonts w:hint="eastAsia" w:ascii="宋体" w:hAnsi="宋体" w:cs="宋体"/>
                <w:color w:val="auto"/>
                <w:highlight w:val="none"/>
              </w:rPr>
              <w:t>详见表1技术标评分细化标准</w:t>
            </w:r>
          </w:p>
        </w:tc>
        <w:tc>
          <w:tcPr>
            <w:tcW w:w="5285" w:type="dxa"/>
            <w:gridSpan w:val="2"/>
            <w:tcBorders>
              <w:top w:val="single" w:color="auto" w:sz="6" w:space="0"/>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b/>
                <w:bCs/>
                <w:color w:val="auto"/>
                <w:highlight w:val="none"/>
                <w:u w:val="single"/>
              </w:rPr>
              <w:t>详见表1技术标评分细化标准</w:t>
            </w:r>
          </w:p>
        </w:tc>
      </w:tr>
      <w:tr>
        <w:tblPrEx>
          <w:tblCellMar>
            <w:top w:w="0" w:type="dxa"/>
            <w:left w:w="108" w:type="dxa"/>
            <w:bottom w:w="0" w:type="dxa"/>
            <w:right w:w="108" w:type="dxa"/>
          </w:tblCellMar>
        </w:tblPrEx>
        <w:trPr>
          <w:trHeight w:val="990" w:hRule="atLeas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1149" w:type="dxa"/>
            <w:tcBorders>
              <w:top w:val="single" w:color="auto" w:sz="6" w:space="0"/>
              <w:left w:val="single" w:color="auto" w:sz="6" w:space="0"/>
              <w:right w:val="single" w:color="auto" w:sz="6" w:space="0"/>
            </w:tcBorders>
            <w:vAlign w:val="center"/>
          </w:tcPr>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投标报价</w:t>
            </w:r>
          </w:p>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评分标准</w:t>
            </w:r>
          </w:p>
        </w:tc>
        <w:tc>
          <w:tcPr>
            <w:tcW w:w="1350" w:type="dxa"/>
            <w:gridSpan w:val="2"/>
            <w:tcBorders>
              <w:top w:val="single" w:color="auto" w:sz="6" w:space="0"/>
              <w:left w:val="single" w:color="auto" w:sz="6" w:space="0"/>
              <w:bottom w:val="nil"/>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在编写项目招标文</w:t>
            </w:r>
          </w:p>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件时明确</w:t>
            </w:r>
          </w:p>
        </w:tc>
        <w:tc>
          <w:tcPr>
            <w:tcW w:w="5285" w:type="dxa"/>
            <w:gridSpan w:val="2"/>
            <w:tcBorders>
              <w:top w:val="single" w:color="auto" w:sz="6" w:space="0"/>
              <w:left w:val="single" w:color="auto" w:sz="6" w:space="0"/>
              <w:bottom w:val="nil"/>
              <w:right w:val="single" w:color="auto" w:sz="6" w:space="0"/>
            </w:tcBorders>
            <w:vAlign w:val="center"/>
          </w:tcPr>
          <w:p>
            <w:pPr>
              <w:shd w:val="clear" w:color="auto" w:fill="FFFFFF"/>
              <w:spacing w:line="336" w:lineRule="auto"/>
              <w:jc w:val="center"/>
              <w:rPr>
                <w:rFonts w:ascii="宋体" w:hAnsi="宋体" w:cs="宋体"/>
                <w:color w:val="auto"/>
                <w:szCs w:val="21"/>
                <w:highlight w:val="none"/>
              </w:rPr>
            </w:pPr>
            <w:r>
              <w:rPr>
                <w:rFonts w:hint="eastAsia" w:ascii="宋体" w:hAnsi="宋体" w:cs="宋体"/>
                <w:b/>
                <w:bCs/>
                <w:color w:val="auto"/>
                <w:highlight w:val="none"/>
                <w:u w:val="single"/>
              </w:rPr>
              <w:t>详见表2商务标评分标准</w:t>
            </w:r>
          </w:p>
        </w:tc>
      </w:tr>
      <w:tr>
        <w:tblPrEx>
          <w:tblCellMar>
            <w:top w:w="0" w:type="dxa"/>
            <w:left w:w="108" w:type="dxa"/>
            <w:bottom w:w="0" w:type="dxa"/>
            <w:right w:w="108" w:type="dxa"/>
          </w:tblCellMar>
        </w:tblPrEx>
        <w:trPr>
          <w:trHeight w:val="1128" w:hRule="atLeast"/>
        </w:trPr>
        <w:tc>
          <w:tcPr>
            <w:tcW w:w="741" w:type="dxa"/>
            <w:tcBorders>
              <w:left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p>
        </w:tc>
        <w:tc>
          <w:tcPr>
            <w:tcW w:w="7784" w:type="dxa"/>
            <w:gridSpan w:val="5"/>
            <w:tcBorders>
              <w:top w:val="single" w:color="auto" w:sz="6" w:space="0"/>
              <w:left w:val="single" w:color="auto" w:sz="6" w:space="0"/>
              <w:right w:val="single" w:color="auto" w:sz="6" w:space="0"/>
            </w:tcBorders>
            <w:vAlign w:val="center"/>
          </w:tcPr>
          <w:p>
            <w:pPr>
              <w:shd w:val="clear" w:color="auto" w:fill="FFFFFF"/>
              <w:spacing w:line="280" w:lineRule="exact"/>
              <w:jc w:val="left"/>
              <w:rPr>
                <w:rFonts w:ascii="宋体" w:hAnsi="宋体" w:cs="宋体"/>
                <w:color w:val="auto"/>
                <w:szCs w:val="21"/>
                <w:highlight w:val="none"/>
              </w:rPr>
            </w:pPr>
            <w:r>
              <w:rPr>
                <w:rFonts w:hint="eastAsia" w:ascii="宋体" w:hAnsi="宋体" w:cs="宋体"/>
                <w:color w:val="auto"/>
                <w:szCs w:val="21"/>
                <w:highlight w:val="none"/>
              </w:rPr>
              <w:t>投标人总得分=技术标得分+商务标得分。</w:t>
            </w:r>
          </w:p>
          <w:p>
            <w:pPr>
              <w:spacing w:line="320" w:lineRule="exact"/>
              <w:rPr>
                <w:rFonts w:ascii="宋体" w:hAnsi="宋体" w:cs="宋体"/>
                <w:color w:val="auto"/>
                <w:szCs w:val="21"/>
                <w:highlight w:val="none"/>
              </w:rPr>
            </w:pPr>
            <w:r>
              <w:rPr>
                <w:rFonts w:hint="eastAsia" w:ascii="宋体" w:hAnsi="宋体" w:cs="宋体"/>
                <w:color w:val="auto"/>
                <w:szCs w:val="21"/>
                <w:highlight w:val="none"/>
              </w:rPr>
              <w:t>商务标评估在技术标评估完成后进行。技术标和商务标评估后的分数相加计算出每一投标人的总得分，计算结果精确到小数点后两位。</w:t>
            </w:r>
          </w:p>
        </w:tc>
      </w:tr>
      <w:tr>
        <w:tblPrEx>
          <w:tblCellMar>
            <w:top w:w="0" w:type="dxa"/>
            <w:left w:w="108" w:type="dxa"/>
            <w:bottom w:w="0" w:type="dxa"/>
            <w:right w:w="108" w:type="dxa"/>
          </w:tblCellMar>
        </w:tblPrEx>
        <w:trPr>
          <w:trHeight w:val="507" w:hRule="atLeast"/>
        </w:trPr>
        <w:tc>
          <w:tcPr>
            <w:tcW w:w="2640"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5885"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b/>
                <w:color w:val="auto"/>
                <w:szCs w:val="21"/>
                <w:highlight w:val="none"/>
              </w:rPr>
            </w:pPr>
            <w:r>
              <w:rPr>
                <w:rFonts w:hint="eastAsia" w:ascii="宋体" w:hAnsi="宋体" w:cs="宋体"/>
                <w:b/>
                <w:color w:val="auto"/>
                <w:szCs w:val="21"/>
                <w:highlight w:val="none"/>
              </w:rPr>
              <w:t>编列内容</w:t>
            </w:r>
          </w:p>
        </w:tc>
      </w:tr>
      <w:tr>
        <w:tblPrEx>
          <w:tblCellMar>
            <w:top w:w="0" w:type="dxa"/>
            <w:left w:w="108" w:type="dxa"/>
            <w:bottom w:w="0" w:type="dxa"/>
            <w:right w:w="108" w:type="dxa"/>
          </w:tblCellMar>
        </w:tblPrEx>
        <w:trPr>
          <w:trHeight w:val="812"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3</w:t>
            </w:r>
          </w:p>
        </w:tc>
        <w:tc>
          <w:tcPr>
            <w:tcW w:w="1899"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评   标</w:t>
            </w:r>
          </w:p>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程   序</w:t>
            </w:r>
          </w:p>
        </w:tc>
        <w:tc>
          <w:tcPr>
            <w:tcW w:w="5885"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见本章附件A</w:t>
            </w:r>
          </w:p>
        </w:tc>
      </w:tr>
      <w:tr>
        <w:tblPrEx>
          <w:tblCellMar>
            <w:top w:w="0" w:type="dxa"/>
            <w:left w:w="108" w:type="dxa"/>
            <w:bottom w:w="0" w:type="dxa"/>
            <w:right w:w="108" w:type="dxa"/>
          </w:tblCellMar>
        </w:tblPrEx>
        <w:trPr>
          <w:trHeight w:val="507"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3.1.2</w:t>
            </w:r>
          </w:p>
        </w:tc>
        <w:tc>
          <w:tcPr>
            <w:tcW w:w="1899"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s="宋体"/>
                <w:color w:val="auto"/>
                <w:szCs w:val="21"/>
                <w:highlight w:val="none"/>
              </w:rPr>
            </w:pPr>
            <w:r>
              <w:rPr>
                <w:rFonts w:hint="eastAsia" w:ascii="宋体" w:hAnsi="宋体" w:cs="宋体"/>
                <w:color w:val="auto"/>
                <w:szCs w:val="21"/>
                <w:highlight w:val="none"/>
              </w:rPr>
              <w:t>废标条件</w:t>
            </w:r>
          </w:p>
        </w:tc>
        <w:tc>
          <w:tcPr>
            <w:tcW w:w="5885"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详见本章附件B：废标条件</w:t>
            </w:r>
          </w:p>
        </w:tc>
      </w:tr>
      <w:tr>
        <w:tblPrEx>
          <w:tblCellMar>
            <w:top w:w="0" w:type="dxa"/>
            <w:left w:w="108" w:type="dxa"/>
            <w:bottom w:w="0" w:type="dxa"/>
            <w:right w:w="108" w:type="dxa"/>
          </w:tblCellMar>
        </w:tblPrEx>
        <w:trPr>
          <w:trHeight w:val="788"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3.2.2</w:t>
            </w:r>
          </w:p>
        </w:tc>
        <w:tc>
          <w:tcPr>
            <w:tcW w:w="1899"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判断投标报价是否</w:t>
            </w:r>
          </w:p>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低于其成本</w:t>
            </w:r>
          </w:p>
        </w:tc>
        <w:tc>
          <w:tcPr>
            <w:tcW w:w="5885"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s="宋体"/>
                <w:color w:val="auto"/>
                <w:szCs w:val="21"/>
                <w:highlight w:val="none"/>
              </w:rPr>
            </w:pPr>
            <w:r>
              <w:rPr>
                <w:rFonts w:hint="eastAsia" w:ascii="宋体" w:hAnsi="宋体" w:cs="宋体"/>
                <w:color w:val="auto"/>
                <w:szCs w:val="21"/>
                <w:highlight w:val="none"/>
              </w:rPr>
              <w:t>详见本章附件C：投标人成本评审办法</w:t>
            </w:r>
          </w:p>
        </w:tc>
      </w:tr>
      <w:tr>
        <w:tblPrEx>
          <w:tblCellMar>
            <w:top w:w="0" w:type="dxa"/>
            <w:left w:w="108" w:type="dxa"/>
            <w:bottom w:w="0" w:type="dxa"/>
            <w:right w:w="108" w:type="dxa"/>
          </w:tblCellMar>
        </w:tblPrEx>
        <w:trPr>
          <w:trHeight w:val="764"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s="宋体"/>
                <w:color w:val="auto"/>
                <w:szCs w:val="21"/>
                <w:highlight w:val="none"/>
              </w:rPr>
            </w:pPr>
            <w:r>
              <w:rPr>
                <w:rFonts w:hint="eastAsia" w:ascii="宋体" w:hAnsi="宋体" w:cs="宋体"/>
                <w:color w:val="auto"/>
                <w:szCs w:val="21"/>
                <w:highlight w:val="none"/>
              </w:rPr>
              <w:t>补1</w:t>
            </w:r>
          </w:p>
        </w:tc>
        <w:tc>
          <w:tcPr>
            <w:tcW w:w="1899"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计算机辅助评标</w:t>
            </w:r>
          </w:p>
        </w:tc>
        <w:tc>
          <w:tcPr>
            <w:tcW w:w="5885"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s="宋体"/>
                <w:strike/>
                <w:color w:val="auto"/>
                <w:szCs w:val="21"/>
                <w:highlight w:val="none"/>
              </w:rPr>
            </w:pPr>
            <w:r>
              <w:rPr>
                <w:rFonts w:hint="eastAsia" w:ascii="宋体" w:hAnsi="宋体" w:cs="宋体"/>
                <w:strike/>
                <w:color w:val="auto"/>
                <w:szCs w:val="21"/>
                <w:highlight w:val="none"/>
              </w:rPr>
              <w:t>详见本章附件E：计算机辅助评标方法</w:t>
            </w:r>
          </w:p>
        </w:tc>
      </w:tr>
    </w:tbl>
    <w:p>
      <w:pPr>
        <w:rPr>
          <w:rFonts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sz w:val="24"/>
          <w:highlight w:val="none"/>
        </w:rPr>
        <w:t>表1技术标评分细化标准（40分）</w:t>
      </w:r>
    </w:p>
    <w:tbl>
      <w:tblPr>
        <w:tblStyle w:val="28"/>
        <w:tblW w:w="8810" w:type="dxa"/>
        <w:jc w:val="center"/>
        <w:tblLayout w:type="fixed"/>
        <w:tblCellMar>
          <w:top w:w="0" w:type="dxa"/>
          <w:left w:w="108" w:type="dxa"/>
          <w:bottom w:w="0" w:type="dxa"/>
          <w:right w:w="108" w:type="dxa"/>
        </w:tblCellMar>
      </w:tblPr>
      <w:tblGrid>
        <w:gridCol w:w="963"/>
        <w:gridCol w:w="553"/>
        <w:gridCol w:w="5518"/>
        <w:gridCol w:w="1776"/>
      </w:tblGrid>
      <w:tr>
        <w:tblPrEx>
          <w:tblCellMar>
            <w:top w:w="0" w:type="dxa"/>
            <w:left w:w="108" w:type="dxa"/>
            <w:bottom w:w="0" w:type="dxa"/>
            <w:right w:w="108" w:type="dxa"/>
          </w:tblCellMar>
        </w:tblPrEx>
        <w:trPr>
          <w:trHeight w:val="300" w:hRule="atLeast"/>
          <w:jc w:val="center"/>
        </w:trPr>
        <w:tc>
          <w:tcPr>
            <w:tcW w:w="8810"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技术</w:t>
            </w:r>
            <w:r>
              <w:rPr>
                <w:rStyle w:val="51"/>
                <w:rFonts w:hint="eastAsia" w:ascii="宋体" w:hAnsi="宋体" w:cs="宋体"/>
                <w:color w:val="auto"/>
                <w:sz w:val="21"/>
                <w:szCs w:val="21"/>
                <w:highlight w:val="none"/>
                <w:u w:val="none"/>
                <w:lang w:bidi="ar"/>
              </w:rPr>
              <w:t>部分评分标准（40分）</w:t>
            </w:r>
          </w:p>
        </w:tc>
      </w:tr>
      <w:tr>
        <w:tblPrEx>
          <w:tblCellMar>
            <w:top w:w="0" w:type="dxa"/>
            <w:left w:w="108" w:type="dxa"/>
            <w:bottom w:w="0" w:type="dxa"/>
            <w:right w:w="108" w:type="dxa"/>
          </w:tblCellMar>
        </w:tblPrEx>
        <w:trPr>
          <w:trHeight w:val="300" w:hRule="atLeast"/>
          <w:jc w:val="center"/>
        </w:trPr>
        <w:tc>
          <w:tcPr>
            <w:tcW w:w="963"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评审</w:t>
            </w:r>
          </w:p>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项目</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分 值</w:t>
            </w:r>
          </w:p>
        </w:tc>
        <w:tc>
          <w:tcPr>
            <w:tcW w:w="5518"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评审内容</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提供资料</w:t>
            </w:r>
          </w:p>
        </w:tc>
      </w:tr>
      <w:tr>
        <w:tblPrEx>
          <w:tblCellMar>
            <w:top w:w="0" w:type="dxa"/>
            <w:left w:w="108" w:type="dxa"/>
            <w:bottom w:w="0" w:type="dxa"/>
            <w:right w:w="108" w:type="dxa"/>
          </w:tblCellMar>
        </w:tblPrEx>
        <w:trPr>
          <w:trHeight w:val="300" w:hRule="atLeast"/>
          <w:jc w:val="center"/>
        </w:trPr>
        <w:tc>
          <w:tcPr>
            <w:tcW w:w="96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仿宋"/>
                <w:color w:val="auto"/>
                <w:sz w:val="24"/>
                <w:highlight w:val="none"/>
              </w:rPr>
            </w:pPr>
            <w:r>
              <w:rPr>
                <w:rFonts w:hint="eastAsia" w:ascii="宋体" w:hAnsi="宋体" w:cs="仿宋"/>
                <w:color w:val="auto"/>
                <w:sz w:val="24"/>
                <w:highlight w:val="none"/>
                <w:lang w:bidi="ar"/>
              </w:rPr>
              <w:t>产品</w:t>
            </w:r>
          </w:p>
          <w:p>
            <w:pPr>
              <w:spacing w:line="288" w:lineRule="auto"/>
              <w:jc w:val="center"/>
              <w:rPr>
                <w:rFonts w:ascii="宋体" w:hAnsi="宋体" w:cs="仿宋"/>
                <w:color w:val="auto"/>
                <w:sz w:val="24"/>
                <w:highlight w:val="none"/>
              </w:rPr>
            </w:pPr>
            <w:r>
              <w:rPr>
                <w:rFonts w:hint="eastAsia" w:ascii="宋体" w:hAnsi="宋体" w:cs="仿宋"/>
                <w:color w:val="auto"/>
                <w:sz w:val="24"/>
                <w:highlight w:val="none"/>
                <w:lang w:bidi="ar"/>
              </w:rPr>
              <w:t>技术</w:t>
            </w:r>
          </w:p>
          <w:p>
            <w:pPr>
              <w:widowControl/>
              <w:spacing w:line="312" w:lineRule="auto"/>
              <w:jc w:val="center"/>
              <w:textAlignment w:val="center"/>
              <w:rPr>
                <w:rFonts w:ascii="宋体" w:hAnsi="宋体" w:cs="宋体"/>
                <w:b/>
                <w:bCs/>
                <w:strike/>
                <w:color w:val="auto"/>
                <w:kern w:val="0"/>
                <w:szCs w:val="21"/>
                <w:highlight w:val="none"/>
                <w:lang w:bidi="ar"/>
              </w:rPr>
            </w:pPr>
            <w:r>
              <w:rPr>
                <w:rFonts w:hint="eastAsia" w:ascii="宋体" w:hAnsi="宋体" w:cs="仿宋"/>
                <w:color w:val="auto"/>
                <w:sz w:val="24"/>
                <w:highlight w:val="none"/>
                <w:lang w:bidi="ar"/>
              </w:rPr>
              <w:t>能力</w:t>
            </w:r>
          </w:p>
        </w:tc>
        <w:tc>
          <w:tcPr>
            <w:tcW w:w="553" w:type="dxa"/>
            <w:tcBorders>
              <w:top w:val="single" w:color="000000" w:sz="4" w:space="0"/>
              <w:left w:val="single" w:color="auto" w:sz="4" w:space="0"/>
              <w:bottom w:val="single" w:color="000000" w:sz="4" w:space="0"/>
              <w:right w:val="single" w:color="000000" w:sz="4" w:space="0"/>
            </w:tcBorders>
            <w:vAlign w:val="center"/>
          </w:tcPr>
          <w:p>
            <w:pPr>
              <w:widowControl/>
              <w:spacing w:line="312" w:lineRule="auto"/>
              <w:jc w:val="center"/>
              <w:textAlignment w:val="center"/>
              <w:rPr>
                <w:rFonts w:hint="eastAsia" w:ascii="宋体" w:hAnsi="宋体" w:eastAsia="宋体" w:cs="宋体"/>
                <w:b/>
                <w:bCs/>
                <w:strike/>
                <w:color w:val="auto"/>
                <w:kern w:val="0"/>
                <w:szCs w:val="21"/>
                <w:highlight w:val="none"/>
                <w:lang w:eastAsia="zh-CN" w:bidi="ar"/>
              </w:rPr>
            </w:pPr>
            <w:r>
              <w:rPr>
                <w:rFonts w:hint="eastAsia" w:ascii="宋体" w:hAnsi="宋体" w:cs="宋体"/>
                <w:b/>
                <w:bCs/>
                <w:color w:val="auto"/>
                <w:kern w:val="0"/>
                <w:szCs w:val="21"/>
                <w:highlight w:val="red"/>
                <w:lang w:val="en-US" w:eastAsia="zh-CN" w:bidi="ar"/>
              </w:rPr>
              <w:t>8</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根据所投产品的详细技术参数进行打分。招标文件技术参数要求提供证明资料的未能提供或提供的证明资料不符合要求的，则视为不满足。</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 xml:space="preserve">    根据各投标人所投货物性能以及技术参数对招标文件各项基本要求的逐项响应情况由评委进行评议评分，投标人所投货物完全满足招标文件技术规范及要求的，得11分。有负偏离情况的，评标委员会将根据该技术参数的负偏离情况进行以下扣分： </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（1）技术参数中标注 “★”号的指标条款为实质性要求和条件，对其中任何一条的负偏离，</w:t>
            </w:r>
            <w:r>
              <w:rPr>
                <w:rFonts w:hint="eastAsia" w:ascii="宋体" w:hAnsi="宋体" w:cs="宋体"/>
                <w:b/>
                <w:bCs/>
                <w:color w:val="auto"/>
                <w:szCs w:val="21"/>
                <w:highlight w:val="green"/>
              </w:rPr>
              <w:t>在评标时将</w:t>
            </w:r>
            <w:r>
              <w:rPr>
                <w:rFonts w:hint="eastAsia" w:ascii="宋体" w:hAnsi="宋体" w:cs="宋体"/>
                <w:b/>
                <w:bCs/>
                <w:color w:val="auto"/>
                <w:szCs w:val="21"/>
                <w:highlight w:val="green"/>
                <w:lang w:val="en-US" w:eastAsia="zh-CN"/>
              </w:rPr>
              <w:t>作废标处理</w:t>
            </w:r>
            <w:r>
              <w:rPr>
                <w:rFonts w:hint="eastAsia" w:ascii="宋体" w:hAnsi="宋体" w:cs="宋体"/>
                <w:b/>
                <w:bCs/>
                <w:color w:val="auto"/>
                <w:szCs w:val="21"/>
                <w:highlight w:val="green"/>
              </w:rPr>
              <w:t>；</w:t>
            </w:r>
          </w:p>
          <w:p>
            <w:pPr>
              <w:spacing w:line="312" w:lineRule="auto"/>
              <w:rPr>
                <w:rFonts w:ascii="宋体" w:hAnsi="宋体" w:cs="宋体"/>
                <w:b/>
                <w:bCs/>
                <w:strike/>
                <w:color w:val="auto"/>
                <w:szCs w:val="21"/>
                <w:highlight w:val="none"/>
                <w:lang w:bidi="ar"/>
              </w:rPr>
            </w:pPr>
            <w:r>
              <w:rPr>
                <w:rFonts w:hint="eastAsia" w:ascii="宋体" w:hAnsi="宋体" w:cs="宋体"/>
                <w:b/>
                <w:bCs/>
                <w:color w:val="auto"/>
                <w:szCs w:val="21"/>
                <w:highlight w:val="none"/>
              </w:rPr>
              <w:t>（2）标注“▲”指标，每负偏离一项扣</w:t>
            </w:r>
            <w:r>
              <w:rPr>
                <w:rFonts w:hint="eastAsia" w:ascii="宋体" w:hAnsi="宋体" w:cs="宋体"/>
                <w:b/>
                <w:bCs/>
                <w:color w:val="auto"/>
                <w:szCs w:val="21"/>
                <w:highlight w:val="red"/>
                <w:lang w:val="en-US" w:eastAsia="zh-CN"/>
              </w:rPr>
              <w:t>2</w:t>
            </w:r>
            <w:r>
              <w:rPr>
                <w:rFonts w:hint="eastAsia" w:ascii="宋体" w:hAnsi="宋体" w:cs="宋体"/>
                <w:b/>
                <w:bCs/>
                <w:color w:val="auto"/>
                <w:szCs w:val="21"/>
                <w:highlight w:val="red"/>
              </w:rPr>
              <w:t>分，</w:t>
            </w:r>
            <w:r>
              <w:rPr>
                <w:rFonts w:hint="eastAsia" w:ascii="宋体" w:hAnsi="宋体" w:cs="宋体"/>
                <w:b/>
                <w:bCs/>
                <w:color w:val="auto"/>
                <w:szCs w:val="21"/>
                <w:highlight w:val="none"/>
              </w:rPr>
              <w:t>扣完为止。</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（3）正偏离不加分。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strike/>
                <w:color w:val="auto"/>
                <w:kern w:val="0"/>
                <w:szCs w:val="21"/>
                <w:highlight w:val="none"/>
                <w:lang w:bidi="ar"/>
              </w:rPr>
            </w:pPr>
            <w:r>
              <w:rPr>
                <w:rFonts w:hint="eastAsia" w:ascii="宋体" w:hAnsi="宋体" w:cs="宋体"/>
                <w:color w:val="auto"/>
                <w:kern w:val="0"/>
                <w:szCs w:val="21"/>
                <w:highlight w:val="none"/>
                <w:lang w:bidi="ar"/>
              </w:rPr>
              <w:t>提供技术偏离表、参数要求提供的证明材料（如有），加盖投标人公章</w:t>
            </w:r>
          </w:p>
        </w:tc>
      </w:tr>
      <w:tr>
        <w:tblPrEx>
          <w:tblCellMar>
            <w:top w:w="0" w:type="dxa"/>
            <w:left w:w="108" w:type="dxa"/>
            <w:bottom w:w="0" w:type="dxa"/>
            <w:right w:w="108" w:type="dxa"/>
          </w:tblCellMar>
        </w:tblPrEx>
        <w:trPr>
          <w:trHeight w:val="300" w:hRule="atLeast"/>
          <w:jc w:val="center"/>
        </w:trPr>
        <w:tc>
          <w:tcPr>
            <w:tcW w:w="963" w:type="dxa"/>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hAnsi="宋体" w:cs="宋体"/>
                <w:b/>
                <w:bCs/>
                <w:color w:val="auto"/>
                <w:spacing w:val="-6"/>
                <w:szCs w:val="21"/>
                <w:highlight w:val="none"/>
                <w:lang w:bidi="ar"/>
              </w:rPr>
            </w:pPr>
            <w:r>
              <w:rPr>
                <w:rFonts w:hint="eastAsia" w:ascii="宋体" w:hAnsi="宋体" w:cs="宋体"/>
                <w:b/>
                <w:bCs/>
                <w:color w:val="auto"/>
                <w:spacing w:val="-6"/>
                <w:szCs w:val="21"/>
                <w:highlight w:val="none"/>
                <w:lang w:bidi="ar"/>
              </w:rPr>
              <w:t>除臭系统</w:t>
            </w:r>
          </w:p>
        </w:tc>
        <w:tc>
          <w:tcPr>
            <w:tcW w:w="553" w:type="dxa"/>
            <w:tcBorders>
              <w:top w:val="single" w:color="000000" w:sz="4" w:space="0"/>
              <w:left w:val="single" w:color="auto" w:sz="4" w:space="0"/>
              <w:bottom w:val="single" w:color="000000" w:sz="4" w:space="0"/>
              <w:right w:val="single" w:color="000000" w:sz="4" w:space="0"/>
            </w:tcBorders>
            <w:vAlign w:val="center"/>
          </w:tcPr>
          <w:p>
            <w:pPr>
              <w:widowControl/>
              <w:spacing w:line="312" w:lineRule="auto"/>
              <w:jc w:val="center"/>
              <w:textAlignment w:val="center"/>
              <w:rPr>
                <w:rFonts w:hint="eastAsia" w:ascii="宋体" w:hAnsi="宋体" w:eastAsia="宋体" w:cs="宋体"/>
                <w:b/>
                <w:bCs/>
                <w:color w:val="auto"/>
                <w:kern w:val="0"/>
                <w:szCs w:val="21"/>
                <w:highlight w:val="none"/>
                <w:lang w:eastAsia="zh-CN" w:bidi="ar"/>
              </w:rPr>
            </w:pPr>
            <w:r>
              <w:rPr>
                <w:rFonts w:hint="eastAsia" w:ascii="宋体" w:hAnsi="宋体" w:cs="宋体"/>
                <w:b/>
                <w:bCs/>
                <w:color w:val="auto"/>
                <w:kern w:val="0"/>
                <w:szCs w:val="21"/>
                <w:highlight w:val="red"/>
                <w:lang w:val="en-US" w:eastAsia="zh-CN" w:bidi="ar"/>
              </w:rPr>
              <w:t>4</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rPr>
                <w:rFonts w:ascii="宋体" w:hAnsi="宋体" w:cs="宋体"/>
                <w:b/>
                <w:bCs/>
                <w:color w:val="auto"/>
                <w:szCs w:val="21"/>
                <w:highlight w:val="none"/>
              </w:rPr>
            </w:pPr>
            <w:r>
              <w:rPr>
                <w:rFonts w:hint="eastAsia" w:ascii="宋体" w:hAnsi="宋体" w:cs="宋体"/>
                <w:b/>
                <w:bCs/>
                <w:color w:val="auto"/>
                <w:szCs w:val="21"/>
                <w:highlight w:val="none"/>
              </w:rPr>
              <w:t>根据投标人所投除臭系统的主要部件材质、去除能力等技术参数、设计使用年限，工艺应用的稳定性和可靠性由评委横向对比打分，0-</w:t>
            </w:r>
            <w:r>
              <w:rPr>
                <w:rFonts w:hint="eastAsia" w:ascii="宋体" w:hAnsi="宋体" w:cs="宋体"/>
                <w:b/>
                <w:bCs/>
                <w:color w:val="auto"/>
                <w:szCs w:val="21"/>
                <w:highlight w:val="none"/>
                <w:lang w:val="en-US" w:eastAsia="zh-CN"/>
              </w:rPr>
              <w:t>4</w:t>
            </w:r>
            <w:r>
              <w:rPr>
                <w:rFonts w:hint="eastAsia" w:ascii="宋体" w:hAnsi="宋体" w:cs="宋体"/>
                <w:b/>
                <w:bCs/>
                <w:color w:val="auto"/>
                <w:szCs w:val="21"/>
                <w:highlight w:val="none"/>
              </w:rPr>
              <w:t>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szCs w:val="21"/>
                <w:highlight w:val="none"/>
              </w:rPr>
              <w:t>提供技术参数资料，加盖</w:t>
            </w:r>
            <w:r>
              <w:rPr>
                <w:rFonts w:hint="eastAsia" w:ascii="宋体" w:hAnsi="宋体" w:cs="宋体"/>
                <w:color w:val="auto"/>
                <w:kern w:val="0"/>
                <w:szCs w:val="21"/>
                <w:highlight w:val="none"/>
                <w:lang w:bidi="ar"/>
              </w:rPr>
              <w:t>投标人公章</w:t>
            </w:r>
          </w:p>
        </w:tc>
      </w:tr>
      <w:tr>
        <w:tblPrEx>
          <w:tblCellMar>
            <w:top w:w="0" w:type="dxa"/>
            <w:left w:w="108" w:type="dxa"/>
            <w:bottom w:w="0" w:type="dxa"/>
            <w:right w:w="108" w:type="dxa"/>
          </w:tblCellMar>
        </w:tblPrEx>
        <w:trPr>
          <w:trHeight w:val="90" w:hRule="atLeast"/>
          <w:jc w:val="center"/>
        </w:trPr>
        <w:tc>
          <w:tcPr>
            <w:tcW w:w="963" w:type="dxa"/>
            <w:tcBorders>
              <w:left w:val="single" w:color="auto" w:sz="4" w:space="0"/>
              <w:bottom w:val="single" w:color="auto" w:sz="4" w:space="0"/>
              <w:right w:val="single" w:color="auto" w:sz="4" w:space="0"/>
            </w:tcBorders>
            <w:vAlign w:val="center"/>
          </w:tcPr>
          <w:p>
            <w:pPr>
              <w:spacing w:line="312" w:lineRule="auto"/>
              <w:jc w:val="center"/>
              <w:rPr>
                <w:rFonts w:ascii="宋体" w:hAnsi="宋体" w:cs="宋体"/>
                <w:b/>
                <w:bCs/>
                <w:color w:val="auto"/>
                <w:spacing w:val="-6"/>
                <w:szCs w:val="21"/>
                <w:highlight w:val="none"/>
                <w:lang w:bidi="ar"/>
              </w:rPr>
            </w:pPr>
            <w:r>
              <w:rPr>
                <w:rFonts w:hint="eastAsia" w:ascii="宋体" w:hAnsi="宋体" w:cs="宋体"/>
                <w:b/>
                <w:bCs/>
                <w:color w:val="auto"/>
                <w:spacing w:val="-6"/>
                <w:szCs w:val="21"/>
                <w:highlight w:val="none"/>
                <w:lang w:bidi="ar"/>
              </w:rPr>
              <w:t>自控安防系统</w:t>
            </w:r>
          </w:p>
        </w:tc>
        <w:tc>
          <w:tcPr>
            <w:tcW w:w="553" w:type="dxa"/>
            <w:tcBorders>
              <w:left w:val="single" w:color="auto" w:sz="4" w:space="0"/>
              <w:bottom w:val="single" w:color="000000" w:sz="4" w:space="0"/>
              <w:right w:val="single" w:color="000000" w:sz="4" w:space="0"/>
            </w:tcBorders>
            <w:vAlign w:val="center"/>
          </w:tcPr>
          <w:p>
            <w:pPr>
              <w:widowControl/>
              <w:spacing w:line="312" w:lineRule="auto"/>
              <w:jc w:val="center"/>
              <w:textAlignment w:val="center"/>
              <w:rPr>
                <w:rFonts w:hint="eastAsia" w:ascii="宋体" w:hAnsi="宋体" w:eastAsia="宋体" w:cs="宋体"/>
                <w:b/>
                <w:bCs/>
                <w:color w:val="auto"/>
                <w:kern w:val="0"/>
                <w:szCs w:val="21"/>
                <w:highlight w:val="none"/>
                <w:lang w:eastAsia="zh-CN" w:bidi="ar"/>
              </w:rPr>
            </w:pPr>
            <w:r>
              <w:rPr>
                <w:rFonts w:hint="eastAsia" w:ascii="宋体" w:hAnsi="宋体" w:cs="宋体"/>
                <w:b/>
                <w:bCs/>
                <w:color w:val="auto"/>
                <w:kern w:val="0"/>
                <w:szCs w:val="21"/>
                <w:highlight w:val="red"/>
                <w:lang w:val="en-US" w:eastAsia="zh-CN" w:bidi="ar"/>
              </w:rPr>
              <w:t>4</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rPr>
                <w:rFonts w:ascii="宋体" w:hAnsi="宋体" w:cs="宋体"/>
                <w:b/>
                <w:bCs/>
                <w:color w:val="auto"/>
                <w:szCs w:val="21"/>
                <w:highlight w:val="none"/>
              </w:rPr>
            </w:pPr>
            <w:r>
              <w:rPr>
                <w:rFonts w:hint="eastAsia" w:ascii="宋体" w:hAnsi="宋体" w:cs="宋体"/>
                <w:b/>
                <w:bCs/>
                <w:color w:val="auto"/>
                <w:szCs w:val="21"/>
                <w:highlight w:val="none"/>
              </w:rPr>
              <w:t>根据泵站控制系统功能的完善性、可靠性和先进性及内部核心部件的性能等由评委横向对比，评委酌情打分0-</w:t>
            </w:r>
            <w:r>
              <w:rPr>
                <w:rFonts w:hint="eastAsia" w:ascii="宋体" w:hAnsi="宋体" w:cs="宋体"/>
                <w:b/>
                <w:bCs/>
                <w:color w:val="auto"/>
                <w:szCs w:val="21"/>
                <w:highlight w:val="none"/>
                <w:lang w:val="en-US" w:eastAsia="zh-CN"/>
              </w:rPr>
              <w:t>4</w:t>
            </w:r>
            <w:r>
              <w:rPr>
                <w:rFonts w:hint="eastAsia" w:ascii="宋体" w:hAnsi="宋体" w:cs="宋体"/>
                <w:b/>
                <w:bCs/>
                <w:color w:val="auto"/>
                <w:szCs w:val="21"/>
                <w:highlight w:val="none"/>
              </w:rPr>
              <w:t>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szCs w:val="21"/>
                <w:highlight w:val="none"/>
              </w:rPr>
              <w:t>提供技术参数资料，加盖</w:t>
            </w:r>
            <w:r>
              <w:rPr>
                <w:rFonts w:hint="eastAsia" w:ascii="宋体" w:hAnsi="宋体" w:cs="宋体"/>
                <w:color w:val="auto"/>
                <w:kern w:val="0"/>
                <w:szCs w:val="21"/>
                <w:highlight w:val="none"/>
                <w:lang w:bidi="ar"/>
              </w:rPr>
              <w:t>投标人公章</w:t>
            </w:r>
          </w:p>
        </w:tc>
      </w:tr>
      <w:tr>
        <w:tblPrEx>
          <w:tblCellMar>
            <w:top w:w="0" w:type="dxa"/>
            <w:left w:w="108" w:type="dxa"/>
            <w:bottom w:w="0" w:type="dxa"/>
            <w:right w:w="108" w:type="dxa"/>
          </w:tblCellMar>
        </w:tblPrEx>
        <w:trPr>
          <w:trHeight w:val="300" w:hRule="atLeast"/>
          <w:jc w:val="center"/>
        </w:trPr>
        <w:tc>
          <w:tcPr>
            <w:tcW w:w="963" w:type="dxa"/>
            <w:tcBorders>
              <w:top w:val="single" w:color="auto" w:sz="4" w:space="0"/>
              <w:left w:val="single" w:color="000000" w:sz="4" w:space="0"/>
              <w:bottom w:val="single" w:color="000000" w:sz="4" w:space="0"/>
              <w:right w:val="single" w:color="000000" w:sz="4" w:space="0"/>
            </w:tcBorders>
            <w:vAlign w:val="center"/>
          </w:tcPr>
          <w:p>
            <w:pPr>
              <w:spacing w:line="312" w:lineRule="auto"/>
              <w:jc w:val="center"/>
              <w:rPr>
                <w:rFonts w:ascii="宋体" w:hAnsi="宋体" w:cs="宋体"/>
                <w:b/>
                <w:bCs/>
                <w:color w:val="auto"/>
                <w:spacing w:val="-6"/>
                <w:szCs w:val="21"/>
                <w:highlight w:val="none"/>
                <w:lang w:bidi="ar"/>
              </w:rPr>
            </w:pPr>
            <w:r>
              <w:rPr>
                <w:rFonts w:hint="eastAsia" w:ascii="宋体" w:hAnsi="宋体" w:cs="宋体"/>
                <w:b/>
                <w:bCs/>
                <w:color w:val="auto"/>
                <w:szCs w:val="21"/>
                <w:highlight w:val="none"/>
              </w:rPr>
              <w:t>潜水排污泵</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hint="eastAsia" w:ascii="宋体" w:hAnsi="宋体" w:eastAsia="宋体" w:cs="宋体"/>
                <w:b/>
                <w:bCs/>
                <w:color w:val="auto"/>
                <w:kern w:val="0"/>
                <w:szCs w:val="21"/>
                <w:highlight w:val="none"/>
                <w:lang w:eastAsia="zh-CN" w:bidi="ar"/>
              </w:rPr>
            </w:pPr>
            <w:r>
              <w:rPr>
                <w:rFonts w:hint="eastAsia" w:ascii="宋体" w:hAnsi="宋体" w:cs="宋体"/>
                <w:b/>
                <w:bCs/>
                <w:color w:val="auto"/>
                <w:kern w:val="0"/>
                <w:szCs w:val="21"/>
                <w:highlight w:val="red"/>
                <w:lang w:val="en-US" w:eastAsia="zh-CN" w:bidi="ar"/>
              </w:rPr>
              <w:t>4</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rPr>
                <w:rFonts w:ascii="宋体" w:hAnsi="宋体" w:cs="宋体"/>
                <w:b/>
                <w:bCs/>
                <w:color w:val="auto"/>
                <w:szCs w:val="21"/>
                <w:highlight w:val="none"/>
              </w:rPr>
            </w:pPr>
            <w:r>
              <w:rPr>
                <w:rFonts w:hint="eastAsia" w:ascii="宋体" w:hAnsi="宋体" w:cs="宋体"/>
                <w:b/>
                <w:bCs/>
                <w:color w:val="auto"/>
                <w:szCs w:val="21"/>
                <w:highlight w:val="none"/>
              </w:rPr>
              <w:t>根据投标人所投潜水排污泵的电缆密封</w:t>
            </w:r>
            <w:r>
              <w:rPr>
                <w:rFonts w:hint="eastAsia" w:ascii="宋体" w:hAnsi="宋体" w:cs="宋体"/>
                <w:b/>
                <w:bCs/>
                <w:color w:val="auto"/>
                <w:szCs w:val="21"/>
                <w:highlight w:val="none"/>
                <w:lang w:eastAsia="zh-CN"/>
              </w:rPr>
              <w:t>方式</w:t>
            </w:r>
            <w:r>
              <w:rPr>
                <w:rFonts w:hint="eastAsia" w:ascii="宋体" w:hAnsi="宋体" w:cs="宋体"/>
                <w:b/>
                <w:bCs/>
                <w:color w:val="auto"/>
                <w:szCs w:val="21"/>
                <w:highlight w:val="none"/>
              </w:rPr>
              <w:t>、冷却方式</w:t>
            </w:r>
            <w:r>
              <w:rPr>
                <w:rFonts w:hint="eastAsia" w:ascii="宋体" w:hAnsi="宋体" w:cs="宋体"/>
                <w:b/>
                <w:bCs/>
                <w:color w:val="auto"/>
                <w:szCs w:val="21"/>
                <w:highlight w:val="none"/>
                <w:lang w:eastAsia="zh-CN"/>
              </w:rPr>
              <w:t>等</w:t>
            </w:r>
            <w:r>
              <w:rPr>
                <w:rFonts w:hint="eastAsia" w:ascii="宋体" w:hAnsi="宋体" w:cs="宋体"/>
                <w:b/>
                <w:bCs/>
                <w:color w:val="auto"/>
                <w:szCs w:val="21"/>
                <w:highlight w:val="none"/>
              </w:rPr>
              <w:t>技术先进性进行酌情评分，0-</w:t>
            </w:r>
            <w:r>
              <w:rPr>
                <w:rFonts w:hint="eastAsia" w:ascii="宋体" w:hAnsi="宋体" w:cs="宋体"/>
                <w:b/>
                <w:bCs/>
                <w:color w:val="auto"/>
                <w:szCs w:val="21"/>
                <w:highlight w:val="none"/>
                <w:lang w:val="en-US" w:eastAsia="zh-CN"/>
              </w:rPr>
              <w:t>4</w:t>
            </w:r>
            <w:r>
              <w:rPr>
                <w:rFonts w:hint="eastAsia" w:ascii="宋体" w:hAnsi="宋体" w:cs="宋体"/>
                <w:b/>
                <w:bCs/>
                <w:color w:val="auto"/>
                <w:szCs w:val="21"/>
                <w:highlight w:val="none"/>
              </w:rPr>
              <w:t>分。</w:t>
            </w:r>
            <w:bookmarkStart w:id="339" w:name="_GoBack"/>
            <w:bookmarkEnd w:id="339"/>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szCs w:val="21"/>
                <w:highlight w:val="none"/>
              </w:rPr>
              <w:t>提供技术参数资料，加盖</w:t>
            </w:r>
            <w:r>
              <w:rPr>
                <w:rFonts w:hint="eastAsia" w:ascii="宋体" w:hAnsi="宋体" w:cs="宋体"/>
                <w:color w:val="auto"/>
                <w:kern w:val="0"/>
                <w:szCs w:val="21"/>
                <w:highlight w:val="none"/>
                <w:lang w:bidi="ar"/>
              </w:rPr>
              <w:t>投标人公章</w:t>
            </w:r>
          </w:p>
        </w:tc>
      </w:tr>
      <w:tr>
        <w:tblPrEx>
          <w:tblCellMar>
            <w:top w:w="0" w:type="dxa"/>
            <w:left w:w="108" w:type="dxa"/>
            <w:bottom w:w="0" w:type="dxa"/>
            <w:right w:w="108" w:type="dxa"/>
          </w:tblCellMar>
        </w:tblPrEx>
        <w:trPr>
          <w:trHeight w:val="300" w:hRule="atLeast"/>
          <w:jc w:val="center"/>
        </w:trPr>
        <w:tc>
          <w:tcPr>
            <w:tcW w:w="963" w:type="dxa"/>
            <w:tcBorders>
              <w:top w:val="single" w:color="000000" w:sz="4" w:space="0"/>
              <w:left w:val="single" w:color="000000" w:sz="4" w:space="0"/>
              <w:bottom w:val="single" w:color="000000" w:sz="4" w:space="0"/>
              <w:right w:val="single" w:color="000000" w:sz="4" w:space="0"/>
            </w:tcBorders>
            <w:vAlign w:val="center"/>
          </w:tcPr>
          <w:p>
            <w:pPr>
              <w:spacing w:line="312" w:lineRule="auto"/>
              <w:jc w:val="center"/>
              <w:rPr>
                <w:rFonts w:ascii="宋体" w:hAnsi="宋体" w:cs="宋体"/>
                <w:b/>
                <w:bCs/>
                <w:color w:val="auto"/>
                <w:spacing w:val="-6"/>
                <w:szCs w:val="21"/>
                <w:highlight w:val="none"/>
                <w:lang w:bidi="ar"/>
              </w:rPr>
            </w:pPr>
            <w:r>
              <w:rPr>
                <w:rFonts w:hint="eastAsia" w:ascii="宋体" w:hAnsi="宋体" w:cs="宋体"/>
                <w:b/>
                <w:bCs/>
                <w:color w:val="auto"/>
                <w:spacing w:val="-6"/>
                <w:szCs w:val="21"/>
                <w:highlight w:val="none"/>
                <w:lang w:bidi="ar"/>
              </w:rPr>
              <w:t>备品备件</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3</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rPr>
                <w:rFonts w:ascii="宋体" w:hAnsi="宋体" w:cs="宋体"/>
                <w:b/>
                <w:bCs/>
                <w:color w:val="auto"/>
                <w:szCs w:val="21"/>
                <w:highlight w:val="none"/>
              </w:rPr>
            </w:pPr>
            <w:r>
              <w:rPr>
                <w:rFonts w:hint="eastAsia" w:ascii="宋体" w:hAnsi="宋体" w:cs="宋体"/>
                <w:b/>
                <w:bCs/>
                <w:color w:val="auto"/>
                <w:szCs w:val="21"/>
                <w:highlight w:val="none"/>
              </w:rPr>
              <w:t>根据投标人所投设备备品、备件和专业工具完善程度，由评委横向对比，评委酌情打分0-3分。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根据横向比较，</w:t>
            </w:r>
            <w:r>
              <w:rPr>
                <w:rStyle w:val="51"/>
                <w:color w:val="auto"/>
                <w:sz w:val="21"/>
                <w:szCs w:val="21"/>
                <w:highlight w:val="none"/>
                <w:u w:val="none"/>
                <w:lang w:bidi="ar"/>
              </w:rPr>
              <w:t>专家自行评分。</w:t>
            </w:r>
          </w:p>
        </w:tc>
      </w:tr>
      <w:tr>
        <w:tblPrEx>
          <w:tblCellMar>
            <w:top w:w="0" w:type="dxa"/>
            <w:left w:w="108" w:type="dxa"/>
            <w:bottom w:w="0" w:type="dxa"/>
            <w:right w:w="108" w:type="dxa"/>
          </w:tblCellMar>
        </w:tblPrEx>
        <w:trPr>
          <w:trHeight w:val="300" w:hRule="atLeast"/>
          <w:jc w:val="center"/>
        </w:trPr>
        <w:tc>
          <w:tcPr>
            <w:tcW w:w="963" w:type="dxa"/>
            <w:vMerge w:val="restart"/>
            <w:tcBorders>
              <w:top w:val="single" w:color="000000" w:sz="4" w:space="0"/>
              <w:left w:val="single" w:color="000000" w:sz="4" w:space="0"/>
              <w:right w:val="single" w:color="000000" w:sz="4" w:space="0"/>
            </w:tcBorders>
            <w:vAlign w:val="center"/>
          </w:tcPr>
          <w:p>
            <w:pPr>
              <w:spacing w:line="312" w:lineRule="auto"/>
              <w:jc w:val="center"/>
              <w:rPr>
                <w:rFonts w:ascii="宋体" w:hAnsi="宋体" w:cs="宋体"/>
                <w:b/>
                <w:bCs/>
                <w:color w:val="auto"/>
                <w:spacing w:val="-6"/>
                <w:szCs w:val="21"/>
                <w:highlight w:val="none"/>
                <w:lang w:bidi="ar"/>
              </w:rPr>
            </w:pPr>
            <w:r>
              <w:rPr>
                <w:rFonts w:hint="eastAsia" w:ascii="宋体" w:hAnsi="宋体" w:cs="宋体"/>
                <w:b/>
                <w:bCs/>
                <w:color w:val="auto"/>
                <w:spacing w:val="-6"/>
                <w:szCs w:val="21"/>
                <w:highlight w:val="none"/>
                <w:lang w:bidi="ar"/>
              </w:rPr>
              <w:t>安装及售后服务</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4</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rPr>
                <w:rFonts w:ascii="宋体" w:hAnsi="宋体" w:cs="宋体"/>
                <w:b/>
                <w:bCs/>
                <w:color w:val="auto"/>
                <w:szCs w:val="21"/>
                <w:highlight w:val="none"/>
              </w:rPr>
            </w:pPr>
            <w:r>
              <w:rPr>
                <w:rFonts w:hint="eastAsia" w:ascii="宋体" w:hAnsi="宋体" w:cs="宋体"/>
                <w:b/>
                <w:bCs/>
                <w:color w:val="auto"/>
                <w:szCs w:val="21"/>
                <w:highlight w:val="none"/>
              </w:rPr>
              <w:t>对投标单位提交的施工组织方案对总体供货安排、日常施工力量安排，专业人员配备齐全程度和施工组织科学合理性、安装调试及验收方案完善程度等进行横向对比，评委酌情打分0-4分。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提供施工组织方案</w:t>
            </w:r>
            <w:r>
              <w:rPr>
                <w:rFonts w:hint="eastAsia" w:ascii="宋体" w:hAnsi="宋体" w:cs="宋体"/>
                <w:color w:val="auto"/>
                <w:szCs w:val="21"/>
                <w:highlight w:val="none"/>
              </w:rPr>
              <w:t>，加盖</w:t>
            </w:r>
            <w:r>
              <w:rPr>
                <w:rFonts w:hint="eastAsia" w:ascii="宋体" w:hAnsi="宋体" w:cs="宋体"/>
                <w:color w:val="auto"/>
                <w:kern w:val="0"/>
                <w:szCs w:val="21"/>
                <w:highlight w:val="none"/>
                <w:lang w:bidi="ar"/>
              </w:rPr>
              <w:t>投标人公章</w:t>
            </w:r>
          </w:p>
        </w:tc>
      </w:tr>
      <w:tr>
        <w:tblPrEx>
          <w:tblCellMar>
            <w:top w:w="0" w:type="dxa"/>
            <w:left w:w="108" w:type="dxa"/>
            <w:bottom w:w="0" w:type="dxa"/>
            <w:right w:w="108" w:type="dxa"/>
          </w:tblCellMar>
        </w:tblPrEx>
        <w:trPr>
          <w:trHeight w:val="588" w:hRule="atLeast"/>
          <w:jc w:val="center"/>
        </w:trPr>
        <w:tc>
          <w:tcPr>
            <w:tcW w:w="963" w:type="dxa"/>
            <w:vMerge w:val="continue"/>
            <w:tcBorders>
              <w:left w:val="single" w:color="000000" w:sz="4" w:space="0"/>
              <w:right w:val="single" w:color="000000" w:sz="4" w:space="0"/>
            </w:tcBorders>
            <w:vAlign w:val="center"/>
          </w:tcPr>
          <w:p>
            <w:pPr>
              <w:spacing w:line="312" w:lineRule="auto"/>
              <w:jc w:val="center"/>
              <w:rPr>
                <w:rFonts w:ascii="宋体" w:hAnsi="宋体" w:cs="宋体"/>
                <w:b/>
                <w:bCs/>
                <w:color w:val="auto"/>
                <w:spacing w:val="-6"/>
                <w:szCs w:val="21"/>
                <w:highlight w:val="none"/>
                <w:lang w:bidi="ar"/>
              </w:rPr>
            </w:pP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4</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rPr>
                <w:rFonts w:ascii="宋体" w:hAnsi="宋体" w:cs="宋体"/>
                <w:b/>
                <w:bCs/>
                <w:color w:val="auto"/>
                <w:szCs w:val="21"/>
                <w:highlight w:val="none"/>
              </w:rPr>
            </w:pPr>
            <w:r>
              <w:rPr>
                <w:rFonts w:hint="eastAsia" w:ascii="宋体" w:hAnsi="宋体" w:cs="宋体"/>
                <w:b/>
                <w:bCs/>
                <w:color w:val="auto"/>
                <w:spacing w:val="-6"/>
                <w:szCs w:val="21"/>
                <w:highlight w:val="none"/>
                <w:lang w:bidi="ar"/>
              </w:rPr>
              <w:t>据投标人提供的售后服务方案、维护人员配备、承诺的技术培训和售后服务机构设置等情况，提供详细、完善的本地化长期售后服务的承诺情况，售后服务承诺的可行性、完整性以及保障措施，产品质量保证期内外的后续技术支持和维护能力情况等酌情打0-4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szCs w:val="21"/>
                <w:highlight w:val="none"/>
              </w:rPr>
              <w:t>提供证明文件资料，加盖</w:t>
            </w:r>
            <w:r>
              <w:rPr>
                <w:rFonts w:hint="eastAsia" w:ascii="宋体" w:hAnsi="宋体" w:cs="宋体"/>
                <w:color w:val="auto"/>
                <w:kern w:val="0"/>
                <w:szCs w:val="21"/>
                <w:highlight w:val="none"/>
                <w:lang w:bidi="ar"/>
              </w:rPr>
              <w:t>投标人公章</w:t>
            </w:r>
          </w:p>
        </w:tc>
      </w:tr>
      <w:tr>
        <w:tblPrEx>
          <w:tblCellMar>
            <w:top w:w="0" w:type="dxa"/>
            <w:left w:w="108" w:type="dxa"/>
            <w:bottom w:w="0" w:type="dxa"/>
            <w:right w:w="108" w:type="dxa"/>
          </w:tblCellMar>
        </w:tblPrEx>
        <w:trPr>
          <w:trHeight w:val="300" w:hRule="atLeast"/>
          <w:jc w:val="center"/>
        </w:trPr>
        <w:tc>
          <w:tcPr>
            <w:tcW w:w="963" w:type="dxa"/>
            <w:vMerge w:val="continue"/>
            <w:tcBorders>
              <w:left w:val="single" w:color="000000" w:sz="4" w:space="0"/>
              <w:bottom w:val="single" w:color="000000" w:sz="4" w:space="0"/>
              <w:right w:val="single" w:color="000000" w:sz="4" w:space="0"/>
            </w:tcBorders>
            <w:vAlign w:val="center"/>
          </w:tcPr>
          <w:p>
            <w:pPr>
              <w:spacing w:line="312" w:lineRule="auto"/>
              <w:jc w:val="center"/>
              <w:rPr>
                <w:rFonts w:ascii="宋体" w:hAnsi="宋体" w:cs="宋体"/>
                <w:b/>
                <w:bCs/>
                <w:color w:val="auto"/>
                <w:spacing w:val="-6"/>
                <w:szCs w:val="21"/>
                <w:highlight w:val="none"/>
                <w:lang w:bidi="ar"/>
              </w:rPr>
            </w:pP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2</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rPr>
                <w:rFonts w:ascii="宋体" w:hAnsi="宋体" w:cs="宋体"/>
                <w:b/>
                <w:bCs/>
                <w:color w:val="auto"/>
                <w:spacing w:val="-6"/>
                <w:szCs w:val="21"/>
                <w:highlight w:val="none"/>
                <w:lang w:bidi="ar"/>
              </w:rPr>
            </w:pPr>
            <w:r>
              <w:rPr>
                <w:rFonts w:hint="eastAsia" w:ascii="宋体" w:hAnsi="宋体" w:cs="宋体"/>
                <w:b/>
                <w:bCs/>
                <w:color w:val="auto"/>
                <w:spacing w:val="-6"/>
                <w:szCs w:val="21"/>
                <w:highlight w:val="none"/>
                <w:lang w:bidi="ar"/>
              </w:rPr>
              <w:t>投标人所投产品质保期在满足招标文件要求的基础上，每延长半年加1分（不足半年不计分），最高加2分。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提供承诺书</w:t>
            </w:r>
            <w:r>
              <w:rPr>
                <w:rFonts w:hint="eastAsia" w:ascii="宋体" w:hAnsi="宋体" w:cs="宋体"/>
                <w:color w:val="auto"/>
                <w:szCs w:val="21"/>
                <w:highlight w:val="none"/>
              </w:rPr>
              <w:t>，加盖</w:t>
            </w:r>
            <w:r>
              <w:rPr>
                <w:rFonts w:hint="eastAsia" w:ascii="宋体" w:hAnsi="宋体" w:cs="宋体"/>
                <w:color w:val="auto"/>
                <w:kern w:val="0"/>
                <w:szCs w:val="21"/>
                <w:highlight w:val="none"/>
                <w:lang w:bidi="ar"/>
              </w:rPr>
              <w:t>投标人公章</w:t>
            </w:r>
          </w:p>
        </w:tc>
      </w:tr>
      <w:tr>
        <w:tblPrEx>
          <w:tblCellMar>
            <w:top w:w="0" w:type="dxa"/>
            <w:left w:w="108" w:type="dxa"/>
            <w:bottom w:w="0" w:type="dxa"/>
            <w:right w:w="108" w:type="dxa"/>
          </w:tblCellMar>
        </w:tblPrEx>
        <w:trPr>
          <w:trHeight w:val="300" w:hRule="atLeast"/>
          <w:jc w:val="center"/>
        </w:trPr>
        <w:tc>
          <w:tcPr>
            <w:tcW w:w="963" w:type="dxa"/>
            <w:vMerge w:val="restart"/>
            <w:tcBorders>
              <w:top w:val="single" w:color="000000" w:sz="4" w:space="0"/>
              <w:left w:val="single" w:color="000000" w:sz="4" w:space="0"/>
              <w:right w:val="single" w:color="000000" w:sz="4" w:space="0"/>
            </w:tcBorders>
            <w:vAlign w:val="center"/>
          </w:tcPr>
          <w:p>
            <w:pPr>
              <w:spacing w:line="312" w:lineRule="auto"/>
              <w:jc w:val="center"/>
              <w:rPr>
                <w:rFonts w:ascii="宋体" w:hAnsi="宋体" w:cs="宋体"/>
                <w:b/>
                <w:bCs/>
                <w:color w:val="auto"/>
                <w:spacing w:val="-6"/>
                <w:szCs w:val="21"/>
                <w:highlight w:val="none"/>
                <w:lang w:bidi="ar"/>
              </w:rPr>
            </w:pPr>
            <w:r>
              <w:rPr>
                <w:rFonts w:hint="eastAsia" w:ascii="宋体" w:hAnsi="宋体" w:cs="宋体"/>
                <w:b/>
                <w:bCs/>
                <w:color w:val="auto"/>
                <w:szCs w:val="21"/>
                <w:highlight w:val="none"/>
              </w:rPr>
              <w:t>业绩、资质</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6</w:t>
            </w:r>
          </w:p>
        </w:tc>
        <w:tc>
          <w:tcPr>
            <w:tcW w:w="5518" w:type="dxa"/>
            <w:tcBorders>
              <w:top w:val="single" w:color="000000" w:sz="4" w:space="0"/>
              <w:left w:val="single" w:color="000000" w:sz="4" w:space="0"/>
              <w:bottom w:val="single" w:color="auto" w:sz="4" w:space="0"/>
              <w:right w:val="single" w:color="000000" w:sz="4" w:space="0"/>
            </w:tcBorders>
            <w:vAlign w:val="center"/>
          </w:tcPr>
          <w:p>
            <w:pPr>
              <w:spacing w:line="312" w:lineRule="auto"/>
              <w:ind w:firstLine="422" w:firstLineChars="200"/>
              <w:rPr>
                <w:rFonts w:hint="eastAsia" w:ascii="宋体" w:hAnsi="宋体" w:cs="宋体"/>
                <w:b/>
                <w:bCs/>
                <w:color w:val="auto"/>
                <w:kern w:val="0"/>
                <w:szCs w:val="21"/>
                <w:highlight w:val="none"/>
                <w:lang w:eastAsia="zh-CN"/>
              </w:rPr>
            </w:pPr>
            <w:r>
              <w:rPr>
                <w:rFonts w:hint="eastAsia" w:ascii="宋体" w:hAnsi="宋体" w:cs="宋体"/>
                <w:b/>
                <w:bCs/>
                <w:color w:val="auto"/>
                <w:kern w:val="0"/>
                <w:szCs w:val="21"/>
                <w:highlight w:val="none"/>
              </w:rPr>
              <w:t>投标人自</w:t>
            </w:r>
            <w:r>
              <w:rPr>
                <w:rFonts w:hint="eastAsia" w:ascii="宋体" w:hAnsi="宋体" w:cs="宋体"/>
                <w:b/>
                <w:bCs/>
                <w:color w:val="0000FF"/>
                <w:kern w:val="0"/>
                <w:szCs w:val="21"/>
                <w:highlight w:val="none"/>
              </w:rPr>
              <w:t>201</w:t>
            </w:r>
            <w:r>
              <w:rPr>
                <w:rFonts w:hint="eastAsia" w:ascii="宋体" w:hAnsi="宋体" w:cs="宋体"/>
                <w:b/>
                <w:bCs/>
                <w:color w:val="0000FF"/>
                <w:kern w:val="0"/>
                <w:szCs w:val="21"/>
                <w:highlight w:val="none"/>
                <w:lang w:val="en-US" w:eastAsia="zh-CN"/>
              </w:rPr>
              <w:t>9</w:t>
            </w:r>
            <w:r>
              <w:rPr>
                <w:rFonts w:hint="eastAsia" w:ascii="宋体" w:hAnsi="宋体" w:cs="宋体"/>
                <w:b/>
                <w:bCs/>
                <w:color w:val="0000FF"/>
                <w:kern w:val="0"/>
                <w:szCs w:val="21"/>
                <w:highlight w:val="none"/>
              </w:rPr>
              <w:t>年</w:t>
            </w:r>
            <w:r>
              <w:rPr>
                <w:rFonts w:hint="eastAsia" w:ascii="宋体" w:hAnsi="宋体" w:cs="宋体"/>
                <w:b/>
                <w:bCs/>
                <w:color w:val="0000FF"/>
                <w:kern w:val="0"/>
                <w:szCs w:val="21"/>
                <w:highlight w:val="none"/>
                <w:lang w:val="en-US" w:eastAsia="zh-CN"/>
              </w:rPr>
              <w:t>1</w:t>
            </w:r>
            <w:r>
              <w:rPr>
                <w:rFonts w:hint="eastAsia" w:ascii="宋体" w:hAnsi="宋体" w:cs="宋体"/>
                <w:b/>
                <w:bCs/>
                <w:color w:val="0000FF"/>
                <w:kern w:val="0"/>
                <w:szCs w:val="21"/>
                <w:highlight w:val="none"/>
              </w:rPr>
              <w:t>月1日以</w:t>
            </w:r>
            <w:r>
              <w:rPr>
                <w:rFonts w:hint="eastAsia" w:ascii="宋体" w:hAnsi="宋体" w:cs="宋体"/>
                <w:b/>
                <w:bCs/>
                <w:color w:val="auto"/>
                <w:kern w:val="0"/>
                <w:szCs w:val="21"/>
                <w:highlight w:val="none"/>
              </w:rPr>
              <w:t>来（以合同签订日期为准）</w:t>
            </w:r>
            <w:r>
              <w:rPr>
                <w:rFonts w:hint="eastAsia" w:ascii="宋体" w:hAnsi="宋体" w:cs="宋体"/>
                <w:b/>
                <w:bCs/>
                <w:color w:val="auto"/>
                <w:kern w:val="0"/>
                <w:szCs w:val="21"/>
                <w:highlight w:val="none"/>
                <w:lang w:eastAsia="zh-CN"/>
              </w:rPr>
              <w:t>：</w:t>
            </w:r>
          </w:p>
          <w:p>
            <w:pPr>
              <w:spacing w:line="312"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具有处理规模3万吨/日（含）-5万吨/日（不含）的污水泵站或污水处理厂类似材料供货业绩【类似材料指含钢管、潜水排污泵、格栅、启闭机、电动葫芦不少于其中3项】，每个业绩得1分，最多得3分。</w:t>
            </w:r>
          </w:p>
          <w:p>
            <w:pPr>
              <w:spacing w:line="312"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具有处理规模5万吨/日（含）以上的污水泵站或污水处理厂类似材料供货业绩【类似材料指含钢管、潜水排污泵、格栅、启闭机、电动葫芦不少于其中3项】，每个业绩得2分，最多得6分。</w:t>
            </w:r>
          </w:p>
          <w:p>
            <w:pPr>
              <w:spacing w:line="312" w:lineRule="auto"/>
              <w:ind w:firstLine="422" w:firstLineChars="200"/>
              <w:rPr>
                <w:color w:val="auto"/>
                <w:highlight w:val="none"/>
              </w:rPr>
            </w:pPr>
            <w:r>
              <w:rPr>
                <w:rFonts w:hint="eastAsia" w:ascii="宋体" w:hAnsi="宋体" w:cs="宋体"/>
                <w:b/>
                <w:bCs/>
                <w:color w:val="auto"/>
                <w:kern w:val="0"/>
                <w:szCs w:val="21"/>
                <w:highlight w:val="none"/>
              </w:rPr>
              <w:t>本项最多得6分。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left"/>
              <w:textAlignment w:val="center"/>
              <w:rPr>
                <w:rFonts w:ascii="宋体" w:hAnsi="宋体" w:cs="宋体"/>
                <w:color w:val="auto"/>
                <w:kern w:val="0"/>
                <w:szCs w:val="21"/>
                <w:highlight w:val="none"/>
                <w:lang w:bidi="ar"/>
              </w:rPr>
            </w:pPr>
            <w:r>
              <w:rPr>
                <w:rFonts w:hint="eastAsia" w:ascii="宋体" w:hAnsi="宋体" w:cs="宋体"/>
                <w:b/>
                <w:bCs/>
                <w:color w:val="auto"/>
                <w:kern w:val="0"/>
                <w:szCs w:val="21"/>
                <w:highlight w:val="none"/>
              </w:rPr>
              <w:t>提供合同复印件加盖投标人公章。如上述材料中未能体现业绩特征的，则还须提供项目所在地行业主管部门或业主单位出具的证明复印件（需加盖提供单位盖章）。</w:t>
            </w:r>
          </w:p>
        </w:tc>
      </w:tr>
      <w:tr>
        <w:tblPrEx>
          <w:tblCellMar>
            <w:top w:w="0" w:type="dxa"/>
            <w:left w:w="108" w:type="dxa"/>
            <w:bottom w:w="0" w:type="dxa"/>
            <w:right w:w="108" w:type="dxa"/>
          </w:tblCellMar>
        </w:tblPrEx>
        <w:trPr>
          <w:trHeight w:val="300" w:hRule="atLeast"/>
          <w:jc w:val="center"/>
        </w:trPr>
        <w:tc>
          <w:tcPr>
            <w:tcW w:w="963" w:type="dxa"/>
            <w:vMerge w:val="continue"/>
            <w:tcBorders>
              <w:left w:val="single" w:color="000000" w:sz="4" w:space="0"/>
              <w:bottom w:val="single" w:color="000000" w:sz="4" w:space="0"/>
              <w:right w:val="single" w:color="000000" w:sz="4" w:space="0"/>
            </w:tcBorders>
            <w:vAlign w:val="center"/>
          </w:tcPr>
          <w:p>
            <w:pPr>
              <w:spacing w:line="312" w:lineRule="auto"/>
              <w:jc w:val="center"/>
              <w:rPr>
                <w:rFonts w:ascii="宋体" w:hAnsi="宋体" w:cs="宋体"/>
                <w:b/>
                <w:bCs/>
                <w:color w:val="auto"/>
                <w:spacing w:val="-6"/>
                <w:szCs w:val="21"/>
                <w:highlight w:val="none"/>
                <w:lang w:bidi="ar"/>
              </w:rPr>
            </w:pP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b/>
                <w:bCs/>
                <w:color w:val="auto"/>
                <w:kern w:val="0"/>
                <w:szCs w:val="21"/>
                <w:highlight w:val="red"/>
                <w:lang w:bidi="ar"/>
              </w:rPr>
            </w:pPr>
            <w:r>
              <w:rPr>
                <w:rFonts w:hint="eastAsia" w:ascii="宋体" w:hAnsi="宋体" w:cs="宋体"/>
                <w:b/>
                <w:bCs/>
                <w:color w:val="auto"/>
                <w:kern w:val="0"/>
                <w:szCs w:val="21"/>
                <w:highlight w:val="red"/>
                <w:lang w:bidi="ar"/>
              </w:rPr>
              <w:t>1</w:t>
            </w:r>
          </w:p>
        </w:tc>
        <w:tc>
          <w:tcPr>
            <w:tcW w:w="5518" w:type="dxa"/>
            <w:tcBorders>
              <w:top w:val="single" w:color="000000" w:sz="4" w:space="0"/>
              <w:left w:val="single" w:color="000000" w:sz="4" w:space="0"/>
              <w:bottom w:val="single" w:color="auto" w:sz="4" w:space="0"/>
              <w:right w:val="single" w:color="000000" w:sz="4" w:space="0"/>
            </w:tcBorders>
            <w:vAlign w:val="center"/>
          </w:tcPr>
          <w:p>
            <w:pPr>
              <w:pStyle w:val="33"/>
              <w:spacing w:before="0" w:after="0" w:line="360" w:lineRule="auto"/>
              <w:ind w:firstLine="422" w:firstLineChars="200"/>
              <w:rPr>
                <w:color w:val="auto"/>
                <w:highlight w:val="red"/>
              </w:rPr>
            </w:pPr>
            <w:r>
              <w:rPr>
                <w:rFonts w:hint="eastAsia" w:ascii="宋体" w:hAnsi="宋体" w:cs="宋体"/>
                <w:color w:val="auto"/>
                <w:sz w:val="21"/>
                <w:szCs w:val="21"/>
                <w:highlight w:val="red"/>
              </w:rPr>
              <w:t>投标人具有“</w:t>
            </w:r>
            <w:r>
              <w:rPr>
                <w:rFonts w:hint="eastAsia" w:ascii="宋体" w:hAnsi="宋体" w:cs="宋体"/>
                <w:color w:val="auto"/>
                <w:kern w:val="2"/>
                <w:sz w:val="21"/>
                <w:szCs w:val="21"/>
                <w:highlight w:val="red"/>
                <w:lang w:bidi="ar"/>
              </w:rPr>
              <w:t>电子与智能化工程专业承包</w:t>
            </w:r>
            <w:r>
              <w:rPr>
                <w:rFonts w:hint="eastAsia" w:ascii="宋体" w:hAnsi="宋体" w:cs="宋体"/>
                <w:color w:val="auto"/>
                <w:sz w:val="21"/>
                <w:szCs w:val="21"/>
                <w:highlight w:val="red"/>
              </w:rPr>
              <w:t>资质</w:t>
            </w:r>
            <w:r>
              <w:rPr>
                <w:rFonts w:hint="eastAsia" w:ascii="宋体" w:hAnsi="宋体" w:cs="宋体"/>
                <w:color w:val="auto"/>
                <w:kern w:val="2"/>
                <w:sz w:val="21"/>
                <w:szCs w:val="21"/>
                <w:highlight w:val="red"/>
                <w:lang w:bidi="ar"/>
              </w:rPr>
              <w:t>或</w:t>
            </w:r>
            <w:r>
              <w:rPr>
                <w:rFonts w:hint="eastAsia" w:ascii="宋体" w:hAnsi="宋体" w:cs="宋体"/>
                <w:color w:val="auto"/>
                <w:sz w:val="21"/>
                <w:szCs w:val="21"/>
                <w:highlight w:val="red"/>
              </w:rPr>
              <w:t>建筑机电安装工程专业承包资质”证书</w:t>
            </w:r>
            <w:r>
              <w:rPr>
                <w:rFonts w:hint="eastAsia" w:ascii="宋体" w:hAnsi="宋体" w:cs="宋体"/>
                <w:color w:val="auto"/>
                <w:kern w:val="2"/>
                <w:sz w:val="21"/>
                <w:szCs w:val="21"/>
                <w:highlight w:val="red"/>
                <w:lang w:bidi="ar"/>
              </w:rPr>
              <w:t>的，得1分。</w:t>
            </w:r>
          </w:p>
        </w:tc>
        <w:tc>
          <w:tcPr>
            <w:tcW w:w="1776" w:type="dxa"/>
            <w:tcBorders>
              <w:top w:val="single" w:color="000000" w:sz="4" w:space="0"/>
              <w:left w:val="single" w:color="000000" w:sz="4" w:space="0"/>
              <w:bottom w:val="single" w:color="auto" w:sz="4" w:space="0"/>
              <w:right w:val="single" w:color="000000" w:sz="4" w:space="0"/>
            </w:tcBorders>
            <w:vAlign w:val="center"/>
          </w:tcPr>
          <w:p>
            <w:pPr>
              <w:widowControl/>
              <w:spacing w:line="312" w:lineRule="auto"/>
              <w:jc w:val="center"/>
              <w:textAlignment w:val="center"/>
              <w:rPr>
                <w:rFonts w:ascii="宋体" w:hAnsi="宋体" w:cs="宋体"/>
                <w:color w:val="auto"/>
                <w:kern w:val="0"/>
                <w:szCs w:val="21"/>
                <w:highlight w:val="red"/>
                <w:lang w:bidi="ar"/>
              </w:rPr>
            </w:pPr>
            <w:r>
              <w:rPr>
                <w:rFonts w:hint="eastAsia" w:ascii="宋体" w:hAnsi="宋体" w:cs="宋体"/>
                <w:color w:val="auto"/>
                <w:kern w:val="0"/>
                <w:szCs w:val="21"/>
                <w:highlight w:val="red"/>
                <w:lang w:bidi="ar"/>
              </w:rPr>
              <w:t>提供证书复印件并加盖投标人公章</w:t>
            </w:r>
          </w:p>
        </w:tc>
      </w:tr>
      <w:tr>
        <w:tblPrEx>
          <w:tblCellMar>
            <w:top w:w="0" w:type="dxa"/>
            <w:left w:w="108" w:type="dxa"/>
            <w:bottom w:w="0" w:type="dxa"/>
            <w:right w:w="108" w:type="dxa"/>
          </w:tblCellMar>
        </w:tblPrEx>
        <w:trPr>
          <w:trHeight w:val="1545" w:hRule="atLeast"/>
          <w:jc w:val="center"/>
        </w:trPr>
        <w:tc>
          <w:tcPr>
            <w:tcW w:w="8810"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left"/>
              <w:textAlignment w:val="center"/>
              <w:rPr>
                <w:rStyle w:val="51"/>
                <w:rFonts w:ascii="宋体" w:hAnsi="宋体" w:cs="宋体"/>
                <w:color w:val="auto"/>
                <w:sz w:val="21"/>
                <w:szCs w:val="21"/>
                <w:highlight w:val="none"/>
                <w:u w:val="none"/>
                <w:lang w:bidi="ar"/>
              </w:rPr>
            </w:pPr>
            <w:r>
              <w:rPr>
                <w:rStyle w:val="51"/>
                <w:rFonts w:hint="eastAsia" w:ascii="宋体" w:hAnsi="宋体" w:cs="宋体"/>
                <w:color w:val="auto"/>
                <w:kern w:val="0"/>
                <w:sz w:val="21"/>
                <w:szCs w:val="21"/>
                <w:highlight w:val="none"/>
                <w:u w:val="none"/>
                <w:lang w:bidi="ar"/>
              </w:rPr>
              <w:t>注：</w:t>
            </w:r>
            <w:r>
              <w:rPr>
                <w:rStyle w:val="51"/>
                <w:rFonts w:hint="eastAsia" w:ascii="宋体" w:hAnsi="宋体" w:cs="宋体"/>
                <w:color w:val="auto"/>
                <w:sz w:val="21"/>
                <w:szCs w:val="21"/>
                <w:highlight w:val="none"/>
                <w:u w:val="none"/>
                <w:lang w:bidi="ar"/>
              </w:rPr>
              <w:t>1、所有证书都应在有效期内，逾期不得分。</w:t>
            </w:r>
          </w:p>
          <w:p>
            <w:pPr>
              <w:widowControl/>
              <w:numPr>
                <w:ilvl w:val="0"/>
                <w:numId w:val="6"/>
              </w:numPr>
              <w:spacing w:line="312" w:lineRule="auto"/>
              <w:jc w:val="left"/>
              <w:textAlignment w:val="center"/>
              <w:rPr>
                <w:rStyle w:val="51"/>
                <w:rFonts w:ascii="宋体" w:hAnsi="宋体" w:cs="宋体"/>
                <w:color w:val="auto"/>
                <w:sz w:val="21"/>
                <w:szCs w:val="21"/>
                <w:highlight w:val="none"/>
                <w:u w:val="none"/>
                <w:lang w:bidi="ar"/>
              </w:rPr>
            </w:pPr>
            <w:r>
              <w:rPr>
                <w:rStyle w:val="51"/>
                <w:rFonts w:hint="eastAsia" w:ascii="宋体" w:hAnsi="宋体" w:cs="宋体"/>
                <w:color w:val="auto"/>
                <w:sz w:val="21"/>
                <w:szCs w:val="21"/>
                <w:highlight w:val="none"/>
                <w:u w:val="none"/>
                <w:lang w:bidi="ar"/>
              </w:rPr>
              <w:t>如投标文件中没有提供相对应的评审内容，则评标委员会对该缺项内容按零分计取。</w:t>
            </w:r>
          </w:p>
          <w:p>
            <w:pPr>
              <w:widowControl/>
              <w:spacing w:line="312" w:lineRule="auto"/>
              <w:jc w:val="left"/>
              <w:textAlignment w:val="center"/>
              <w:rPr>
                <w:rFonts w:ascii="宋体" w:hAnsi="宋体" w:cs="宋体"/>
                <w:color w:val="auto"/>
                <w:kern w:val="0"/>
                <w:szCs w:val="21"/>
                <w:highlight w:val="none"/>
                <w:lang w:bidi="ar"/>
              </w:rPr>
            </w:pPr>
            <w:r>
              <w:rPr>
                <w:rStyle w:val="51"/>
                <w:rFonts w:hint="eastAsia" w:ascii="宋体" w:hAnsi="宋体" w:cs="宋体"/>
                <w:color w:val="auto"/>
                <w:sz w:val="21"/>
                <w:szCs w:val="21"/>
                <w:highlight w:val="none"/>
                <w:u w:val="none"/>
                <w:lang w:bidi="ar"/>
              </w:rPr>
              <w:t>3、进行评分汇总时去掉最高分和最低分各一个后算术平均值，作为各投标人的最终技术标得分，得分计算结果精确到小数点后两位，小数点后第三位四舍五入。</w:t>
            </w:r>
          </w:p>
        </w:tc>
      </w:tr>
    </w:tbl>
    <w:p>
      <w:pPr>
        <w:rPr>
          <w:rFonts w:ascii="宋体" w:hAnsi="宋体" w:cs="宋体"/>
          <w:color w:val="auto"/>
          <w:sz w:val="24"/>
          <w:highlight w:val="none"/>
        </w:rPr>
      </w:pPr>
      <w:bookmarkStart w:id="196" w:name="_Toc152042377"/>
      <w:bookmarkStart w:id="197" w:name="_Toc179632618"/>
      <w:bookmarkStart w:id="198" w:name="_Toc152045600"/>
      <w:bookmarkStart w:id="199" w:name="_Toc144974567"/>
    </w:p>
    <w:p>
      <w:pPr>
        <w:rPr>
          <w:rFonts w:ascii="宋体" w:hAnsi="宋体" w:cs="宋体"/>
          <w:color w:val="auto"/>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pStyle w:val="8"/>
        <w:spacing w:line="312" w:lineRule="auto"/>
        <w:ind w:firstLine="0" w:firstLineChars="0"/>
        <w:rPr>
          <w:rFonts w:hint="eastAsia" w:ascii="宋体" w:hAnsi="宋体" w:cs="宋体"/>
          <w:b/>
          <w:bCs/>
          <w:color w:val="auto"/>
          <w:szCs w:val="21"/>
          <w:highlight w:val="none"/>
        </w:rPr>
      </w:pPr>
    </w:p>
    <w:p>
      <w:pPr>
        <w:rPr>
          <w:rFonts w:ascii="宋体" w:hAnsi="宋体" w:cs="宋体"/>
          <w:color w:val="auto"/>
          <w:highlight w:val="none"/>
        </w:rPr>
      </w:pPr>
      <w:r>
        <w:rPr>
          <w:rFonts w:hint="eastAsia" w:ascii="宋体" w:hAnsi="宋体" w:cs="宋体"/>
          <w:color w:val="auto"/>
          <w:sz w:val="24"/>
          <w:highlight w:val="none"/>
        </w:rPr>
        <w:t>表2商务标评分标准（60分）</w:t>
      </w:r>
    </w:p>
    <w:tbl>
      <w:tblPr>
        <w:tblStyle w:val="28"/>
        <w:tblW w:w="8810" w:type="dxa"/>
        <w:jc w:val="center"/>
        <w:tblLayout w:type="fixed"/>
        <w:tblCellMar>
          <w:top w:w="0" w:type="dxa"/>
          <w:left w:w="108" w:type="dxa"/>
          <w:bottom w:w="0" w:type="dxa"/>
          <w:right w:w="108" w:type="dxa"/>
        </w:tblCellMar>
      </w:tblPr>
      <w:tblGrid>
        <w:gridCol w:w="8810"/>
      </w:tblGrid>
      <w:tr>
        <w:tblPrEx>
          <w:tblCellMar>
            <w:top w:w="0" w:type="dxa"/>
            <w:left w:w="108" w:type="dxa"/>
            <w:bottom w:w="0" w:type="dxa"/>
            <w:right w:w="108" w:type="dxa"/>
          </w:tblCellMar>
        </w:tblPrEx>
        <w:trPr>
          <w:trHeight w:val="300" w:hRule="atLeast"/>
          <w:jc w:val="center"/>
        </w:trPr>
        <w:tc>
          <w:tcPr>
            <w:tcW w:w="8810" w:type="dxa"/>
            <w:tcBorders>
              <w:top w:val="single" w:color="000000" w:sz="4" w:space="0"/>
              <w:left w:val="single" w:color="000000" w:sz="4" w:space="0"/>
              <w:bottom w:val="single" w:color="000000" w:sz="4" w:space="0"/>
              <w:right w:val="single" w:color="000000" w:sz="4" w:space="0"/>
            </w:tcBorders>
            <w:vAlign w:val="cente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商务标</w:t>
            </w:r>
            <w:r>
              <w:rPr>
                <w:rStyle w:val="51"/>
                <w:rFonts w:hint="eastAsia" w:ascii="宋体" w:hAnsi="宋体" w:cs="宋体"/>
                <w:color w:val="auto"/>
                <w:sz w:val="21"/>
                <w:szCs w:val="21"/>
                <w:highlight w:val="none"/>
                <w:u w:val="none"/>
                <w:lang w:bidi="ar"/>
              </w:rPr>
              <w:t>评分标准（60分）</w:t>
            </w:r>
          </w:p>
        </w:tc>
      </w:tr>
      <w:tr>
        <w:tblPrEx>
          <w:tblCellMar>
            <w:top w:w="0" w:type="dxa"/>
            <w:left w:w="108" w:type="dxa"/>
            <w:bottom w:w="0" w:type="dxa"/>
            <w:right w:w="108" w:type="dxa"/>
          </w:tblCellMar>
        </w:tblPrEx>
        <w:trPr>
          <w:trHeight w:val="300" w:hRule="atLeast"/>
          <w:jc w:val="center"/>
        </w:trPr>
        <w:tc>
          <w:tcPr>
            <w:tcW w:w="8810" w:type="dxa"/>
            <w:tcBorders>
              <w:top w:val="single" w:color="000000" w:sz="4" w:space="0"/>
              <w:left w:val="single" w:color="000000" w:sz="4" w:space="0"/>
              <w:bottom w:val="single" w:color="auto" w:sz="4" w:space="0"/>
              <w:right w:val="single" w:color="000000" w:sz="4" w:space="0"/>
            </w:tcBorders>
            <w:vAlign w:val="center"/>
          </w:tcPr>
          <w:p>
            <w:pPr>
              <w:shd w:val="clear" w:color="auto" w:fill="FFFFFF"/>
              <w:spacing w:line="336"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 xml:space="preserve">（1）本次招标项目招标人设置最高上限价，招标控制价作为最高上限价，最高上限价为 </w:t>
            </w:r>
            <w:r>
              <w:rPr>
                <w:rFonts w:hint="eastAsia" w:ascii="宋体" w:hAnsi="宋体" w:cs="宋体"/>
                <w:b/>
                <w:color w:val="auto"/>
                <w:szCs w:val="21"/>
                <w:highlight w:val="none"/>
                <w:u w:val="single"/>
                <w:lang w:bidi="ar"/>
              </w:rPr>
              <w:t>644.3431</w:t>
            </w:r>
            <w:r>
              <w:rPr>
                <w:rFonts w:hint="eastAsia" w:ascii="宋体" w:hAnsi="宋体" w:cs="宋体"/>
                <w:b/>
                <w:bCs/>
                <w:color w:val="auto"/>
                <w:szCs w:val="21"/>
                <w:highlight w:val="none"/>
              </w:rPr>
              <w:t>万元，超过上限价的作废标处理。</w:t>
            </w:r>
          </w:p>
          <w:p>
            <w:pPr>
              <w:shd w:val="clear" w:color="auto" w:fill="FFFFFF"/>
              <w:spacing w:line="336"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（2）评标基准价：进入评分范围的投标评标价的算术平均值为评标基准价（投标评标价在5个及以上时，去除一个最高价和一个最低价）。</w:t>
            </w:r>
          </w:p>
          <w:p>
            <w:pPr>
              <w:shd w:val="clear" w:color="auto" w:fill="FFFFFF"/>
              <w:spacing w:line="336"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A：当评标基准价小于投标报价时：商务标得分=60-(投标报价-评标基准价）/评标基准价×100×2；</w:t>
            </w:r>
          </w:p>
          <w:p>
            <w:pPr>
              <w:shd w:val="clear" w:color="auto" w:fill="FFFFFF"/>
              <w:spacing w:line="336"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B：当评标基准价大于投标报价时：商务标得分=60-(评标基准价-投标报价）/评标基准价×100×1；</w:t>
            </w:r>
          </w:p>
          <w:p>
            <w:pPr>
              <w:shd w:val="clear" w:color="auto" w:fill="FFFFFF"/>
              <w:spacing w:line="336"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C：当评标基准价等于投标报价时，即商务分得满分60分。</w:t>
            </w:r>
          </w:p>
          <w:p>
            <w:pPr>
              <w:widowControl/>
              <w:spacing w:line="312" w:lineRule="auto"/>
              <w:ind w:firstLine="422" w:firstLineChars="200"/>
              <w:jc w:val="left"/>
              <w:textAlignment w:val="center"/>
              <w:rPr>
                <w:rFonts w:ascii="宋体" w:hAnsi="宋体" w:cs="宋体"/>
                <w:color w:val="auto"/>
                <w:kern w:val="0"/>
                <w:szCs w:val="21"/>
                <w:highlight w:val="none"/>
                <w:lang w:bidi="ar"/>
              </w:rPr>
            </w:pPr>
            <w:r>
              <w:rPr>
                <w:rFonts w:hint="eastAsia" w:ascii="宋体" w:hAnsi="宋体" w:cs="宋体"/>
                <w:b/>
                <w:bCs/>
                <w:color w:val="auto"/>
                <w:szCs w:val="21"/>
                <w:highlight w:val="none"/>
              </w:rPr>
              <w:t>（3）商务标得分保留二位小数，小数点后第三位四舍五入。</w:t>
            </w:r>
          </w:p>
        </w:tc>
      </w:tr>
    </w:tbl>
    <w:p>
      <w:pPr>
        <w:keepNext/>
        <w:keepLines/>
        <w:shd w:val="clear" w:color="auto" w:fill="FFFFFF"/>
        <w:spacing w:before="100" w:line="400" w:lineRule="exact"/>
        <w:jc w:val="center"/>
        <w:outlineLvl w:val="1"/>
        <w:rPr>
          <w:rFonts w:ascii="宋体" w:hAnsi="宋体" w:cs="宋体"/>
          <w:color w:val="auto"/>
          <w:sz w:val="28"/>
          <w:szCs w:val="28"/>
          <w:highlight w:val="none"/>
        </w:rPr>
      </w:pPr>
      <w:r>
        <w:rPr>
          <w:rFonts w:hint="eastAsia" w:ascii="宋体" w:hAnsi="宋体" w:cs="宋体"/>
          <w:color w:val="auto"/>
          <w:sz w:val="32"/>
          <w:szCs w:val="32"/>
          <w:highlight w:val="none"/>
        </w:rPr>
        <w:br w:type="page"/>
      </w:r>
      <w:r>
        <w:rPr>
          <w:rFonts w:hint="eastAsia" w:ascii="宋体" w:hAnsi="宋体" w:cs="宋体"/>
          <w:color w:val="auto"/>
          <w:sz w:val="32"/>
          <w:szCs w:val="32"/>
          <w:highlight w:val="none"/>
        </w:rPr>
        <w:t>评标办法</w:t>
      </w:r>
      <w:r>
        <w:rPr>
          <w:rFonts w:hint="eastAsia" w:ascii="宋体" w:hAnsi="宋体" w:cs="宋体"/>
          <w:color w:val="auto"/>
          <w:sz w:val="28"/>
          <w:szCs w:val="28"/>
          <w:highlight w:val="none"/>
        </w:rPr>
        <w:t>（综合评估法）</w:t>
      </w:r>
    </w:p>
    <w:p>
      <w:pPr>
        <w:keepNext/>
        <w:keepLines/>
        <w:shd w:val="clear" w:color="auto" w:fill="FFFFFF"/>
        <w:spacing w:line="312" w:lineRule="auto"/>
        <w:outlineLvl w:val="1"/>
        <w:rPr>
          <w:rFonts w:ascii="宋体" w:hAnsi="宋体" w:cs="宋体"/>
          <w:color w:val="auto"/>
          <w:sz w:val="28"/>
          <w:szCs w:val="20"/>
          <w:highlight w:val="none"/>
        </w:rPr>
      </w:pPr>
      <w:r>
        <w:rPr>
          <w:rFonts w:hint="eastAsia" w:ascii="宋体" w:hAnsi="宋体" w:cs="宋体"/>
          <w:color w:val="auto"/>
          <w:sz w:val="28"/>
          <w:szCs w:val="20"/>
          <w:highlight w:val="none"/>
        </w:rPr>
        <w:t>1. 评标方法</w:t>
      </w:r>
      <w:bookmarkEnd w:id="196"/>
      <w:bookmarkEnd w:id="197"/>
      <w:bookmarkEnd w:id="198"/>
      <w:bookmarkEnd w:id="199"/>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当场抽签确定。</w:t>
      </w:r>
    </w:p>
    <w:p>
      <w:pPr>
        <w:keepNext/>
        <w:keepLines/>
        <w:shd w:val="clear" w:color="auto" w:fill="FFFFFF"/>
        <w:spacing w:line="312" w:lineRule="auto"/>
        <w:outlineLvl w:val="1"/>
        <w:rPr>
          <w:rFonts w:ascii="宋体" w:hAnsi="宋体" w:cs="宋体"/>
          <w:color w:val="auto"/>
          <w:sz w:val="28"/>
          <w:szCs w:val="20"/>
          <w:highlight w:val="none"/>
        </w:rPr>
      </w:pPr>
      <w:bookmarkStart w:id="200" w:name="_Toc152045601"/>
      <w:bookmarkStart w:id="201" w:name="_Toc179632619"/>
      <w:bookmarkStart w:id="202" w:name="_Toc152042378"/>
      <w:bookmarkStart w:id="203" w:name="_Toc144974568"/>
      <w:r>
        <w:rPr>
          <w:rFonts w:hint="eastAsia" w:ascii="宋体" w:hAnsi="宋体" w:cs="宋体"/>
          <w:color w:val="auto"/>
          <w:sz w:val="28"/>
          <w:szCs w:val="20"/>
          <w:highlight w:val="none"/>
        </w:rPr>
        <w:t>2. 评审标准</w:t>
      </w:r>
      <w:bookmarkEnd w:id="200"/>
      <w:bookmarkEnd w:id="201"/>
      <w:bookmarkEnd w:id="202"/>
      <w:bookmarkEnd w:id="203"/>
    </w:p>
    <w:p>
      <w:pPr>
        <w:keepNext/>
        <w:keepLines/>
        <w:shd w:val="clear" w:color="auto" w:fill="FFFFFF"/>
        <w:spacing w:line="312" w:lineRule="auto"/>
        <w:outlineLvl w:val="2"/>
        <w:rPr>
          <w:rFonts w:ascii="宋体" w:hAnsi="宋体" w:cs="宋体"/>
          <w:color w:val="auto"/>
          <w:sz w:val="24"/>
          <w:szCs w:val="20"/>
          <w:highlight w:val="none"/>
        </w:rPr>
      </w:pPr>
      <w:bookmarkStart w:id="204" w:name="_Toc152042379"/>
      <w:bookmarkStart w:id="205" w:name="_Toc179632620"/>
      <w:bookmarkStart w:id="206" w:name="_Toc144974569"/>
      <w:bookmarkStart w:id="207" w:name="_Toc152045602"/>
      <w:r>
        <w:rPr>
          <w:rFonts w:hint="eastAsia" w:ascii="宋体" w:hAnsi="宋体" w:cs="宋体"/>
          <w:color w:val="auto"/>
          <w:sz w:val="24"/>
          <w:szCs w:val="20"/>
          <w:highlight w:val="none"/>
        </w:rPr>
        <w:t>2.1 初步评审标准</w:t>
      </w:r>
      <w:bookmarkEnd w:id="204"/>
      <w:bookmarkEnd w:id="205"/>
      <w:bookmarkEnd w:id="206"/>
      <w:bookmarkEnd w:id="207"/>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2.1.1 形式评审标准：见评标办法前附表。</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2.1.2 资格评审标准：见评标办法前附表（适用于未进行资格预审的）。</w:t>
      </w:r>
    </w:p>
    <w:p>
      <w:pPr>
        <w:shd w:val="clear" w:color="auto" w:fill="FFFFFF"/>
        <w:spacing w:line="312" w:lineRule="auto"/>
        <w:ind w:firstLine="420" w:firstLineChars="200"/>
        <w:rPr>
          <w:rFonts w:ascii="宋体" w:hAnsi="宋体" w:cs="宋体"/>
          <w:strike/>
          <w:color w:val="auto"/>
          <w:highlight w:val="none"/>
        </w:rPr>
      </w:pPr>
      <w:r>
        <w:rPr>
          <w:rFonts w:hint="eastAsia" w:ascii="宋体" w:hAnsi="宋体" w:cs="宋体"/>
          <w:strike/>
          <w:color w:val="auto"/>
          <w:highlight w:val="none"/>
        </w:rPr>
        <w:t>2.1.2 资格评审标准：见资格预审文件第三章“资格审查办法”详细审查标准（适用于已进行资格预审的）。</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2.1.3 响应性评审标准：见评标办法前附表。</w:t>
      </w:r>
    </w:p>
    <w:p>
      <w:pPr>
        <w:keepNext/>
        <w:keepLines/>
        <w:shd w:val="clear" w:color="auto" w:fill="FFFFFF"/>
        <w:spacing w:line="312" w:lineRule="auto"/>
        <w:outlineLvl w:val="2"/>
        <w:rPr>
          <w:rFonts w:ascii="宋体" w:hAnsi="宋体" w:cs="宋体"/>
          <w:color w:val="auto"/>
          <w:sz w:val="24"/>
          <w:szCs w:val="20"/>
          <w:highlight w:val="none"/>
        </w:rPr>
      </w:pPr>
      <w:bookmarkStart w:id="208" w:name="_Toc152042380"/>
      <w:bookmarkStart w:id="209" w:name="_Toc152045603"/>
      <w:bookmarkStart w:id="210" w:name="_Toc179632621"/>
      <w:bookmarkStart w:id="211" w:name="_Toc144974570"/>
      <w:r>
        <w:rPr>
          <w:rFonts w:hint="eastAsia" w:ascii="宋体" w:hAnsi="宋体" w:cs="宋体"/>
          <w:color w:val="auto"/>
          <w:sz w:val="24"/>
          <w:szCs w:val="20"/>
          <w:highlight w:val="none"/>
        </w:rPr>
        <w:t>2.2 分值构成与评分标准</w:t>
      </w:r>
      <w:bookmarkEnd w:id="208"/>
      <w:bookmarkEnd w:id="209"/>
      <w:bookmarkEnd w:id="210"/>
      <w:bookmarkEnd w:id="211"/>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2.2.1 分值构成</w:t>
      </w:r>
    </w:p>
    <w:p>
      <w:pPr>
        <w:shd w:val="clear" w:color="auto" w:fill="FFFFFF"/>
        <w:spacing w:line="312" w:lineRule="auto"/>
        <w:ind w:firstLine="718" w:firstLineChars="342"/>
        <w:rPr>
          <w:rFonts w:ascii="宋体" w:hAnsi="宋体" w:cs="宋体"/>
          <w:color w:val="auto"/>
          <w:highlight w:val="none"/>
        </w:rPr>
      </w:pPr>
      <w:r>
        <w:rPr>
          <w:rFonts w:hint="eastAsia" w:ascii="宋体" w:hAnsi="宋体" w:cs="宋体"/>
          <w:color w:val="auto"/>
          <w:highlight w:val="none"/>
        </w:rPr>
        <w:t>见评标办法前附表。</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2.2.2 评标基准价计算</w:t>
      </w:r>
    </w:p>
    <w:p>
      <w:pPr>
        <w:shd w:val="clear" w:color="auto" w:fill="FFFFFF"/>
        <w:spacing w:line="312" w:lineRule="auto"/>
        <w:ind w:firstLine="840" w:firstLineChars="400"/>
        <w:rPr>
          <w:rFonts w:ascii="宋体" w:hAnsi="宋体" w:cs="宋体"/>
          <w:color w:val="auto"/>
          <w:highlight w:val="none"/>
        </w:rPr>
      </w:pPr>
      <w:r>
        <w:rPr>
          <w:rFonts w:hint="eastAsia" w:ascii="宋体" w:hAnsi="宋体" w:cs="宋体"/>
          <w:color w:val="auto"/>
          <w:highlight w:val="none"/>
        </w:rPr>
        <w:t>评标基准价计算方法：见评标办法前附表。</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2.2.3 投标报价的偏差率计算</w:t>
      </w:r>
    </w:p>
    <w:p>
      <w:pPr>
        <w:shd w:val="clear" w:color="auto" w:fill="FFFFFF"/>
        <w:spacing w:line="312" w:lineRule="auto"/>
        <w:ind w:firstLine="840" w:firstLineChars="400"/>
        <w:rPr>
          <w:rFonts w:ascii="宋体" w:hAnsi="宋体" w:cs="宋体"/>
          <w:color w:val="auto"/>
          <w:highlight w:val="none"/>
        </w:rPr>
      </w:pPr>
      <w:r>
        <w:rPr>
          <w:rFonts w:hint="eastAsia" w:ascii="宋体" w:hAnsi="宋体" w:cs="宋体"/>
          <w:color w:val="auto"/>
          <w:highlight w:val="none"/>
        </w:rPr>
        <w:t>投标报价的偏差率计算公式：见评标办法前附表。</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2.2.4 评分标准</w:t>
      </w:r>
    </w:p>
    <w:p>
      <w:pPr>
        <w:shd w:val="clear" w:color="auto" w:fill="FFFFFF"/>
        <w:spacing w:line="312" w:lineRule="auto"/>
        <w:ind w:firstLine="718" w:firstLineChars="342"/>
        <w:rPr>
          <w:rFonts w:ascii="宋体" w:hAnsi="宋体" w:cs="宋体"/>
          <w:color w:val="auto"/>
          <w:highlight w:val="none"/>
        </w:rPr>
      </w:pPr>
      <w:r>
        <w:rPr>
          <w:rFonts w:hint="eastAsia" w:ascii="宋体" w:hAnsi="宋体" w:cs="宋体"/>
          <w:color w:val="auto"/>
          <w:szCs w:val="21"/>
          <w:highlight w:val="none"/>
        </w:rPr>
        <w:t>在编写项目招标文件时明确</w:t>
      </w:r>
      <w:r>
        <w:rPr>
          <w:rFonts w:hint="eastAsia" w:ascii="宋体" w:hAnsi="宋体" w:cs="宋体"/>
          <w:color w:val="auto"/>
          <w:highlight w:val="none"/>
        </w:rPr>
        <w:t>。</w:t>
      </w:r>
    </w:p>
    <w:p>
      <w:pPr>
        <w:keepNext/>
        <w:keepLines/>
        <w:shd w:val="clear" w:color="auto" w:fill="FFFFFF"/>
        <w:spacing w:line="312" w:lineRule="auto"/>
        <w:outlineLvl w:val="1"/>
        <w:rPr>
          <w:rFonts w:ascii="宋体" w:hAnsi="宋体" w:cs="宋体"/>
          <w:color w:val="auto"/>
          <w:sz w:val="28"/>
          <w:szCs w:val="20"/>
          <w:highlight w:val="none"/>
        </w:rPr>
      </w:pPr>
      <w:bookmarkStart w:id="212" w:name="_Toc152045604"/>
      <w:bookmarkStart w:id="213" w:name="_Toc179632622"/>
      <w:bookmarkStart w:id="214" w:name="_Toc144974571"/>
      <w:bookmarkStart w:id="215" w:name="_Toc152042381"/>
      <w:r>
        <w:rPr>
          <w:rFonts w:hint="eastAsia" w:ascii="宋体" w:hAnsi="宋体" w:cs="宋体"/>
          <w:color w:val="auto"/>
          <w:sz w:val="28"/>
          <w:szCs w:val="20"/>
          <w:highlight w:val="none"/>
        </w:rPr>
        <w:t>3. 评标程序</w:t>
      </w:r>
      <w:bookmarkEnd w:id="212"/>
      <w:bookmarkEnd w:id="213"/>
      <w:bookmarkEnd w:id="214"/>
      <w:bookmarkEnd w:id="215"/>
    </w:p>
    <w:p>
      <w:pPr>
        <w:keepNext/>
        <w:keepLines/>
        <w:shd w:val="clear" w:color="auto" w:fill="FFFFFF"/>
        <w:spacing w:line="312" w:lineRule="auto"/>
        <w:outlineLvl w:val="2"/>
        <w:rPr>
          <w:rFonts w:ascii="宋体" w:hAnsi="宋体" w:cs="宋体"/>
          <w:color w:val="auto"/>
          <w:sz w:val="24"/>
          <w:szCs w:val="20"/>
          <w:highlight w:val="none"/>
        </w:rPr>
      </w:pPr>
      <w:bookmarkStart w:id="216" w:name="_Toc152042382"/>
      <w:bookmarkStart w:id="217" w:name="_Toc179632623"/>
      <w:bookmarkStart w:id="218" w:name="_Toc152045605"/>
      <w:bookmarkStart w:id="219" w:name="_Toc144974572"/>
      <w:r>
        <w:rPr>
          <w:rFonts w:hint="eastAsia" w:ascii="宋体" w:hAnsi="宋体" w:cs="宋体"/>
          <w:color w:val="auto"/>
          <w:sz w:val="24"/>
          <w:szCs w:val="20"/>
          <w:highlight w:val="none"/>
        </w:rPr>
        <w:t>3.1 初步评审</w:t>
      </w:r>
      <w:bookmarkEnd w:id="216"/>
      <w:bookmarkEnd w:id="217"/>
      <w:bookmarkEnd w:id="218"/>
      <w:bookmarkEnd w:id="219"/>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3.1.1 评标委员会可以要求投标人提交第二章“投标人须知”第3.5.1项至第3.5.5项规定的有关证明和证件的原件，以便核验。评标委员会依据本章第2.1款规定的标准对投标文件进行初步评审。有一项不符合评审标准的，作废标处理。（适用于未进行资格预审的）</w:t>
      </w:r>
    </w:p>
    <w:p>
      <w:pPr>
        <w:shd w:val="clear" w:color="auto" w:fill="FFFFFF"/>
        <w:spacing w:line="312" w:lineRule="auto"/>
        <w:ind w:firstLine="420" w:firstLineChars="200"/>
        <w:rPr>
          <w:rFonts w:ascii="宋体" w:hAnsi="宋体" w:cs="宋体"/>
          <w:strike/>
          <w:color w:val="auto"/>
          <w:highlight w:val="none"/>
        </w:rPr>
      </w:pPr>
      <w:r>
        <w:rPr>
          <w:rFonts w:hint="eastAsia" w:ascii="宋体" w:hAnsi="宋体" w:cs="宋体"/>
          <w:strike/>
          <w:color w:val="auto"/>
          <w:highlight w:val="none"/>
        </w:rPr>
        <w:t>3.1.1 评标委员会依据本章第2.1.1项、第2.1.3项规定的评审标准对投标文件进行初步评审。有一项不符合评审标准的，作废标处理。当投标人资格预审申请文件的内容发生重大变化时，评标委员会依据本章第2.1.2项规定的标准对其更新资料进行评审。（适用于已进行资格预审的）</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3.1.2 投标人有以下情形之一的，其投标作废标处理：</w:t>
      </w:r>
    </w:p>
    <w:p>
      <w:pPr>
        <w:shd w:val="clear" w:color="auto" w:fill="FFFFFF"/>
        <w:spacing w:line="312" w:lineRule="auto"/>
        <w:ind w:firstLine="718" w:firstLineChars="342"/>
        <w:rPr>
          <w:rFonts w:ascii="宋体" w:hAnsi="宋体" w:cs="宋体"/>
          <w:color w:val="auto"/>
          <w:highlight w:val="none"/>
        </w:rPr>
      </w:pPr>
      <w:r>
        <w:rPr>
          <w:rFonts w:hint="eastAsia" w:ascii="宋体" w:hAnsi="宋体" w:cs="宋体"/>
          <w:color w:val="auto"/>
          <w:highlight w:val="none"/>
        </w:rPr>
        <w:t>（1）第二章“投标人须知”第1.4.3项规定的任何一种情形的；</w:t>
      </w:r>
    </w:p>
    <w:p>
      <w:pPr>
        <w:shd w:val="clear" w:color="auto" w:fill="FFFFFF"/>
        <w:spacing w:line="312" w:lineRule="auto"/>
        <w:ind w:firstLine="718" w:firstLineChars="342"/>
        <w:rPr>
          <w:rFonts w:ascii="宋体" w:hAnsi="宋体" w:cs="宋体"/>
          <w:color w:val="auto"/>
          <w:highlight w:val="none"/>
        </w:rPr>
      </w:pPr>
      <w:r>
        <w:rPr>
          <w:rFonts w:hint="eastAsia" w:ascii="宋体" w:hAnsi="宋体" w:cs="宋体"/>
          <w:color w:val="auto"/>
          <w:highlight w:val="none"/>
        </w:rPr>
        <w:t>（2）串通投标或弄虚作假或有其他违法行为的；</w:t>
      </w:r>
    </w:p>
    <w:p>
      <w:pPr>
        <w:shd w:val="clear" w:color="auto" w:fill="FFFFFF"/>
        <w:spacing w:line="312" w:lineRule="auto"/>
        <w:ind w:firstLine="718" w:firstLineChars="342"/>
        <w:rPr>
          <w:rFonts w:ascii="宋体" w:hAnsi="宋体" w:cs="宋体"/>
          <w:color w:val="auto"/>
          <w:highlight w:val="none"/>
        </w:rPr>
      </w:pPr>
      <w:r>
        <w:rPr>
          <w:rFonts w:hint="eastAsia" w:ascii="宋体" w:hAnsi="宋体" w:cs="宋体"/>
          <w:color w:val="auto"/>
          <w:highlight w:val="none"/>
        </w:rPr>
        <w:t>（3）不按评标委员会要求澄清、说明或补正的。</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3.1.3投标报价有算术错误的，评标委员会按以下原则对投标报价进行修正，修正的价格经投标人书面确认后具有约束力。投标人不接受修正价格的，其投标作废标处理。</w:t>
      </w:r>
    </w:p>
    <w:p>
      <w:pPr>
        <w:shd w:val="clear" w:color="auto" w:fill="FFFFFF"/>
        <w:spacing w:line="312" w:lineRule="auto"/>
        <w:ind w:firstLine="718" w:firstLineChars="342"/>
        <w:rPr>
          <w:rFonts w:ascii="宋体" w:hAnsi="宋体" w:cs="宋体"/>
          <w:color w:val="auto"/>
          <w:highlight w:val="none"/>
        </w:rPr>
      </w:pPr>
      <w:bookmarkStart w:id="220" w:name="_Toc152042383"/>
      <w:r>
        <w:rPr>
          <w:rFonts w:hint="eastAsia" w:ascii="宋体" w:hAnsi="宋体" w:cs="宋体"/>
          <w:color w:val="auto"/>
          <w:highlight w:val="none"/>
        </w:rPr>
        <w:t>（1）投标文件中的大写金额与小写金额不一致的，以大写金额为准；</w:t>
      </w:r>
      <w:bookmarkEnd w:id="220"/>
    </w:p>
    <w:p>
      <w:pPr>
        <w:shd w:val="clear" w:color="auto" w:fill="FFFFFF"/>
        <w:spacing w:line="312" w:lineRule="auto"/>
        <w:ind w:firstLine="718" w:firstLineChars="342"/>
        <w:rPr>
          <w:rFonts w:ascii="宋体" w:hAnsi="宋体" w:cs="宋体"/>
          <w:color w:val="auto"/>
          <w:highlight w:val="none"/>
        </w:rPr>
      </w:pPr>
      <w:r>
        <w:rPr>
          <w:rFonts w:hint="eastAsia" w:ascii="宋体" w:hAnsi="宋体" w:cs="宋体"/>
          <w:color w:val="auto"/>
          <w:highlight w:val="none"/>
        </w:rPr>
        <w:t>（2）总价金额与依据单价计算出的结果不一致的，以单价金额为准修正总价，但单价金额小数点有明显错误的除外。</w:t>
      </w:r>
    </w:p>
    <w:p>
      <w:pPr>
        <w:keepNext/>
        <w:keepLines/>
        <w:shd w:val="clear" w:color="auto" w:fill="FFFFFF"/>
        <w:spacing w:line="312" w:lineRule="auto"/>
        <w:outlineLvl w:val="2"/>
        <w:rPr>
          <w:rFonts w:ascii="宋体" w:hAnsi="宋体" w:cs="宋体"/>
          <w:color w:val="auto"/>
          <w:sz w:val="24"/>
          <w:szCs w:val="20"/>
          <w:highlight w:val="none"/>
        </w:rPr>
      </w:pPr>
      <w:bookmarkStart w:id="221" w:name="_Toc152045606"/>
      <w:bookmarkStart w:id="222" w:name="_Toc179632624"/>
      <w:bookmarkStart w:id="223" w:name="_Toc144974573"/>
      <w:bookmarkStart w:id="224" w:name="_Toc152042384"/>
      <w:r>
        <w:rPr>
          <w:rFonts w:hint="eastAsia" w:ascii="宋体" w:hAnsi="宋体" w:cs="宋体"/>
          <w:color w:val="auto"/>
          <w:sz w:val="24"/>
          <w:szCs w:val="20"/>
          <w:highlight w:val="none"/>
        </w:rPr>
        <w:t>3.2 详细评审</w:t>
      </w:r>
      <w:bookmarkEnd w:id="221"/>
      <w:bookmarkEnd w:id="222"/>
      <w:bookmarkEnd w:id="223"/>
      <w:bookmarkEnd w:id="224"/>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3.2.1 评标委员会按本章第2.2款规定的量化因素和分值进行打分，并计算出综合评估得分。</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3.2.2 评分分值计算保留小数点后两位，小数点后第三位“四舍五入”。</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3.2.3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经评标委员会成员半数以上表决同意，应认定该投标报价低于成本价，作废标处理。</w:t>
      </w:r>
    </w:p>
    <w:p>
      <w:pPr>
        <w:keepNext/>
        <w:keepLines/>
        <w:shd w:val="clear" w:color="auto" w:fill="FFFFFF"/>
        <w:spacing w:line="312" w:lineRule="auto"/>
        <w:outlineLvl w:val="2"/>
        <w:rPr>
          <w:rFonts w:ascii="宋体" w:hAnsi="宋体" w:cs="宋体"/>
          <w:color w:val="auto"/>
          <w:sz w:val="24"/>
          <w:szCs w:val="20"/>
          <w:highlight w:val="none"/>
        </w:rPr>
      </w:pPr>
      <w:bookmarkStart w:id="225" w:name="_Toc144974575"/>
      <w:bookmarkStart w:id="226" w:name="_Toc152045607"/>
      <w:bookmarkStart w:id="227" w:name="_Toc152042385"/>
      <w:bookmarkStart w:id="228" w:name="_Toc179632625"/>
      <w:r>
        <w:rPr>
          <w:rFonts w:hint="eastAsia" w:ascii="宋体" w:hAnsi="宋体" w:cs="宋体"/>
          <w:color w:val="auto"/>
          <w:sz w:val="24"/>
          <w:szCs w:val="20"/>
          <w:highlight w:val="none"/>
        </w:rPr>
        <w:t>3.3 投标文件的澄清</w:t>
      </w:r>
      <w:bookmarkEnd w:id="225"/>
      <w:r>
        <w:rPr>
          <w:rFonts w:hint="eastAsia" w:ascii="宋体" w:hAnsi="宋体" w:cs="宋体"/>
          <w:color w:val="auto"/>
          <w:sz w:val="24"/>
          <w:szCs w:val="20"/>
          <w:highlight w:val="none"/>
        </w:rPr>
        <w:t>和补正</w:t>
      </w:r>
      <w:bookmarkEnd w:id="226"/>
      <w:bookmarkEnd w:id="227"/>
      <w:bookmarkEnd w:id="228"/>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3.3.2 澄清、说明和补正不得改变投标文件的实质性内容（算术性错误修正的除外）。投标人的书面澄清、说明和补正属于投标文件的组成部分。</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3.3.3 评标委员会对投标人提交的澄清、说明或补正有疑问的，可以要求投标人进一步澄清、说明或补正，直至满足评标委员会的要求。</w:t>
      </w:r>
    </w:p>
    <w:p>
      <w:pPr>
        <w:keepNext/>
        <w:keepLines/>
        <w:shd w:val="clear" w:color="auto" w:fill="FFFFFF"/>
        <w:spacing w:line="312" w:lineRule="auto"/>
        <w:outlineLvl w:val="2"/>
        <w:rPr>
          <w:rFonts w:ascii="宋体" w:hAnsi="宋体" w:cs="宋体"/>
          <w:color w:val="auto"/>
          <w:sz w:val="24"/>
          <w:szCs w:val="20"/>
          <w:highlight w:val="none"/>
        </w:rPr>
      </w:pPr>
      <w:bookmarkStart w:id="229" w:name="_Toc152042386"/>
      <w:bookmarkStart w:id="230" w:name="_Toc152045608"/>
      <w:bookmarkStart w:id="231" w:name="_Toc179632626"/>
      <w:bookmarkStart w:id="232" w:name="_Toc144974576"/>
      <w:r>
        <w:rPr>
          <w:rFonts w:hint="eastAsia" w:ascii="宋体" w:hAnsi="宋体" w:cs="宋体"/>
          <w:color w:val="auto"/>
          <w:sz w:val="24"/>
          <w:szCs w:val="20"/>
          <w:highlight w:val="none"/>
        </w:rPr>
        <w:t>3.4 评标结果</w:t>
      </w:r>
      <w:bookmarkEnd w:id="229"/>
      <w:bookmarkEnd w:id="230"/>
      <w:bookmarkEnd w:id="231"/>
      <w:bookmarkEnd w:id="232"/>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3.4.1除第二章“投标人须知”前附表授权直接确定中标人外，评标委员会按照得分由高到低的顺序推荐中标候选人。</w:t>
      </w:r>
    </w:p>
    <w:p>
      <w:pPr>
        <w:shd w:val="clear" w:color="auto" w:fill="FFFFFF"/>
        <w:spacing w:line="312" w:lineRule="auto"/>
        <w:ind w:firstLine="420" w:firstLineChars="200"/>
        <w:rPr>
          <w:rFonts w:ascii="宋体" w:hAnsi="宋体" w:cs="宋体"/>
          <w:color w:val="auto"/>
          <w:highlight w:val="none"/>
        </w:rPr>
      </w:pPr>
      <w:r>
        <w:rPr>
          <w:rFonts w:hint="eastAsia" w:ascii="宋体" w:hAnsi="宋体" w:cs="宋体"/>
          <w:color w:val="auto"/>
          <w:highlight w:val="none"/>
        </w:rPr>
        <w:t>3.4.2 评标委员会完成评标后，应当向招标人提交书面评标报告。</w:t>
      </w:r>
    </w:p>
    <w:p>
      <w:pPr>
        <w:shd w:val="clear" w:color="auto" w:fill="FFFFFF"/>
        <w:spacing w:line="420" w:lineRule="exact"/>
        <w:rPr>
          <w:rFonts w:ascii="宋体" w:hAnsi="宋体" w:cs="宋体"/>
          <w:color w:val="auto"/>
          <w:sz w:val="24"/>
          <w:highlight w:val="none"/>
        </w:rPr>
      </w:pPr>
    </w:p>
    <w:p>
      <w:pPr>
        <w:shd w:val="clear" w:color="auto" w:fill="FFFFFF"/>
        <w:spacing w:line="420" w:lineRule="exact"/>
        <w:rPr>
          <w:rFonts w:ascii="宋体" w:hAnsi="宋体" w:cs="宋体"/>
          <w:color w:val="auto"/>
          <w:sz w:val="24"/>
          <w:highlight w:val="none"/>
        </w:rPr>
      </w:pPr>
    </w:p>
    <w:p>
      <w:pPr>
        <w:shd w:val="clear" w:color="auto" w:fill="FFFFFF"/>
        <w:spacing w:line="420" w:lineRule="exact"/>
        <w:rPr>
          <w:rFonts w:ascii="宋体" w:hAnsi="宋体" w:cs="宋体"/>
          <w:color w:val="auto"/>
          <w:sz w:val="24"/>
          <w:highlight w:val="none"/>
        </w:rPr>
      </w:pPr>
    </w:p>
    <w:p>
      <w:pPr>
        <w:shd w:val="clear" w:color="auto" w:fill="FFFFFF"/>
        <w:spacing w:line="420" w:lineRule="exact"/>
        <w:rPr>
          <w:rFonts w:ascii="宋体" w:hAnsi="宋体" w:cs="宋体"/>
          <w:color w:val="auto"/>
          <w:sz w:val="24"/>
          <w:highlight w:val="none"/>
        </w:rPr>
      </w:pPr>
    </w:p>
    <w:p>
      <w:pPr>
        <w:shd w:val="clear" w:color="auto" w:fill="FFFFFF"/>
        <w:spacing w:line="420" w:lineRule="exact"/>
        <w:rPr>
          <w:rFonts w:ascii="宋体" w:hAnsi="宋体" w:cs="宋体"/>
          <w:color w:val="auto"/>
          <w:sz w:val="24"/>
          <w:highlight w:val="none"/>
        </w:rPr>
      </w:pPr>
    </w:p>
    <w:p>
      <w:pPr>
        <w:shd w:val="clear" w:color="auto" w:fill="FFFFFF"/>
        <w:spacing w:line="420" w:lineRule="exact"/>
        <w:rPr>
          <w:rFonts w:ascii="宋体" w:hAnsi="宋体" w:cs="宋体"/>
          <w:color w:val="auto"/>
          <w:szCs w:val="21"/>
          <w:highlight w:val="none"/>
        </w:rPr>
      </w:pPr>
      <w:r>
        <w:rPr>
          <w:rFonts w:hint="eastAsia" w:ascii="宋体" w:hAnsi="宋体" w:cs="宋体"/>
          <w:color w:val="auto"/>
          <w:szCs w:val="21"/>
          <w:highlight w:val="none"/>
        </w:rPr>
        <w:t>附件A:评标详细程序</w:t>
      </w:r>
    </w:p>
    <w:p>
      <w:pPr>
        <w:shd w:val="clear" w:color="auto" w:fill="FFFFFF"/>
        <w:spacing w:before="218" w:beforeLines="70" w:after="218" w:afterLines="70" w:line="4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评标详细程序</w:t>
      </w:r>
    </w:p>
    <w:p>
      <w:pPr>
        <w:shd w:val="clear" w:color="auto" w:fill="FFFFFF"/>
        <w:spacing w:line="312" w:lineRule="auto"/>
        <w:rPr>
          <w:rFonts w:ascii="宋体" w:hAnsi="宋体" w:cs="宋体"/>
          <w:b/>
          <w:color w:val="auto"/>
          <w:szCs w:val="21"/>
          <w:highlight w:val="none"/>
        </w:rPr>
      </w:pPr>
      <w:r>
        <w:rPr>
          <w:rFonts w:hint="eastAsia" w:ascii="宋体" w:hAnsi="宋体" w:cs="宋体"/>
          <w:b/>
          <w:color w:val="auto"/>
          <w:szCs w:val="21"/>
          <w:highlight w:val="none"/>
        </w:rPr>
        <w:t>A0.总  则</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本附件是本章“评标办法”的组成部分，是对本章第3条所规定的评标程序的进一些</w:t>
      </w:r>
    </w:p>
    <w:p>
      <w:pPr>
        <w:shd w:val="clear" w:color="auto" w:fill="FFFFFF"/>
        <w:spacing w:line="312" w:lineRule="auto"/>
        <w:rPr>
          <w:rFonts w:ascii="宋体" w:hAnsi="宋体" w:cs="宋体"/>
          <w:color w:val="auto"/>
          <w:szCs w:val="21"/>
          <w:highlight w:val="none"/>
        </w:rPr>
      </w:pPr>
      <w:r>
        <w:rPr>
          <w:rFonts w:hint="eastAsia" w:ascii="宋体" w:hAnsi="宋体" w:cs="宋体"/>
          <w:color w:val="auto"/>
          <w:szCs w:val="21"/>
          <w:highlight w:val="none"/>
        </w:rPr>
        <w:t>细化，评标委员会应当按照本附件所规定的详细程序开展并完成评标工作。</w:t>
      </w:r>
    </w:p>
    <w:p>
      <w:pPr>
        <w:shd w:val="clear" w:color="auto" w:fill="FFFFFF"/>
        <w:spacing w:line="312" w:lineRule="auto"/>
        <w:rPr>
          <w:rFonts w:ascii="宋体" w:hAnsi="宋体" w:cs="宋体"/>
          <w:b/>
          <w:color w:val="auto"/>
          <w:szCs w:val="21"/>
          <w:highlight w:val="none"/>
        </w:rPr>
      </w:pPr>
      <w:r>
        <w:rPr>
          <w:rFonts w:hint="eastAsia" w:ascii="宋体" w:hAnsi="宋体" w:cs="宋体"/>
          <w:b/>
          <w:color w:val="auto"/>
          <w:szCs w:val="21"/>
          <w:highlight w:val="none"/>
        </w:rPr>
        <w:t>A1.基本程序</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评标活动将按以下五个步骤进行：</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（1）评标准备；</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（2）初步评审；</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（3）详细评审；</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（4）澄清、说明或补正；</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（5）推荐中标候选人或者直接确定中标人及提交评标报告。</w:t>
      </w:r>
    </w:p>
    <w:p>
      <w:pPr>
        <w:shd w:val="clear" w:color="auto" w:fill="FFFFFF"/>
        <w:spacing w:line="312" w:lineRule="auto"/>
        <w:rPr>
          <w:rFonts w:ascii="宋体" w:hAnsi="宋体" w:cs="宋体"/>
          <w:b/>
          <w:color w:val="auto"/>
          <w:szCs w:val="21"/>
          <w:highlight w:val="none"/>
        </w:rPr>
      </w:pPr>
      <w:r>
        <w:rPr>
          <w:rFonts w:hint="eastAsia" w:ascii="宋体" w:hAnsi="宋体" w:cs="宋体"/>
          <w:b/>
          <w:color w:val="auto"/>
          <w:szCs w:val="21"/>
          <w:highlight w:val="none"/>
        </w:rPr>
        <w:t>A2.评标准备</w:t>
      </w:r>
    </w:p>
    <w:p>
      <w:pPr>
        <w:shd w:val="clear" w:color="auto" w:fill="FFFFFF"/>
        <w:spacing w:line="312" w:lineRule="auto"/>
        <w:rPr>
          <w:rFonts w:ascii="宋体" w:hAnsi="宋体" w:cs="宋体"/>
          <w:b/>
          <w:color w:val="auto"/>
          <w:szCs w:val="21"/>
          <w:highlight w:val="none"/>
        </w:rPr>
      </w:pPr>
      <w:r>
        <w:rPr>
          <w:rFonts w:hint="eastAsia" w:ascii="宋体" w:hAnsi="宋体" w:cs="宋体"/>
          <w:b/>
          <w:color w:val="auto"/>
          <w:szCs w:val="21"/>
          <w:highlight w:val="none"/>
        </w:rPr>
        <w:t>A2.1评标委员会成员签到</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评标委员会成员到达评标现场时应在签到表上签到以证明其出席。评标委员会签到表见</w:t>
      </w:r>
    </w:p>
    <w:p>
      <w:pPr>
        <w:shd w:val="clear" w:color="auto" w:fill="FFFFFF"/>
        <w:spacing w:line="312" w:lineRule="auto"/>
        <w:rPr>
          <w:rFonts w:ascii="宋体" w:hAnsi="宋体" w:cs="宋体"/>
          <w:b/>
          <w:color w:val="auto"/>
          <w:szCs w:val="21"/>
          <w:highlight w:val="none"/>
          <w:u w:val="single"/>
        </w:rPr>
      </w:pPr>
      <w:r>
        <w:rPr>
          <w:rFonts w:hint="eastAsia" w:ascii="宋体" w:hAnsi="宋体" w:cs="宋体"/>
          <w:b/>
          <w:color w:val="auto"/>
          <w:szCs w:val="21"/>
          <w:highlight w:val="none"/>
          <w:u w:val="single"/>
        </w:rPr>
        <w:t>附表A-1</w:t>
      </w:r>
      <w:r>
        <w:rPr>
          <w:rFonts w:hint="eastAsia" w:ascii="宋体" w:hAnsi="宋体" w:cs="宋体"/>
          <w:b/>
          <w:color w:val="auto"/>
          <w:szCs w:val="21"/>
          <w:highlight w:val="none"/>
        </w:rPr>
        <w:t>。</w:t>
      </w:r>
    </w:p>
    <w:p>
      <w:pPr>
        <w:shd w:val="clear" w:color="auto" w:fill="FFFFFF"/>
        <w:spacing w:line="312" w:lineRule="auto"/>
        <w:rPr>
          <w:rFonts w:ascii="宋体" w:hAnsi="宋体" w:cs="宋体"/>
          <w:b/>
          <w:color w:val="auto"/>
          <w:szCs w:val="21"/>
          <w:highlight w:val="none"/>
        </w:rPr>
      </w:pPr>
      <w:r>
        <w:rPr>
          <w:rFonts w:hint="eastAsia" w:ascii="宋体" w:hAnsi="宋体" w:cs="宋体"/>
          <w:b/>
          <w:color w:val="auto"/>
          <w:szCs w:val="21"/>
          <w:highlight w:val="none"/>
        </w:rPr>
        <w:t>A2.2评标委员会的分工</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首先推选一名评标委员会主任。招标人也可以直接指定评标委员会主任。评标委员会主任负责评标活动的组织领导工作。评标委员会主任在与其他评标委员会成员商议的基础上可以将评标委员会划分为技术组和商务组。</w:t>
      </w:r>
    </w:p>
    <w:p>
      <w:pPr>
        <w:shd w:val="clear" w:color="auto" w:fill="FFFFFF"/>
        <w:spacing w:line="312" w:lineRule="auto"/>
        <w:rPr>
          <w:rFonts w:ascii="宋体" w:hAnsi="宋体" w:cs="宋体"/>
          <w:b/>
          <w:color w:val="auto"/>
          <w:szCs w:val="21"/>
          <w:highlight w:val="none"/>
        </w:rPr>
      </w:pPr>
      <w:r>
        <w:rPr>
          <w:rFonts w:hint="eastAsia" w:ascii="宋体" w:hAnsi="宋体" w:cs="宋体"/>
          <w:b/>
          <w:color w:val="auto"/>
          <w:szCs w:val="21"/>
          <w:highlight w:val="none"/>
        </w:rPr>
        <w:t>A2.3熟悉文件资料</w:t>
      </w:r>
    </w:p>
    <w:p>
      <w:pPr>
        <w:shd w:val="clear" w:color="auto" w:fill="FFFFFF"/>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标底(如有)、工程所在地工程造价管理部门颁布的工程造价信息、定额(如作为计价依据时)、有关的法律、法规、规章、国家标准以及招标人或评标委员会认为必要的其他信息和数据。</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A2.4暗标编号(适用于对施工组织设计进行暗标评审的)</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二章“投标人须知”前附表第10．3款要求对施工组织设计采用“暗标”评审方式且第八章“投标文件格式”中对施工组织设计的编制有暗标要求，则在评标工作开始前，招标人将指定专人负责编制投标文件暗标编码，并就暗标编码与投标人的对应关系做好暗标记录。暗标编码按随机方式编制。在评标委员会全体成员均完成暗标部分评审并对评审结果进行汇总和签字确认后，招标人方可向评标委员会公布暗标记录。暗标记录公布前必须妥善保管并予以保密。</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A2.5对投标文件进行基础性数据分析和整理工作(清标)</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2.5.1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书面澄清、说明或补正的问题，形成质疑问卷，向投标人发出问题澄清通知(包括质疑问卷)。</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2.5.2在不影响评标委员会成员的法定权利的前提下，评标委员会可委托由招标人专门成立的清标工作小组完成清标工作。在这种情况下，清标工作可以在评标工作开始之前完成，也可以与评标工作平行进行。清标工作小组成员应为具备相应执业资格的专业人员，且应当符合有关法律法规对评标专家的回避规定和要求，不得与任何投标人有利益、上下级等关系，不得代行依法应当由评标委员会及其成员行使的权利。清标成果应当经过评标委员会的审核确认，经过评标委员会审核确认的清标成果视同是评标委员会的工作成果，并由评标委员会以书面方式追加对清标工作小组的授权，书面授权委托书必须由评标委员会全体成员签名。</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A2.5.3投标人接到评标委员会发出的问题澄清通知后，应按评标委员会的要求提供书面澄清资料并按要求进行密封，在规定的时间递交到指定地点。投标人递交的书面澄清资料由评标委员会开启。</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A3初步评审</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A3.1形式评审</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评标委员会根据评标办法前附表中规定的评审因素和评审标准，对投标人的投标文件进行形式评审，并使用</w:t>
      </w:r>
      <w:r>
        <w:rPr>
          <w:rFonts w:hint="eastAsia" w:ascii="宋体" w:hAnsi="宋体" w:cs="宋体"/>
          <w:b/>
          <w:color w:val="auto"/>
          <w:szCs w:val="21"/>
          <w:highlight w:val="none"/>
        </w:rPr>
        <w:t>附表A-2</w:t>
      </w:r>
      <w:r>
        <w:rPr>
          <w:rFonts w:hint="eastAsia" w:ascii="宋体" w:hAnsi="宋体" w:cs="宋体"/>
          <w:color w:val="auto"/>
          <w:szCs w:val="21"/>
          <w:highlight w:val="none"/>
        </w:rPr>
        <w:t>记录评审结果。</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A3.2资格评审</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A3.2.1  评标委员会根据评标办法前附表中规定的评审因素和评审标准，对投标人的投标文件进行资格评审，并使用</w:t>
      </w:r>
      <w:r>
        <w:rPr>
          <w:rFonts w:hint="eastAsia" w:ascii="宋体" w:hAnsi="宋体" w:cs="宋体"/>
          <w:b/>
          <w:color w:val="auto"/>
          <w:szCs w:val="21"/>
          <w:highlight w:val="none"/>
        </w:rPr>
        <w:t>附表A-3</w:t>
      </w:r>
      <w:r>
        <w:rPr>
          <w:rFonts w:hint="eastAsia" w:ascii="宋体" w:hAnsi="宋体" w:cs="宋体"/>
          <w:color w:val="auto"/>
          <w:szCs w:val="21"/>
          <w:highlight w:val="none"/>
        </w:rPr>
        <w:t>记录评审结果。(适用于未进行资格预审的)</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A3.2.1  当投标人资格预审申请文件的内容发生重大变化时，评标委员会依据资格预审文件中规定的标准和方法，对照投标人在资格预审阶段递交的资格预审文件中的资料以及在投标文件中更新的资料，对其更新的资料进行评审(适用于已进行资格预审的)。其中：</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(1)资格预审采用“合格制”的，投标文件中更新的资料应当符合资格预审文件中规定的审查标准，否则其投标作废标处理；</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资格预审采用“有限数量制”的，投标文件中更新的资料应当符合资格预审文件中规定的审查标准，其中以评分方式进行审查的，其更新的资料按照资格预审文件中规定的评分标准评分后，其得分应当保证即便在资格预审阶段仍然能够获得投标资格且没有对未通过资格预审的其他资格预审申请人构成不公平，否则其投标作废标处理。</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A3．3 响应性评审</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A3.3.1评标委员会根据评标办法前附表中规定的评审因素和评审标准，对投标人的投标文件进行响应性评审，并使用</w:t>
      </w:r>
      <w:r>
        <w:rPr>
          <w:rFonts w:hint="eastAsia" w:ascii="宋体" w:hAnsi="宋体" w:cs="宋体"/>
          <w:b/>
          <w:color w:val="auto"/>
          <w:szCs w:val="21"/>
          <w:highlight w:val="none"/>
        </w:rPr>
        <w:t>附表A-4</w:t>
      </w:r>
      <w:r>
        <w:rPr>
          <w:rFonts w:hint="eastAsia" w:ascii="宋体" w:hAnsi="宋体" w:cs="宋体"/>
          <w:color w:val="auto"/>
          <w:szCs w:val="21"/>
          <w:highlight w:val="none"/>
        </w:rPr>
        <w:t>记录评审结果。</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A3.3.2投标人投标价格不得超出(不含等于)按照本章前附表的规定计算的“拦标价”，凡投标人的投标价格超出“拦标价”)，该投标人的投标文件不能通过响应性评审。(适用于设立拦标价的情形)</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3.3.２投标人投标价格不得超出(不含等于)按照第二章“投标人须知”前附表第10．2款载明的招标控制价，凡投标人的投标价格超出招标控制价的，该投标人的投标文件不能通过响应性评审。(适用于设立招标控制价的情形)</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A3.4  判断投标是否为废标</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A3.4.1 判断投标人的投标是否为废标的全部条件(包括本章第3．1．2项中规定的条件)，在</w:t>
      </w:r>
      <w:r>
        <w:rPr>
          <w:rFonts w:hint="eastAsia" w:ascii="宋体" w:hAnsi="宋体" w:cs="宋体"/>
          <w:b/>
          <w:color w:val="auto"/>
          <w:szCs w:val="21"/>
          <w:highlight w:val="none"/>
        </w:rPr>
        <w:t>本章附件B</w:t>
      </w:r>
      <w:r>
        <w:rPr>
          <w:rFonts w:hint="eastAsia" w:ascii="宋体" w:hAnsi="宋体" w:cs="宋体"/>
          <w:color w:val="auto"/>
          <w:szCs w:val="21"/>
          <w:highlight w:val="none"/>
        </w:rPr>
        <w:t>中集中列示。</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A3.4.2本章附件</w:t>
      </w:r>
      <w:r>
        <w:rPr>
          <w:rFonts w:hint="eastAsia" w:ascii="宋体" w:hAnsi="宋体" w:cs="宋体"/>
          <w:b/>
          <w:color w:val="auto"/>
          <w:szCs w:val="21"/>
          <w:highlight w:val="none"/>
        </w:rPr>
        <w:t>B集</w:t>
      </w:r>
      <w:r>
        <w:rPr>
          <w:rFonts w:hint="eastAsia" w:ascii="宋体" w:hAnsi="宋体" w:cs="宋体"/>
          <w:color w:val="auto"/>
          <w:szCs w:val="21"/>
          <w:highlight w:val="none"/>
        </w:rPr>
        <w:t>中列示的废标条件不应与第二章“投标人须知”和本章正文部分包括的废标条件抵触，如果出现相互矛盾的情况，以第二章“投标人须知”和本章正文部分的规定为准。</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A3.4.3评标委员会在评标(包括初步评审和详细评审)过程中，依据本章</w:t>
      </w:r>
      <w:r>
        <w:rPr>
          <w:rFonts w:hint="eastAsia" w:ascii="宋体" w:hAnsi="宋体" w:cs="宋体"/>
          <w:b/>
          <w:color w:val="auto"/>
          <w:szCs w:val="21"/>
          <w:highlight w:val="none"/>
        </w:rPr>
        <w:t>附件B</w:t>
      </w:r>
      <w:r>
        <w:rPr>
          <w:rFonts w:hint="eastAsia" w:ascii="宋体" w:hAnsi="宋体" w:cs="宋体"/>
          <w:color w:val="auto"/>
          <w:szCs w:val="21"/>
          <w:highlight w:val="none"/>
        </w:rPr>
        <w:t>中规定的废标条件判断投标人的投标是否为废标。</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A3.5算术错误修正</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评标委员会依据本章中规定的相关原则对投标报价中存在的算术错误进行修正，并根据算术错误修正结果计算评标价。</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A3．6澄清、说明或补正</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在初步评审过程中，评标委员会应当就投标文件中不明确的内容要求投标人进行澄清、说明或者补正。投标人对此以书面形式予以澄清、说明或者补正。澄清、说明或补正根据本章第3.3款的规定执行。</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A4．详细评审</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只有通过了初步评审、被判定为合格的投标方可进入详细评审。</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A4.1详细评审的程序</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A4.1.1  评标委员会按照本章第3．2款中规定的程序进行详细评审：</w:t>
      </w:r>
    </w:p>
    <w:p>
      <w:pPr>
        <w:shd w:val="clear" w:color="auto" w:fill="FFFFFF"/>
        <w:adjustRightInd w:val="0"/>
        <w:snapToGrid w:val="0"/>
        <w:spacing w:line="312" w:lineRule="auto"/>
        <w:ind w:firstLine="852" w:firstLineChars="406"/>
        <w:rPr>
          <w:rFonts w:ascii="宋体" w:hAnsi="宋体" w:cs="宋体"/>
          <w:color w:val="auto"/>
          <w:szCs w:val="21"/>
          <w:highlight w:val="none"/>
        </w:rPr>
      </w:pPr>
      <w:r>
        <w:rPr>
          <w:rFonts w:hint="eastAsia" w:ascii="宋体" w:hAnsi="宋体" w:cs="宋体"/>
          <w:color w:val="auto"/>
          <w:szCs w:val="21"/>
          <w:highlight w:val="none"/>
        </w:rPr>
        <w:t>(1)施工组织设计评审和评分；</w:t>
      </w:r>
    </w:p>
    <w:p>
      <w:pPr>
        <w:shd w:val="clear" w:color="auto" w:fill="FFFFFF"/>
        <w:adjustRightInd w:val="0"/>
        <w:snapToGrid w:val="0"/>
        <w:spacing w:line="312" w:lineRule="auto"/>
        <w:ind w:firstLine="852" w:firstLineChars="406"/>
        <w:rPr>
          <w:rFonts w:ascii="宋体" w:hAnsi="宋体" w:cs="宋体"/>
          <w:color w:val="auto"/>
          <w:szCs w:val="21"/>
          <w:highlight w:val="none"/>
        </w:rPr>
      </w:pPr>
      <w:r>
        <w:rPr>
          <w:rFonts w:hint="eastAsia" w:ascii="宋体" w:hAnsi="宋体" w:cs="宋体"/>
          <w:color w:val="auto"/>
          <w:szCs w:val="21"/>
          <w:highlight w:val="none"/>
        </w:rPr>
        <w:t>(2)项目管理机构评审和评分；</w:t>
      </w:r>
    </w:p>
    <w:p>
      <w:pPr>
        <w:shd w:val="clear" w:color="auto" w:fill="FFFFFF"/>
        <w:adjustRightInd w:val="0"/>
        <w:snapToGrid w:val="0"/>
        <w:spacing w:line="312" w:lineRule="auto"/>
        <w:ind w:firstLine="852" w:firstLineChars="406"/>
        <w:rPr>
          <w:rFonts w:ascii="宋体" w:hAnsi="宋体" w:cs="宋体"/>
          <w:color w:val="auto"/>
          <w:szCs w:val="21"/>
          <w:highlight w:val="none"/>
        </w:rPr>
      </w:pPr>
      <w:r>
        <w:rPr>
          <w:rFonts w:hint="eastAsia" w:ascii="宋体" w:hAnsi="宋体" w:cs="宋体"/>
          <w:color w:val="auto"/>
          <w:szCs w:val="21"/>
          <w:highlight w:val="none"/>
        </w:rPr>
        <w:t>(3)投标报价评审和评分，并对明显低于其他投标报价的投标报价，或者在设有标底时明显低于标底的投标报价，判断是否低于其个别成本；</w:t>
      </w:r>
    </w:p>
    <w:p>
      <w:pPr>
        <w:shd w:val="clear" w:color="auto" w:fill="FFFFFF"/>
        <w:adjustRightInd w:val="0"/>
        <w:snapToGrid w:val="0"/>
        <w:spacing w:line="312" w:lineRule="auto"/>
        <w:ind w:firstLine="882" w:firstLineChars="420"/>
        <w:rPr>
          <w:rFonts w:ascii="宋体" w:hAnsi="宋体" w:cs="宋体"/>
          <w:color w:val="auto"/>
          <w:szCs w:val="21"/>
          <w:highlight w:val="none"/>
        </w:rPr>
      </w:pPr>
      <w:r>
        <w:rPr>
          <w:rFonts w:hint="eastAsia" w:ascii="宋体" w:hAnsi="宋体" w:cs="宋体"/>
          <w:color w:val="auto"/>
          <w:szCs w:val="21"/>
          <w:highlight w:val="none"/>
        </w:rPr>
        <w:t>(4)其他因素评审和评分；</w:t>
      </w:r>
    </w:p>
    <w:p>
      <w:pPr>
        <w:shd w:val="clear" w:color="auto" w:fill="FFFFFF"/>
        <w:adjustRightInd w:val="0"/>
        <w:snapToGrid w:val="0"/>
        <w:spacing w:line="312" w:lineRule="auto"/>
        <w:ind w:firstLine="882" w:firstLineChars="420"/>
        <w:rPr>
          <w:rFonts w:ascii="宋体" w:hAnsi="宋体" w:cs="宋体"/>
          <w:color w:val="auto"/>
          <w:szCs w:val="21"/>
          <w:highlight w:val="none"/>
        </w:rPr>
      </w:pPr>
      <w:r>
        <w:rPr>
          <w:rFonts w:hint="eastAsia" w:ascii="宋体" w:hAnsi="宋体" w:cs="宋体"/>
          <w:color w:val="auto"/>
          <w:szCs w:val="21"/>
          <w:highlight w:val="none"/>
        </w:rPr>
        <w:t>(5)汇总评分结果。</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A4.2  施工组织设计评审和评分</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A4.2.1按照评标办法前附表中规定的分值设定、各项评分因素、评分标准，对施工组织设计进行评审和评分，并使用</w:t>
      </w:r>
      <w:r>
        <w:rPr>
          <w:rFonts w:hint="eastAsia" w:ascii="宋体" w:hAnsi="宋体" w:cs="宋体"/>
          <w:b/>
          <w:color w:val="auto"/>
          <w:szCs w:val="21"/>
          <w:highlight w:val="none"/>
        </w:rPr>
        <w:t>附表A-5</w:t>
      </w:r>
      <w:r>
        <w:rPr>
          <w:rFonts w:hint="eastAsia" w:ascii="宋体" w:hAnsi="宋体" w:cs="宋体"/>
          <w:color w:val="auto"/>
          <w:szCs w:val="21"/>
          <w:highlight w:val="none"/>
        </w:rPr>
        <w:t>记录对施工组织设计的评分结果，施工组织设计的得分记录为</w:t>
      </w:r>
      <w:r>
        <w:rPr>
          <w:rFonts w:hint="eastAsia" w:ascii="宋体" w:hAnsi="宋体" w:cs="宋体"/>
          <w:b/>
          <w:color w:val="auto"/>
          <w:szCs w:val="21"/>
          <w:highlight w:val="none"/>
        </w:rPr>
        <w:t>A</w:t>
      </w:r>
      <w:r>
        <w:rPr>
          <w:rFonts w:hint="eastAsia" w:ascii="宋体" w:hAnsi="宋体" w:cs="宋体"/>
          <w:color w:val="auto"/>
          <w:szCs w:val="21"/>
          <w:highlight w:val="none"/>
        </w:rPr>
        <w:t>。</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A4．3项目管理机构评审和评分</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A4.3.1按照评标办法前附表中规定的分值设定、各项评分因素、评分标准，对项目管理机构进行评审和评分，并使用</w:t>
      </w:r>
      <w:r>
        <w:rPr>
          <w:rFonts w:hint="eastAsia" w:ascii="宋体" w:hAnsi="宋体" w:cs="宋体"/>
          <w:b/>
          <w:color w:val="auto"/>
          <w:szCs w:val="21"/>
          <w:highlight w:val="none"/>
        </w:rPr>
        <w:t>附表A-6</w:t>
      </w:r>
      <w:r>
        <w:rPr>
          <w:rFonts w:hint="eastAsia" w:ascii="宋体" w:hAnsi="宋体" w:cs="宋体"/>
          <w:color w:val="auto"/>
          <w:szCs w:val="21"/>
          <w:highlight w:val="none"/>
        </w:rPr>
        <w:t>记录对项目管理机构的评分结果，项目管理机构的得分记录为</w:t>
      </w:r>
      <w:r>
        <w:rPr>
          <w:rFonts w:hint="eastAsia" w:ascii="宋体" w:hAnsi="宋体" w:cs="宋体"/>
          <w:b/>
          <w:color w:val="auto"/>
          <w:szCs w:val="21"/>
          <w:highlight w:val="none"/>
        </w:rPr>
        <w:t>B</w:t>
      </w:r>
      <w:r>
        <w:rPr>
          <w:rFonts w:hint="eastAsia" w:ascii="宋体" w:hAnsi="宋体" w:cs="宋体"/>
          <w:color w:val="auto"/>
          <w:szCs w:val="21"/>
          <w:highlight w:val="none"/>
        </w:rPr>
        <w:t>。</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A4.4投标报价评审和评分(仅按投标总报价进行评分)</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A4.4.1按照评标办法前附表中规定的方法计算“评标基准价”。</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A4.4.2按照评标办法前附表中规定的方法，计算各个已通过了初步评审、施工组织设计评审和项目管理机构评审并且经过评审认定为不低于其成本的投标报价的“偏差率”。</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A4.4.3按照评标办法前附表中规定的评分标准，对照投标报价的偏差率，分别对各个投标报价进行评分，使用</w:t>
      </w:r>
      <w:r>
        <w:rPr>
          <w:rFonts w:hint="eastAsia" w:ascii="宋体" w:hAnsi="宋体" w:cs="宋体"/>
          <w:b/>
          <w:color w:val="auto"/>
          <w:szCs w:val="21"/>
          <w:highlight w:val="none"/>
        </w:rPr>
        <w:t>附表A-7</w:t>
      </w:r>
      <w:r>
        <w:rPr>
          <w:rFonts w:hint="eastAsia" w:ascii="宋体" w:hAnsi="宋体" w:cs="宋体"/>
          <w:color w:val="auto"/>
          <w:szCs w:val="21"/>
          <w:highlight w:val="none"/>
        </w:rPr>
        <w:t>记录对投标报价的评分结果，投标报价的得分记录为</w:t>
      </w:r>
      <w:r>
        <w:rPr>
          <w:rFonts w:hint="eastAsia" w:ascii="宋体" w:hAnsi="宋体" w:cs="宋体"/>
          <w:b/>
          <w:color w:val="auto"/>
          <w:szCs w:val="21"/>
          <w:highlight w:val="none"/>
        </w:rPr>
        <w:t>C</w:t>
      </w:r>
      <w:r>
        <w:rPr>
          <w:rFonts w:hint="eastAsia" w:ascii="宋体" w:hAnsi="宋体" w:cs="宋体"/>
          <w:color w:val="auto"/>
          <w:szCs w:val="21"/>
          <w:highlight w:val="none"/>
        </w:rPr>
        <w:t>。</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A4.4投标报价评审和评分(按投标总报价中的分项报价分别进行评分)</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A4.4.1投标报价按以下项目的分项投标报价分别进行评审和评分：</w:t>
      </w:r>
    </w:p>
    <w:p>
      <w:pPr>
        <w:shd w:val="clear" w:color="auto" w:fill="FFFFFF"/>
        <w:adjustRightInd w:val="0"/>
        <w:snapToGrid w:val="0"/>
        <w:spacing w:line="312" w:lineRule="auto"/>
        <w:ind w:firstLine="200"/>
        <w:rPr>
          <w:rFonts w:ascii="宋体" w:hAnsi="宋体" w:cs="宋体"/>
          <w:color w:val="auto"/>
          <w:szCs w:val="21"/>
          <w:highlight w:val="none"/>
        </w:rPr>
      </w:pPr>
      <w:r>
        <w:rPr>
          <w:rFonts w:hint="eastAsia" w:ascii="宋体" w:hAnsi="宋体" w:cs="宋体"/>
          <w:color w:val="auto"/>
          <w:szCs w:val="21"/>
          <w:highlight w:val="none"/>
        </w:rPr>
        <w:t>（1）投标总报价减去以下分别进行评分的各个分项投标报价以后的部分；</w:t>
      </w:r>
    </w:p>
    <w:p>
      <w:pPr>
        <w:shd w:val="clear" w:color="auto" w:fill="FFFFFF"/>
        <w:adjustRightInd w:val="0"/>
        <w:snapToGrid w:val="0"/>
        <w:spacing w:line="312" w:lineRule="auto"/>
        <w:ind w:firstLine="200"/>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（5)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pPr>
        <w:shd w:val="clear" w:color="auto" w:fill="FFFFFF"/>
        <w:adjustRightInd w:val="0"/>
        <w:snapToGrid w:val="0"/>
        <w:spacing w:line="312" w:lineRule="auto"/>
        <w:ind w:firstLine="525" w:firstLineChars="250"/>
        <w:rPr>
          <w:rFonts w:ascii="宋体" w:hAnsi="宋体" w:cs="宋体"/>
          <w:color w:val="auto"/>
          <w:szCs w:val="21"/>
          <w:highlight w:val="none"/>
        </w:rPr>
      </w:pPr>
      <w:r>
        <w:rPr>
          <w:rFonts w:hint="eastAsia" w:ascii="宋体" w:hAnsi="宋体" w:cs="宋体"/>
          <w:color w:val="auto"/>
          <w:szCs w:val="21"/>
          <w:highlight w:val="none"/>
        </w:rPr>
        <w:t>…………</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A4.4.2 按照评标办法前附表中规定的方法，分别计算各个分项投标报价“评标基准价”。</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A4.4.3按照评标办法前附表中规定的方法，分别计算各个分项投标报价与对应的分项投标报价评标基准价之间的偏差率。</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4.4.4按照评标办法前附表中规定的评分标准，对照分项投标报价的偏差率，分别对各个分项投标报价进行评分，汇总各个分项投标报价的得分，使用附表A-7记录对各个投标报价的评分结果，投标报价的得分记录为C。</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A4.5  其他因素的评审和评分</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根据评标办法前附表中规定的分值设定、各项评分因素和相应的评分标准，对其他因素(如果有)进行评审和评分，并使用</w:t>
      </w:r>
      <w:r>
        <w:rPr>
          <w:rFonts w:hint="eastAsia" w:ascii="宋体" w:hAnsi="宋体" w:cs="宋体"/>
          <w:b/>
          <w:color w:val="auto"/>
          <w:szCs w:val="21"/>
          <w:highlight w:val="none"/>
        </w:rPr>
        <w:t>附表A-8</w:t>
      </w:r>
      <w:r>
        <w:rPr>
          <w:rFonts w:hint="eastAsia" w:ascii="宋体" w:hAnsi="宋体" w:cs="宋体"/>
          <w:color w:val="auto"/>
          <w:szCs w:val="21"/>
          <w:highlight w:val="none"/>
        </w:rPr>
        <w:t>记录对其他因素的评分结果，其他因素的得分记录为</w:t>
      </w:r>
      <w:r>
        <w:rPr>
          <w:rFonts w:hint="eastAsia" w:ascii="宋体" w:hAnsi="宋体" w:cs="宋体"/>
          <w:b/>
          <w:color w:val="auto"/>
          <w:szCs w:val="21"/>
          <w:highlight w:val="none"/>
        </w:rPr>
        <w:t>D</w:t>
      </w:r>
      <w:r>
        <w:rPr>
          <w:rFonts w:hint="eastAsia" w:ascii="宋体" w:hAnsi="宋体" w:cs="宋体"/>
          <w:color w:val="auto"/>
          <w:szCs w:val="21"/>
          <w:highlight w:val="none"/>
        </w:rPr>
        <w:t>。</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A4.6  判断投标报价是否低于成本</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根据本章第3.2.4项的规定，评标委员会根据本章附件C中规定的程序、标准和方法，判断投标报价是否低于其成本。由评标委员会认定投标人以低于成本竞标的，其投标作废标处理。</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A4.7  澄清、说明或补正</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A4.8  汇总评分结果</w:t>
      </w:r>
    </w:p>
    <w:p>
      <w:pPr>
        <w:shd w:val="clear" w:color="auto" w:fill="FFFFFF"/>
        <w:adjustRightInd w:val="0"/>
        <w:snapToGrid w:val="0"/>
        <w:spacing w:line="312"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A4.8.1</w:t>
      </w:r>
      <w:r>
        <w:rPr>
          <w:rFonts w:hint="eastAsia" w:ascii="宋体" w:hAnsi="宋体" w:cs="宋体"/>
          <w:color w:val="auto"/>
          <w:szCs w:val="21"/>
          <w:highlight w:val="none"/>
        </w:rPr>
        <w:t>评标委员会成员应按照附表</w:t>
      </w:r>
      <w:r>
        <w:rPr>
          <w:rFonts w:hint="eastAsia" w:ascii="宋体" w:hAnsi="宋体" w:cs="宋体"/>
          <w:b/>
          <w:color w:val="auto"/>
          <w:szCs w:val="21"/>
          <w:highlight w:val="none"/>
        </w:rPr>
        <w:t>A-9</w:t>
      </w:r>
      <w:r>
        <w:rPr>
          <w:rFonts w:hint="eastAsia" w:ascii="宋体" w:hAnsi="宋体" w:cs="宋体"/>
          <w:color w:val="auto"/>
          <w:szCs w:val="21"/>
          <w:highlight w:val="none"/>
        </w:rPr>
        <w:t>的格式填写详细评审评分汇总表。</w:t>
      </w:r>
    </w:p>
    <w:p>
      <w:pPr>
        <w:shd w:val="clear" w:color="auto" w:fill="FFFFFF"/>
        <w:adjustRightInd w:val="0"/>
        <w:snapToGrid w:val="0"/>
        <w:spacing w:line="312"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A4.8.2</w:t>
      </w:r>
      <w:r>
        <w:rPr>
          <w:rFonts w:hint="eastAsia" w:ascii="宋体" w:hAnsi="宋体" w:cs="宋体"/>
          <w:color w:val="auto"/>
          <w:szCs w:val="21"/>
          <w:highlight w:val="none"/>
        </w:rPr>
        <w:t>详细评审工作全部结束后，按照附表</w:t>
      </w:r>
      <w:r>
        <w:rPr>
          <w:rFonts w:hint="eastAsia" w:ascii="宋体" w:hAnsi="宋体" w:cs="宋体"/>
          <w:b/>
          <w:color w:val="auto"/>
          <w:szCs w:val="21"/>
          <w:highlight w:val="none"/>
        </w:rPr>
        <w:t>A-10</w:t>
      </w:r>
      <w:r>
        <w:rPr>
          <w:rFonts w:hint="eastAsia" w:ascii="宋体" w:hAnsi="宋体" w:cs="宋体"/>
          <w:color w:val="auto"/>
          <w:szCs w:val="21"/>
          <w:highlight w:val="none"/>
        </w:rPr>
        <w:t>的格式汇总各个评标委员会成员的详细评审评分结果，并按照详细评审最终得分由高至低的次序对投标人进行排序。</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A5.  推荐中标候选人或者直接确定中标人</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A5.1  推荐中标候选人</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A5.1.1  除第二章“投标人须知”前附表第7．1款授权直接确定中标人外，评标委员会在推荐中标候选人时，应遵照以下原则:</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(1)评标委员会按照最终得分由高至低的次序排列，并根据第二章“投标人须知”前附表第7.1款规定的中标候选人数量，将排序在前的投标人推荐为中标候选人。</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如果评标委员会根据本章的规定作废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A5.2.2  投标人数量少于三个或者所有投标被否决的，招标人应当依法重新招标。</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A5.2直接确定中标人</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第二章“投标人须知”前附表授权评标委员会直接确定中标人的，评标委员会按照最终得分由高至低的次序排列，并确定排名第一的投标人为中标人。</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A5．3编制评标报告</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评标委员会根据本章第3.4.2项的规定向招标人提交评标报告。评标报告应当由全体评标委员会成员签字，并于评标结束时抄送有关行政监督部门。评标报告应当包括以下内容：</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（1）基本情况和数据表；</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（2）评标委员会成员名单；</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（3）开标记录；</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（4）符合要求的投标一览表；</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（5）废标情况说明；</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（6）评标标准、评标方法或者评标因素一览表；</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（7）经评审的价格一览表(包括评标委员会在评标过程中所形成的所有记载评标结果、结论的表格、说明、记录等文件)；</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（8）经评审的投标人排序；</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（9）推荐的中标候选人名单(如果第二章“投标人须知”前附表授权评标委员会直接确定中标人，则为“确定的中标人”)与签订合同前要处理的事宜；</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（10）澄清、说明、补正事项纪要。</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A6．特殊情况的处置程序</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A6.1  暗标评审的评审程序规定(适用于对施工组织设计进行暗标评审的)</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果第二章“投标人须知”前附表第10.3款要求对施工组织设计采用“暗标”评审方式且第八章“投标文件格式”中对施工组织设计的编制有暗标要求，评标委员会需对施工组织设计进行暗标评审的，则评标委员会需将施工组织设计(暗标)评审提前到初步评审之前进行。施工组织设计评审结果封存后再进行形式评审、资格评审、响应性评审和项目管理机构评审。项目管理机构评审完成后再公开暗标编码与投标人名称之间的对应关系。</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A6.2关于评标活动暂停</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A6.2.1评标委员会应当执行连续评标的原则，按评标办法中规定的程序、内容、方法、标准完成全部评标工作。</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A6.2.2发生评标暂停情况时，评标委员会应当封存全部投标文件和评标记录，继续评标的条件具备时，由原评标委员会继续评标。</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A6.3  关于评标中途更换评委</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A6.3.1  除非发生下列情况之一，评标委员会成员不得在评标中途更换：</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 因不可抗拒的客观原因，不能到场或需在评标中途退出评标活动。</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 根据法律法规规定，某个或某几个评标委员会成员需要回避。</w:t>
      </w:r>
    </w:p>
    <w:p>
      <w:pPr>
        <w:shd w:val="clear" w:color="auto" w:fill="FFFFFF"/>
        <w:adjustRightInd w:val="0"/>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A6.3.2退出评标的评标委员会成员，其已完成的评标行为无效。由招标人根据本招标文件规定的评标委员会成员生产方式另行确定替代者进行评标。</w:t>
      </w:r>
    </w:p>
    <w:p>
      <w:pPr>
        <w:shd w:val="clear" w:color="auto" w:fill="FFFFFF"/>
        <w:adjustRightInd w:val="0"/>
        <w:snapToGrid w:val="0"/>
        <w:spacing w:line="312" w:lineRule="auto"/>
        <w:rPr>
          <w:rFonts w:ascii="宋体" w:hAnsi="宋体" w:cs="宋体"/>
          <w:b/>
          <w:color w:val="auto"/>
          <w:szCs w:val="21"/>
          <w:highlight w:val="none"/>
        </w:rPr>
      </w:pPr>
      <w:r>
        <w:rPr>
          <w:rFonts w:hint="eastAsia" w:ascii="宋体" w:hAnsi="宋体" w:cs="宋体"/>
          <w:b/>
          <w:color w:val="auto"/>
          <w:szCs w:val="21"/>
          <w:highlight w:val="none"/>
        </w:rPr>
        <w:t>A6.4 记名投票</w:t>
      </w:r>
    </w:p>
    <w:p>
      <w:pPr>
        <w:shd w:val="clear" w:color="auto" w:fill="FFFFFF"/>
        <w:adjustRightInd w:val="0"/>
        <w:snapToGrid w:val="0"/>
        <w:spacing w:line="312" w:lineRule="auto"/>
        <w:ind w:firstLine="420" w:firstLineChars="200"/>
        <w:rPr>
          <w:rFonts w:ascii="宋体" w:hAnsi="宋体" w:cs="宋体"/>
          <w:color w:val="auto"/>
          <w:szCs w:val="21"/>
          <w:highlight w:val="none"/>
        </w:rPr>
        <w:sectPr>
          <w:pgSz w:w="11906" w:h="16838"/>
          <w:pgMar w:top="1588" w:right="1701" w:bottom="1418" w:left="1701" w:header="851" w:footer="851" w:gutter="0"/>
          <w:cols w:space="720" w:num="1"/>
          <w:rtlGutter w:val="1"/>
          <w:docGrid w:type="lines" w:linePitch="312" w:charSpace="0"/>
        </w:sectPr>
      </w:pPr>
      <w:r>
        <w:rPr>
          <w:rFonts w:hint="eastAsia" w:ascii="宋体" w:hAnsi="宋体" w:cs="宋体"/>
          <w:color w:val="auto"/>
          <w:szCs w:val="21"/>
          <w:highlight w:val="none"/>
        </w:rPr>
        <w:t>在任何评标环节中，需评标委员会就某项定性的评审结论做出表决的，由评标委员会全体成员按照少数服从多数的原则，以记名投票方式表决。</w:t>
      </w:r>
    </w:p>
    <w:p>
      <w:pPr>
        <w:shd w:val="clear" w:color="auto" w:fill="FFFFFF"/>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附件</w:t>
      </w:r>
      <w:r>
        <w:rPr>
          <w:rFonts w:hint="eastAsia" w:ascii="宋体" w:hAnsi="宋体" w:cs="宋体"/>
          <w:b/>
          <w:color w:val="auto"/>
          <w:szCs w:val="21"/>
          <w:highlight w:val="none"/>
        </w:rPr>
        <w:t>B</w:t>
      </w:r>
      <w:r>
        <w:rPr>
          <w:rFonts w:hint="eastAsia" w:ascii="宋体" w:hAnsi="宋体" w:cs="宋体"/>
          <w:color w:val="auto"/>
          <w:szCs w:val="21"/>
          <w:highlight w:val="none"/>
        </w:rPr>
        <w:t>：废标条件</w:t>
      </w:r>
    </w:p>
    <w:p>
      <w:pPr>
        <w:shd w:val="clear" w:color="auto" w:fill="FFFFFF"/>
        <w:adjustRightInd w:val="0"/>
        <w:snapToGrid w:val="0"/>
        <w:spacing w:before="312" w:beforeLines="100" w:after="312" w:afterLines="100" w:line="440" w:lineRule="exact"/>
        <w:ind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rPr>
        <w:t>废 标 条 件</w:t>
      </w:r>
    </w:p>
    <w:p>
      <w:pPr>
        <w:shd w:val="clear" w:color="auto" w:fill="FFFFFF"/>
        <w:adjustRightInd w:val="0"/>
        <w:snapToGrid w:val="0"/>
        <w:spacing w:line="340" w:lineRule="exact"/>
        <w:rPr>
          <w:rFonts w:ascii="宋体" w:hAnsi="宋体" w:cs="宋体"/>
          <w:b/>
          <w:color w:val="auto"/>
          <w:szCs w:val="21"/>
          <w:highlight w:val="none"/>
        </w:rPr>
      </w:pPr>
      <w:r>
        <w:rPr>
          <w:rFonts w:hint="eastAsia" w:ascii="宋体" w:hAnsi="宋体" w:cs="宋体"/>
          <w:b/>
          <w:color w:val="auto"/>
          <w:szCs w:val="21"/>
          <w:highlight w:val="none"/>
        </w:rPr>
        <w:t>B0.总  则</w:t>
      </w:r>
    </w:p>
    <w:p>
      <w:pPr>
        <w:shd w:val="clear" w:color="auto" w:fill="FFFFFF"/>
        <w:adjustRightInd w:val="0"/>
        <w:snapToGrid w:val="0"/>
        <w:spacing w:line="3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附件所集中列示的废标条件，是本章“评标办法”的组成部分，是对第二章“投标人须知”和本章正文部分所规定的废标条件的总结和补充，如果出现相互矛盾的情况，以第二章“投标人须知”和本章正文部分的规定为准。</w:t>
      </w:r>
    </w:p>
    <w:p>
      <w:pPr>
        <w:shd w:val="clear" w:color="auto" w:fill="FFFFFF"/>
        <w:adjustRightInd w:val="0"/>
        <w:snapToGrid w:val="0"/>
        <w:spacing w:line="340" w:lineRule="exact"/>
        <w:rPr>
          <w:rFonts w:ascii="宋体" w:hAnsi="宋体" w:cs="宋体"/>
          <w:b/>
          <w:color w:val="auto"/>
          <w:szCs w:val="21"/>
          <w:highlight w:val="none"/>
        </w:rPr>
      </w:pPr>
      <w:r>
        <w:rPr>
          <w:rFonts w:hint="eastAsia" w:ascii="宋体" w:hAnsi="宋体" w:cs="宋体"/>
          <w:b/>
          <w:color w:val="auto"/>
          <w:szCs w:val="21"/>
          <w:highlight w:val="none"/>
        </w:rPr>
        <w:t>B1．废标条件</w:t>
      </w:r>
    </w:p>
    <w:p>
      <w:pPr>
        <w:shd w:val="clear" w:color="auto" w:fill="FFFFFF"/>
        <w:adjustRightInd w:val="0"/>
        <w:snapToGrid w:val="0"/>
        <w:spacing w:line="3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投标人或其投标文件有下列情形之一的，其投标作废标处理：</w:t>
      </w:r>
    </w:p>
    <w:p>
      <w:pPr>
        <w:shd w:val="clear" w:color="auto" w:fill="FFFFFF"/>
        <w:adjustRightInd w:val="0"/>
        <w:snapToGrid w:val="0"/>
        <w:spacing w:line="3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B1.1</w:t>
      </w:r>
      <w:r>
        <w:rPr>
          <w:rFonts w:hint="eastAsia" w:ascii="宋体" w:hAnsi="宋体" w:cs="宋体"/>
          <w:color w:val="auto"/>
          <w:szCs w:val="21"/>
          <w:highlight w:val="none"/>
        </w:rPr>
        <w:t xml:space="preserve">  有第二章“投标人须知”第1.4.3项规定的任何一种情形的。</w:t>
      </w:r>
    </w:p>
    <w:p>
      <w:pPr>
        <w:shd w:val="clear" w:color="auto" w:fill="FFFFFF"/>
        <w:adjustRightInd w:val="0"/>
        <w:snapToGrid w:val="0"/>
        <w:spacing w:line="3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B1.2</w:t>
      </w:r>
      <w:r>
        <w:rPr>
          <w:rFonts w:hint="eastAsia" w:ascii="宋体" w:hAnsi="宋体" w:cs="宋体"/>
          <w:color w:val="auto"/>
          <w:szCs w:val="21"/>
          <w:highlight w:val="none"/>
        </w:rPr>
        <w:t xml:space="preserve">  有串通投标或弄虚作假或有其他违法行为的。</w:t>
      </w:r>
    </w:p>
    <w:p>
      <w:pPr>
        <w:shd w:val="clear" w:color="auto" w:fill="FFFFFF"/>
        <w:adjustRightInd w:val="0"/>
        <w:snapToGrid w:val="0"/>
        <w:spacing w:line="3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B1.3</w:t>
      </w:r>
      <w:r>
        <w:rPr>
          <w:rFonts w:hint="eastAsia" w:ascii="宋体" w:hAnsi="宋体" w:cs="宋体"/>
          <w:color w:val="auto"/>
          <w:szCs w:val="21"/>
          <w:highlight w:val="none"/>
        </w:rPr>
        <w:t xml:space="preserve">  不按评标委员会要求澄清、说明或补正的。</w:t>
      </w:r>
    </w:p>
    <w:p>
      <w:pPr>
        <w:shd w:val="clear" w:color="auto" w:fill="FFFFFF"/>
        <w:adjustRightInd w:val="0"/>
        <w:snapToGrid w:val="0"/>
        <w:spacing w:line="3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B1.4</w:t>
      </w:r>
      <w:r>
        <w:rPr>
          <w:rFonts w:hint="eastAsia" w:ascii="宋体" w:hAnsi="宋体" w:cs="宋体"/>
          <w:color w:val="auto"/>
          <w:szCs w:val="21"/>
          <w:highlight w:val="none"/>
        </w:rPr>
        <w:t xml:space="preserve">  在形式评审、资格评审(适用于未进行资格预审的)、响应性评审中，评标委员会认定投标人的投标不符合评标办法前附表中规定的任何一项评审标准的。</w:t>
      </w:r>
    </w:p>
    <w:p>
      <w:pPr>
        <w:shd w:val="clear" w:color="auto" w:fill="FFFFFF"/>
        <w:adjustRightInd w:val="0"/>
        <w:snapToGrid w:val="0"/>
        <w:spacing w:line="340" w:lineRule="exact"/>
        <w:ind w:firstLine="422" w:firstLineChars="200"/>
        <w:rPr>
          <w:rFonts w:ascii="宋体" w:hAnsi="宋体" w:cs="宋体"/>
          <w:strike/>
          <w:color w:val="auto"/>
          <w:szCs w:val="21"/>
          <w:highlight w:val="none"/>
        </w:rPr>
      </w:pPr>
      <w:r>
        <w:rPr>
          <w:rFonts w:hint="eastAsia" w:ascii="宋体" w:hAnsi="宋体" w:cs="宋体"/>
          <w:b/>
          <w:strike/>
          <w:color w:val="auto"/>
          <w:szCs w:val="21"/>
          <w:highlight w:val="none"/>
        </w:rPr>
        <w:t>B1.5</w:t>
      </w:r>
      <w:r>
        <w:rPr>
          <w:rFonts w:hint="eastAsia" w:ascii="宋体" w:hAnsi="宋体" w:cs="宋体"/>
          <w:strike/>
          <w:color w:val="auto"/>
          <w:szCs w:val="21"/>
          <w:highlight w:val="none"/>
        </w:rPr>
        <w:t xml:space="preserve">  当投标人资格预审申请文件的内容发生重大变化时，其在投标文件中更新的资料，未能通过资格评审的(适用于已进行资格预审的)。</w:t>
      </w:r>
    </w:p>
    <w:p>
      <w:pPr>
        <w:shd w:val="clear" w:color="auto" w:fill="FFFFFF"/>
        <w:adjustRightInd w:val="0"/>
        <w:snapToGrid w:val="0"/>
        <w:spacing w:line="3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B1.6</w:t>
      </w:r>
      <w:r>
        <w:rPr>
          <w:rFonts w:hint="eastAsia" w:ascii="宋体" w:hAnsi="宋体" w:cs="宋体"/>
          <w:color w:val="auto"/>
          <w:szCs w:val="21"/>
          <w:highlight w:val="none"/>
        </w:rPr>
        <w:t xml:space="preserve">  评标委员会认定投标人以低于成本报价竞标的。</w:t>
      </w:r>
    </w:p>
    <w:p>
      <w:pPr>
        <w:shd w:val="clear" w:color="auto" w:fill="FFFFFF"/>
        <w:adjustRightInd w:val="0"/>
        <w:snapToGrid w:val="0"/>
        <w:spacing w:line="3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B1.7  投标人相关人员未按第二章“投标人须知”第10.6款规定出席开标会的。。</w:t>
      </w:r>
    </w:p>
    <w:p>
      <w:pPr>
        <w:pStyle w:val="61"/>
        <w:widowControl/>
        <w:ind w:firstLine="440" w:firstLineChars="200"/>
        <w:rPr>
          <w:rFonts w:ascii="宋体" w:hAnsi="宋体" w:cs="宋体"/>
          <w:color w:val="auto"/>
          <w:szCs w:val="21"/>
          <w:highlight w:val="none"/>
        </w:rPr>
      </w:pPr>
      <w:r>
        <w:rPr>
          <w:rFonts w:hint="eastAsia" w:ascii="宋体" w:hAnsi="宋体" w:cs="宋体"/>
          <w:b/>
          <w:color w:val="auto"/>
          <w:szCs w:val="21"/>
          <w:highlight w:val="none"/>
        </w:rPr>
        <w:t>B1.8</w:t>
      </w:r>
      <w:r>
        <w:rPr>
          <w:rFonts w:hint="eastAsia" w:ascii="宋体" w:hAnsi="宋体" w:eastAsia="宋体" w:cs="宋体"/>
          <w:bCs/>
          <w:color w:val="auto"/>
          <w:kern w:val="2"/>
          <w:sz w:val="21"/>
          <w:szCs w:val="21"/>
          <w:highlight w:val="none"/>
        </w:rPr>
        <w:t xml:space="preserve"> 采用基准投标报价计分法的工程，投标总报价必须且只能精确到元；采用造价下浮率计分法的工程，下浮率报价最多只能精确到小数点后二位。否则作废标处理，并列入绍兴市公用事业集团有限公司禁止交易目录。</w:t>
      </w:r>
    </w:p>
    <w:p>
      <w:pPr>
        <w:shd w:val="clear" w:color="auto" w:fill="FFFFFF"/>
        <w:adjustRightInd w:val="0"/>
        <w:snapToGrid w:val="0"/>
        <w:spacing w:line="34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B1.9 其他：招标文件中带“★”的指标为必须满足内容，不满足的投标单位作废标处理。</w:t>
      </w:r>
    </w:p>
    <w:p>
      <w:pPr>
        <w:shd w:val="clear" w:color="auto" w:fill="FFFFFF"/>
        <w:adjustRightInd w:val="0"/>
        <w:snapToGrid w:val="0"/>
        <w:spacing w:line="440" w:lineRule="exact"/>
        <w:ind w:firstLine="420" w:firstLineChars="200"/>
        <w:rPr>
          <w:rFonts w:ascii="宋体" w:hAnsi="宋体" w:cs="宋体"/>
          <w:color w:val="auto"/>
          <w:szCs w:val="21"/>
          <w:highlight w:val="none"/>
        </w:rPr>
      </w:pPr>
    </w:p>
    <w:p>
      <w:pPr>
        <w:shd w:val="clear" w:color="auto" w:fill="FFFFFF"/>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附件C：投标人成本评审办法（略）</w:t>
      </w:r>
    </w:p>
    <w:p>
      <w:pPr>
        <w:shd w:val="clear" w:color="auto" w:fill="FFFFFF"/>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附件D：备选投标方案的评审方法（略）</w:t>
      </w:r>
    </w:p>
    <w:p>
      <w:pPr>
        <w:shd w:val="clear" w:color="auto" w:fill="FFFFFF"/>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附件E：计算机辅助评标方法（略）</w:t>
      </w:r>
    </w:p>
    <w:p>
      <w:pPr>
        <w:shd w:val="clear" w:color="auto" w:fill="FFFFFF"/>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附表A-1：评标委员会签到表（略）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附表A-2：形式评审记录表（略）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附表A-3：资格评审记录表（略）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附表A-4：响应性评审记录表（略）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附表A-5：施工组织设计评审记录表（略）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附表A-6：项目管理机构评审记录表（略）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附表A-7：投标报价评分记录表（略）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附表A-8：其他因素评审记录表（略）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附表A-9：详细评审评分汇总表（略）</w:t>
      </w:r>
    </w:p>
    <w:p>
      <w:pPr>
        <w:shd w:val="clear" w:color="auto" w:fill="FFFFFF"/>
        <w:spacing w:line="360" w:lineRule="exact"/>
        <w:rPr>
          <w:rFonts w:ascii="宋体" w:hAnsi="宋体" w:cs="宋体"/>
          <w:color w:val="auto"/>
          <w:szCs w:val="21"/>
          <w:highlight w:val="none"/>
        </w:rPr>
      </w:pPr>
      <w:r>
        <w:rPr>
          <w:rFonts w:hint="eastAsia" w:ascii="宋体" w:hAnsi="宋体" w:cs="宋体"/>
          <w:color w:val="auto"/>
          <w:szCs w:val="21"/>
          <w:highlight w:val="none"/>
        </w:rPr>
        <w:t>附表A-10：评标结果汇总表（略）</w:t>
      </w:r>
    </w:p>
    <w:p>
      <w:pPr>
        <w:keepNext/>
        <w:keepLines/>
        <w:spacing w:before="340" w:after="330" w:line="576" w:lineRule="auto"/>
        <w:jc w:val="center"/>
        <w:outlineLvl w:val="0"/>
        <w:rPr>
          <w:rFonts w:ascii="宋体" w:hAnsi="宋体" w:cs="宋体"/>
          <w:color w:val="auto"/>
          <w:kern w:val="44"/>
          <w:sz w:val="32"/>
          <w:szCs w:val="44"/>
          <w:highlight w:val="none"/>
        </w:rPr>
      </w:pPr>
      <w:bookmarkStart w:id="233" w:name="_Toc152045609"/>
      <w:bookmarkStart w:id="234" w:name="_Toc144974577"/>
      <w:bookmarkStart w:id="235" w:name="_Toc179632627"/>
      <w:bookmarkStart w:id="236" w:name="_Toc152042387"/>
      <w:r>
        <w:rPr>
          <w:rFonts w:hint="eastAsia" w:ascii="宋体" w:hAnsi="宋体" w:cs="宋体"/>
          <w:color w:val="auto"/>
          <w:kern w:val="44"/>
          <w:sz w:val="32"/>
          <w:szCs w:val="44"/>
          <w:highlight w:val="none"/>
        </w:rPr>
        <w:br w:type="page"/>
      </w:r>
      <w:r>
        <w:rPr>
          <w:rFonts w:hint="eastAsia" w:ascii="宋体" w:hAnsi="宋体" w:cs="宋体"/>
          <w:color w:val="auto"/>
          <w:kern w:val="44"/>
          <w:sz w:val="32"/>
          <w:szCs w:val="44"/>
          <w:highlight w:val="none"/>
        </w:rPr>
        <w:t>第四章 合同主要条款及格式</w:t>
      </w:r>
      <w:bookmarkEnd w:id="233"/>
      <w:bookmarkEnd w:id="234"/>
      <w:bookmarkEnd w:id="235"/>
      <w:bookmarkEnd w:id="236"/>
    </w:p>
    <w:p>
      <w:pPr>
        <w:keepNext/>
        <w:keepLines/>
        <w:spacing w:line="312" w:lineRule="auto"/>
        <w:outlineLvl w:val="2"/>
        <w:rPr>
          <w:rFonts w:ascii="宋体" w:hAnsi="宋体" w:cs="宋体"/>
          <w:b/>
          <w:color w:val="auto"/>
          <w:sz w:val="24"/>
          <w:highlight w:val="none"/>
        </w:rPr>
      </w:pPr>
      <w:r>
        <w:rPr>
          <w:rFonts w:hint="eastAsia" w:ascii="宋体" w:hAnsi="宋体" w:cs="宋体"/>
          <w:b/>
          <w:color w:val="auto"/>
          <w:sz w:val="24"/>
          <w:highlight w:val="none"/>
        </w:rPr>
        <w:t>1.合同范围</w:t>
      </w:r>
    </w:p>
    <w:p>
      <w:pPr>
        <w:spacing w:line="312" w:lineRule="auto"/>
        <w:ind w:firstLine="420" w:firstLineChars="200"/>
        <w:contextualSpacing/>
        <w:jc w:val="left"/>
        <w:rPr>
          <w:rFonts w:ascii="宋体" w:hAnsi="宋体" w:cs="宋体"/>
          <w:color w:val="auto"/>
          <w:szCs w:val="21"/>
          <w:highlight w:val="none"/>
        </w:rPr>
      </w:pPr>
      <w:r>
        <w:rPr>
          <w:rFonts w:hint="eastAsia" w:ascii="宋体" w:hAnsi="宋体" w:cs="宋体"/>
          <w:color w:val="auto"/>
          <w:szCs w:val="21"/>
          <w:highlight w:val="none"/>
        </w:rPr>
        <w:t>本合同条款适用与本次招标活动。</w:t>
      </w:r>
    </w:p>
    <w:p>
      <w:pPr>
        <w:keepNext/>
        <w:keepLines/>
        <w:spacing w:line="312" w:lineRule="auto"/>
        <w:outlineLvl w:val="2"/>
        <w:rPr>
          <w:rFonts w:ascii="宋体" w:hAnsi="宋体" w:cs="宋体"/>
          <w:b/>
          <w:color w:val="auto"/>
          <w:sz w:val="24"/>
          <w:highlight w:val="none"/>
        </w:rPr>
      </w:pPr>
      <w:r>
        <w:rPr>
          <w:rFonts w:hint="eastAsia" w:ascii="宋体" w:hAnsi="宋体" w:cs="宋体"/>
          <w:b/>
          <w:color w:val="auto"/>
          <w:sz w:val="24"/>
          <w:highlight w:val="none"/>
        </w:rPr>
        <w:t>2.合同的签订</w:t>
      </w:r>
    </w:p>
    <w:p>
      <w:pPr>
        <w:snapToGrid w:val="0"/>
        <w:spacing w:line="312" w:lineRule="auto"/>
        <w:ind w:firstLine="420" w:firstLineChars="200"/>
        <w:jc w:val="left"/>
        <w:rPr>
          <w:rFonts w:ascii="宋体" w:hAnsi="宋体" w:cs="宋体"/>
          <w:color w:val="auto"/>
          <w:szCs w:val="21"/>
          <w:highlight w:val="none"/>
        </w:rPr>
      </w:pPr>
      <w:bookmarkStart w:id="237" w:name="_Toc351203633"/>
      <w:r>
        <w:rPr>
          <w:rFonts w:hint="eastAsia" w:ascii="宋体" w:hAnsi="宋体" w:cs="宋体"/>
          <w:color w:val="auto"/>
          <w:szCs w:val="21"/>
          <w:highlight w:val="none"/>
        </w:rPr>
        <w:t>2.1中标人在中标通知书发出30日内按招标文件和中标人投标文件的约定，和招标人在约定的时间、地点，由法定代表人或授权委托人与招标人签订书面合同。</w:t>
      </w:r>
    </w:p>
    <w:p>
      <w:pPr>
        <w:pStyle w:val="10"/>
        <w:numPr>
          <w:ilvl w:val="0"/>
          <w:numId w:val="0"/>
        </w:numPr>
        <w:spacing w:line="312" w:lineRule="auto"/>
        <w:ind w:firstLine="420" w:firstLineChars="200"/>
        <w:jc w:val="left"/>
        <w:rPr>
          <w:rFonts w:ascii="宋体" w:hAnsi="宋体" w:cs="宋体"/>
          <w:b/>
          <w:color w:val="auto"/>
          <w:szCs w:val="21"/>
          <w:highlight w:val="none"/>
          <w:u w:val="single"/>
        </w:rPr>
      </w:pPr>
      <w:r>
        <w:rPr>
          <w:rFonts w:hint="eastAsia" w:ascii="宋体" w:hAnsi="宋体" w:cs="宋体"/>
          <w:color w:val="auto"/>
          <w:szCs w:val="21"/>
          <w:highlight w:val="none"/>
        </w:rPr>
        <w:t>2.1.1项目名称：</w:t>
      </w:r>
      <w:r>
        <w:rPr>
          <w:rFonts w:hint="eastAsia" w:ascii="宋体" w:hAnsi="宋体" w:cs="宋体"/>
          <w:b/>
          <w:bCs/>
          <w:color w:val="auto"/>
          <w:szCs w:val="21"/>
          <w:highlight w:val="none"/>
          <w:u w:val="single"/>
        </w:rPr>
        <w:t>越兴路1# 、2# 泵站及进出水管新建工程(越兴路2#泵站)</w:t>
      </w:r>
      <w:r>
        <w:rPr>
          <w:rFonts w:hint="eastAsia" w:ascii="宋体" w:hAnsi="宋体" w:cs="宋体"/>
          <w:b/>
          <w:color w:val="auto"/>
          <w:kern w:val="0"/>
          <w:szCs w:val="21"/>
          <w:highlight w:val="none"/>
          <w:u w:val="single"/>
        </w:rPr>
        <w:t>设备材料采购</w:t>
      </w:r>
    </w:p>
    <w:p>
      <w:pPr>
        <w:pStyle w:val="10"/>
        <w:numPr>
          <w:ilvl w:val="0"/>
          <w:numId w:val="0"/>
        </w:numPr>
        <w:spacing w:line="312" w:lineRule="auto"/>
        <w:ind w:firstLine="420" w:firstLineChars="200"/>
        <w:jc w:val="left"/>
        <w:rPr>
          <w:rFonts w:ascii="宋体" w:hAnsi="宋体" w:cs="宋体"/>
          <w:b/>
          <w:bCs/>
          <w:color w:val="auto"/>
          <w:szCs w:val="21"/>
          <w:highlight w:val="none"/>
          <w:u w:val="single"/>
        </w:rPr>
      </w:pPr>
      <w:r>
        <w:rPr>
          <w:rFonts w:hint="eastAsia" w:ascii="宋体" w:hAnsi="宋体" w:cs="宋体"/>
          <w:color w:val="auto"/>
          <w:szCs w:val="21"/>
          <w:highlight w:val="none"/>
        </w:rPr>
        <w:t>2.1.2交货地点：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绍兴市越兴路与三江路交叉口西北角。</w:t>
      </w:r>
    </w:p>
    <w:p>
      <w:pPr>
        <w:pStyle w:val="10"/>
        <w:numPr>
          <w:ilvl w:val="0"/>
          <w:numId w:val="0"/>
        </w:numPr>
        <w:spacing w:line="312" w:lineRule="auto"/>
        <w:ind w:firstLine="420" w:firstLineChars="200"/>
        <w:jc w:val="left"/>
        <w:rPr>
          <w:rFonts w:ascii="宋体" w:hAnsi="宋体" w:cs="宋体"/>
          <w:b/>
          <w:color w:val="auto"/>
          <w:szCs w:val="21"/>
          <w:highlight w:val="none"/>
          <w:u w:val="single"/>
        </w:rPr>
      </w:pPr>
      <w:r>
        <w:rPr>
          <w:rFonts w:hint="eastAsia" w:ascii="宋体" w:hAnsi="宋体" w:cs="宋体"/>
          <w:color w:val="auto"/>
          <w:szCs w:val="21"/>
          <w:highlight w:val="none"/>
        </w:rPr>
        <w:t>2.1.3项目实施范围：</w:t>
      </w:r>
      <w:r>
        <w:rPr>
          <w:rFonts w:hint="eastAsia" w:ascii="宋体" w:hAnsi="宋体" w:cs="宋体"/>
          <w:b/>
          <w:bCs/>
          <w:color w:val="auto"/>
          <w:szCs w:val="21"/>
          <w:highlight w:val="none"/>
          <w:u w:val="single"/>
        </w:rPr>
        <w:t>越兴路1# 、2# 泵站及进出水管新建工程(越兴路2#泵站)</w:t>
      </w:r>
      <w:r>
        <w:rPr>
          <w:rFonts w:hint="eastAsia" w:ascii="宋体" w:hAnsi="宋体" w:cs="宋体"/>
          <w:b/>
          <w:bCs/>
          <w:color w:val="auto"/>
          <w:kern w:val="0"/>
          <w:szCs w:val="21"/>
          <w:highlight w:val="none"/>
          <w:u w:val="single"/>
        </w:rPr>
        <w:t>设备材料</w:t>
      </w:r>
      <w:r>
        <w:rPr>
          <w:rFonts w:hint="eastAsia" w:ascii="宋体" w:hAnsi="宋体" w:cs="宋体"/>
          <w:b/>
          <w:bCs/>
          <w:color w:val="auto"/>
          <w:szCs w:val="21"/>
          <w:highlight w:val="none"/>
          <w:u w:val="single"/>
        </w:rPr>
        <w:t>的含税货价、有关项目建设所需开发费用，技术方案编写，设备购置费，运输费，卸材费，指导安装、调试和验收费，质保期运行维护，技术支持，测试费，培训费，税金等及合同中明示或暗示的所有一般风险、责任和义务等内容。</w:t>
      </w:r>
    </w:p>
    <w:p>
      <w:pPr>
        <w:pStyle w:val="10"/>
        <w:numPr>
          <w:ilvl w:val="0"/>
          <w:numId w:val="0"/>
        </w:num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2.1.4供货期：</w:t>
      </w:r>
      <w:r>
        <w:rPr>
          <w:rFonts w:hint="eastAsia" w:ascii="宋体" w:hAnsi="宋体" w:cs="宋体"/>
          <w:b/>
          <w:bCs/>
          <w:color w:val="auto"/>
          <w:szCs w:val="21"/>
          <w:highlight w:val="none"/>
          <w:u w:val="single"/>
        </w:rPr>
        <w:t>收到招标人书面交货通知后14天内。一旦中标，中标人必须满足施工承包人施工总进度计划中的节点目标，具体设备交货时间待合同签订时由招标人确定。</w:t>
      </w:r>
    </w:p>
    <w:p>
      <w:pPr>
        <w:pStyle w:val="10"/>
        <w:numPr>
          <w:ilvl w:val="0"/>
          <w:numId w:val="0"/>
        </w:num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2.2交货方式：</w:t>
      </w:r>
      <w:r>
        <w:rPr>
          <w:rFonts w:hint="eastAsia" w:ascii="宋体" w:hAnsi="宋体" w:cs="宋体"/>
          <w:b/>
          <w:bCs/>
          <w:color w:val="auto"/>
          <w:szCs w:val="21"/>
          <w:highlight w:val="none"/>
          <w:u w:val="single"/>
        </w:rPr>
        <w:t>中标人负责运至招标人指定的施工现场或绍兴其他的指定地点。移交招标人前，所有设备材料的运输、保管、保险及风险均由中标人负责。</w:t>
      </w:r>
    </w:p>
    <w:p>
      <w:pPr>
        <w:pStyle w:val="10"/>
        <w:numPr>
          <w:ilvl w:val="0"/>
          <w:numId w:val="0"/>
        </w:numPr>
        <w:spacing w:line="312" w:lineRule="auto"/>
        <w:ind w:firstLine="422" w:firstLineChars="200"/>
        <w:contextualSpacing/>
        <w:rPr>
          <w:rFonts w:ascii="宋体" w:hAnsi="宋体" w:cs="宋体"/>
          <w:color w:val="auto"/>
          <w:szCs w:val="21"/>
          <w:highlight w:val="none"/>
        </w:rPr>
      </w:pPr>
      <w:r>
        <w:rPr>
          <w:rFonts w:hint="eastAsia" w:ascii="宋体" w:hAnsi="宋体" w:cs="宋体"/>
          <w:b/>
          <w:color w:val="auto"/>
          <w:szCs w:val="21"/>
          <w:highlight w:val="none"/>
        </w:rPr>
        <w:t>2.3</w:t>
      </w:r>
      <w:r>
        <w:rPr>
          <w:rFonts w:hint="eastAsia" w:ascii="宋体" w:hAnsi="宋体" w:cs="宋体"/>
          <w:b/>
          <w:color w:val="auto"/>
          <w:szCs w:val="21"/>
          <w:highlight w:val="none"/>
          <w:u w:val="single"/>
        </w:rPr>
        <w:t>为保证供货产品的质量及货源纯正，在中标结果公示期内，中标候选人需提供主要投标产品（主要有：</w:t>
      </w:r>
      <w:r>
        <w:rPr>
          <w:rFonts w:hint="eastAsia" w:ascii="宋体" w:hAnsi="宋体" w:cs="宋体"/>
          <w:b/>
          <w:bCs/>
          <w:color w:val="auto"/>
          <w:kern w:val="0"/>
          <w:szCs w:val="21"/>
          <w:highlight w:val="none"/>
          <w:u w:val="single"/>
        </w:rPr>
        <w:t>钢管、潜水排污泵、格栅、启闭机、电动葫芦</w:t>
      </w:r>
      <w:r>
        <w:rPr>
          <w:rFonts w:hint="eastAsia" w:ascii="宋体" w:hAnsi="宋体" w:cs="宋体"/>
          <w:b/>
          <w:color w:val="auto"/>
          <w:szCs w:val="21"/>
          <w:highlight w:val="none"/>
          <w:u w:val="single"/>
        </w:rPr>
        <w:t>）的制造厂家针对本项目授权书原件，若中标候选人不能提供的，视为自动放弃中标，其投标保证金不予退还。</w:t>
      </w:r>
    </w:p>
    <w:p>
      <w:pPr>
        <w:pStyle w:val="4"/>
        <w:spacing w:line="312" w:lineRule="auto"/>
        <w:jc w:val="left"/>
        <w:rPr>
          <w:rStyle w:val="44"/>
          <w:rFonts w:ascii="宋体" w:hAnsi="宋体" w:cs="宋体"/>
          <w:b/>
          <w:bCs w:val="0"/>
          <w:color w:val="auto"/>
          <w:sz w:val="21"/>
          <w:szCs w:val="21"/>
          <w:highlight w:val="none"/>
        </w:rPr>
      </w:pPr>
      <w:bookmarkStart w:id="238" w:name="_Toc430164841"/>
      <w:bookmarkStart w:id="239" w:name="_Toc424818594"/>
      <w:bookmarkStart w:id="240" w:name="_Toc424818502"/>
      <w:r>
        <w:rPr>
          <w:rStyle w:val="44"/>
          <w:rFonts w:hint="eastAsia" w:ascii="宋体" w:hAnsi="宋体" w:cs="宋体"/>
          <w:b/>
          <w:bCs w:val="0"/>
          <w:color w:val="auto"/>
          <w:sz w:val="21"/>
          <w:szCs w:val="21"/>
          <w:highlight w:val="none"/>
        </w:rPr>
        <w:t>3. 合同价格、支付</w:t>
      </w:r>
      <w:bookmarkEnd w:id="238"/>
      <w:bookmarkEnd w:id="239"/>
      <w:bookmarkEnd w:id="240"/>
    </w:p>
    <w:p>
      <w:pPr>
        <w:pStyle w:val="6"/>
        <w:spacing w:before="0" w:after="0" w:line="312" w:lineRule="auto"/>
        <w:ind w:firstLine="422"/>
        <w:jc w:val="left"/>
        <w:rPr>
          <w:rFonts w:ascii="宋体" w:hAnsi="宋体" w:eastAsia="宋体" w:cs="宋体"/>
          <w:bCs w:val="0"/>
          <w:color w:val="auto"/>
          <w:sz w:val="21"/>
          <w:szCs w:val="21"/>
          <w:highlight w:val="none"/>
        </w:rPr>
      </w:pPr>
      <w:bookmarkStart w:id="241" w:name="_Toc267251461"/>
      <w:bookmarkStart w:id="242" w:name="_Toc292559411"/>
      <w:bookmarkStart w:id="243" w:name="_Toc292559916"/>
      <w:bookmarkStart w:id="244" w:name="_Toc297048392"/>
      <w:bookmarkStart w:id="245" w:name="_Toc296891246"/>
      <w:bookmarkStart w:id="246" w:name="_Toc296347205"/>
      <w:bookmarkStart w:id="247" w:name="_Toc296944545"/>
      <w:bookmarkStart w:id="248" w:name="_Toc296891034"/>
      <w:bookmarkStart w:id="249" w:name="_Toc297120506"/>
      <w:bookmarkStart w:id="250" w:name="_Toc296346707"/>
      <w:bookmarkStart w:id="251" w:name="_Toc296503206"/>
      <w:bookmarkStart w:id="252" w:name="_Toc297123553"/>
      <w:bookmarkStart w:id="253" w:name="_Toc303539160"/>
      <w:bookmarkStart w:id="254" w:name="_Toc312678041"/>
      <w:bookmarkStart w:id="255" w:name="_Toc300935003"/>
      <w:bookmarkStart w:id="256" w:name="_Toc297216212"/>
      <w:bookmarkStart w:id="257" w:name="_Toc304295580"/>
      <w:r>
        <w:rPr>
          <w:rFonts w:hint="eastAsia" w:ascii="宋体" w:hAnsi="宋体" w:eastAsia="宋体" w:cs="宋体"/>
          <w:bCs w:val="0"/>
          <w:color w:val="auto"/>
          <w:sz w:val="21"/>
          <w:szCs w:val="21"/>
          <w:highlight w:val="none"/>
        </w:rPr>
        <w:t>3.1 合</w:t>
      </w:r>
      <w:bookmarkEnd w:id="241"/>
      <w:bookmarkEnd w:id="242"/>
      <w:bookmarkEnd w:id="243"/>
      <w:r>
        <w:rPr>
          <w:rFonts w:hint="eastAsia" w:ascii="宋体" w:hAnsi="宋体" w:eastAsia="宋体" w:cs="宋体"/>
          <w:bCs w:val="0"/>
          <w:color w:val="auto"/>
          <w:sz w:val="21"/>
          <w:szCs w:val="21"/>
          <w:highlight w:val="none"/>
        </w:rPr>
        <w:t>同价</w:t>
      </w:r>
      <w:bookmarkEnd w:id="244"/>
      <w:bookmarkEnd w:id="245"/>
      <w:bookmarkEnd w:id="246"/>
      <w:bookmarkEnd w:id="247"/>
      <w:bookmarkEnd w:id="248"/>
      <w:bookmarkEnd w:id="249"/>
      <w:bookmarkEnd w:id="250"/>
      <w:bookmarkEnd w:id="251"/>
      <w:r>
        <w:rPr>
          <w:rFonts w:hint="eastAsia" w:ascii="宋体" w:hAnsi="宋体" w:eastAsia="宋体" w:cs="宋体"/>
          <w:bCs w:val="0"/>
          <w:color w:val="auto"/>
          <w:sz w:val="21"/>
          <w:szCs w:val="21"/>
          <w:highlight w:val="none"/>
        </w:rPr>
        <w:t>格形式</w:t>
      </w:r>
    </w:p>
    <w:bookmarkEnd w:id="252"/>
    <w:bookmarkEnd w:id="253"/>
    <w:bookmarkEnd w:id="254"/>
    <w:bookmarkEnd w:id="255"/>
    <w:bookmarkEnd w:id="256"/>
    <w:bookmarkEnd w:id="257"/>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 合同价款的确定</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本工程的合同价根据承包人中标价确定，采用</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固定单价 </w:t>
      </w:r>
      <w:r>
        <w:rPr>
          <w:rFonts w:hint="eastAsia" w:ascii="宋体" w:hAnsi="宋体" w:cs="宋体"/>
          <w:color w:val="auto"/>
          <w:szCs w:val="21"/>
          <w:highlight w:val="none"/>
        </w:rPr>
        <w:t>的方式承包。</w:t>
      </w:r>
      <w:bookmarkStart w:id="258" w:name="_Toc416193442"/>
      <w:r>
        <w:rPr>
          <w:rFonts w:hint="eastAsia" w:ascii="宋体" w:hAnsi="宋体" w:cs="宋体"/>
          <w:color w:val="auto"/>
          <w:szCs w:val="21"/>
          <w:highlight w:val="none"/>
        </w:rPr>
        <w:t>报价含材料费、附件费、备件费、指导安装、调试费、钢管防腐（含施工现场管材接口的防腐和正常修补等与本项目相关的一切防腐内容）、技术培训费、特殊工具及检测仪器费、运输费、包装费、途中损耗、劳务费、保险、利润、 税金、政策性文件规定及合同包含的所有风险、责任和义务等各项应有全部费用。</w:t>
      </w:r>
    </w:p>
    <w:p>
      <w:pPr>
        <w:pStyle w:val="10"/>
        <w:numPr>
          <w:ilvl w:val="0"/>
          <w:numId w:val="0"/>
        </w:numPr>
        <w:spacing w:line="312"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3.2 结算和付款方式</w:t>
      </w:r>
      <w:bookmarkEnd w:id="258"/>
    </w:p>
    <w:p>
      <w:pPr>
        <w:spacing w:line="312" w:lineRule="auto"/>
        <w:ind w:firstLine="420" w:firstLineChars="200"/>
        <w:jc w:val="left"/>
        <w:rPr>
          <w:rFonts w:ascii="宋体" w:hAnsi="宋体" w:cs="宋体"/>
          <w:color w:val="auto"/>
          <w:szCs w:val="21"/>
          <w:highlight w:val="none"/>
        </w:rPr>
      </w:pPr>
      <w:bookmarkStart w:id="259" w:name="_Toc430164842"/>
      <w:bookmarkStart w:id="260" w:name="_Toc424818503"/>
      <w:bookmarkStart w:id="261" w:name="_Toc416193443"/>
      <w:bookmarkStart w:id="262" w:name="_Toc424818595"/>
      <w:r>
        <w:rPr>
          <w:rFonts w:hint="eastAsia" w:ascii="宋体" w:hAnsi="宋体" w:cs="宋体"/>
          <w:color w:val="auto"/>
          <w:szCs w:val="21"/>
          <w:highlight w:val="none"/>
        </w:rPr>
        <w:t>3.2.1材料合同价格应按中标单位的投标价格（单价和总价）执行，结算时单价不变（</w:t>
      </w:r>
      <w:r>
        <w:rPr>
          <w:rFonts w:hint="eastAsia" w:ascii="宋体" w:hAnsi="宋体" w:cs="宋体"/>
          <w:color w:val="auto"/>
          <w:kern w:val="0"/>
          <w:szCs w:val="21"/>
          <w:highlight w:val="none"/>
          <w:u w:val="single"/>
        </w:rPr>
        <w:t>无论工程量增减幅度多少</w:t>
      </w:r>
      <w:r>
        <w:rPr>
          <w:rFonts w:hint="eastAsia" w:ascii="宋体" w:hAnsi="宋体" w:cs="宋体"/>
          <w:color w:val="auto"/>
          <w:szCs w:val="21"/>
          <w:highlight w:val="none"/>
        </w:rPr>
        <w:t>），总价按实调整。</w:t>
      </w:r>
    </w:p>
    <w:p>
      <w:pPr>
        <w:spacing w:line="440" w:lineRule="exact"/>
        <w:ind w:firstLine="422" w:firstLineChars="200"/>
        <w:jc w:val="left"/>
        <w:rPr>
          <w:rFonts w:ascii="宋体" w:hAnsi="宋体" w:cs="宋体"/>
          <w:b/>
          <w:bCs/>
          <w:color w:val="auto"/>
          <w:kern w:val="0"/>
          <w:szCs w:val="21"/>
          <w:highlight w:val="none"/>
          <w:u w:val="single"/>
        </w:rPr>
      </w:pPr>
      <w:r>
        <w:rPr>
          <w:rFonts w:ascii="宋体" w:hAnsi="宋体" w:cs="宋体"/>
          <w:b/>
          <w:bCs/>
          <w:color w:val="auto"/>
          <w:kern w:val="0"/>
          <w:szCs w:val="21"/>
          <w:highlight w:val="none"/>
          <w:u w:val="single"/>
        </w:rPr>
        <w:t>3.2.2</w:t>
      </w:r>
      <w:r>
        <w:rPr>
          <w:rFonts w:hint="eastAsia" w:ascii="宋体" w:hAnsi="宋体" w:cs="宋体"/>
          <w:b/>
          <w:bCs/>
          <w:color w:val="auto"/>
          <w:kern w:val="0"/>
          <w:szCs w:val="21"/>
          <w:highlight w:val="none"/>
          <w:u w:val="single"/>
        </w:rPr>
        <w:t>招标文件中的工程量为</w:t>
      </w:r>
      <w:r>
        <w:rPr>
          <w:rFonts w:ascii="宋体" w:hAnsi="宋体" w:cs="宋体"/>
          <w:b/>
          <w:bCs/>
          <w:color w:val="auto"/>
          <w:kern w:val="0"/>
          <w:szCs w:val="21"/>
          <w:highlight w:val="none"/>
          <w:u w:val="single"/>
        </w:rPr>
        <w:t>图纸</w:t>
      </w:r>
      <w:r>
        <w:rPr>
          <w:rFonts w:hint="eastAsia" w:ascii="宋体" w:hAnsi="宋体" w:cs="宋体"/>
          <w:b/>
          <w:bCs/>
          <w:color w:val="auto"/>
          <w:kern w:val="0"/>
          <w:szCs w:val="21"/>
          <w:highlight w:val="none"/>
          <w:u w:val="single"/>
        </w:rPr>
        <w:t>工程量，</w:t>
      </w:r>
      <w:r>
        <w:rPr>
          <w:rFonts w:hint="eastAsia" w:ascii="宋体" w:hAnsi="宋体" w:cs="宋体"/>
          <w:b/>
          <w:bCs/>
          <w:color w:val="auto"/>
          <w:kern w:val="0"/>
          <w:szCs w:val="21"/>
          <w:highlight w:val="none"/>
          <w:u w:val="single"/>
          <w:lang w:eastAsia="zh-CN"/>
        </w:rPr>
        <w:t>招标人</w:t>
      </w:r>
      <w:r>
        <w:rPr>
          <w:rFonts w:hint="eastAsia" w:ascii="宋体" w:hAnsi="宋体" w:cs="宋体"/>
          <w:b/>
          <w:bCs/>
          <w:color w:val="auto"/>
          <w:kern w:val="0"/>
          <w:szCs w:val="21"/>
          <w:highlight w:val="none"/>
          <w:u w:val="single"/>
        </w:rPr>
        <w:t>有权根据项目实际情况调整工程量。</w:t>
      </w:r>
    </w:p>
    <w:p>
      <w:pPr>
        <w:spacing w:line="440" w:lineRule="exact"/>
        <w:ind w:firstLine="422" w:firstLineChars="200"/>
        <w:jc w:val="left"/>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3.2.3</w:t>
      </w:r>
      <w:r>
        <w:rPr>
          <w:rFonts w:ascii="宋体" w:hAnsi="宋体" w:cs="宋体"/>
          <w:b/>
          <w:bCs/>
          <w:color w:val="auto"/>
          <w:kern w:val="0"/>
          <w:szCs w:val="21"/>
          <w:highlight w:val="none"/>
          <w:u w:val="single"/>
        </w:rPr>
        <w:t>当发生设计变更或出现清单漏项或施工现场实际需要增加清单</w:t>
      </w:r>
      <w:r>
        <w:rPr>
          <w:rFonts w:hint="eastAsia" w:ascii="宋体" w:hAnsi="宋体" w:cs="宋体"/>
          <w:b/>
          <w:bCs/>
          <w:color w:val="auto"/>
          <w:kern w:val="0"/>
          <w:szCs w:val="21"/>
          <w:highlight w:val="none"/>
          <w:u w:val="single"/>
        </w:rPr>
        <w:t>的</w:t>
      </w:r>
      <w:r>
        <w:rPr>
          <w:rFonts w:ascii="宋体" w:hAnsi="宋体" w:cs="宋体"/>
          <w:b/>
          <w:bCs/>
          <w:color w:val="auto"/>
          <w:kern w:val="0"/>
          <w:szCs w:val="21"/>
          <w:highlight w:val="none"/>
          <w:u w:val="single"/>
        </w:rPr>
        <w:t>，</w:t>
      </w:r>
      <w:r>
        <w:rPr>
          <w:rFonts w:hint="eastAsia" w:ascii="宋体" w:hAnsi="宋体" w:cs="宋体"/>
          <w:b/>
          <w:bCs/>
          <w:color w:val="auto"/>
          <w:kern w:val="0"/>
          <w:szCs w:val="21"/>
          <w:highlight w:val="none"/>
          <w:u w:val="single"/>
        </w:rPr>
        <w:t>材料价格的确定</w:t>
      </w:r>
      <w:r>
        <w:rPr>
          <w:rFonts w:ascii="宋体" w:hAnsi="宋体" w:cs="宋体"/>
          <w:b/>
          <w:bCs/>
          <w:color w:val="auto"/>
          <w:kern w:val="0"/>
          <w:szCs w:val="21"/>
          <w:highlight w:val="none"/>
          <w:u w:val="single"/>
        </w:rPr>
        <w:t>方式</w:t>
      </w:r>
      <w:r>
        <w:rPr>
          <w:rFonts w:hint="eastAsia" w:ascii="宋体" w:hAnsi="宋体" w:cs="宋体"/>
          <w:b/>
          <w:bCs/>
          <w:color w:val="auto"/>
          <w:kern w:val="0"/>
          <w:szCs w:val="21"/>
          <w:highlight w:val="none"/>
          <w:u w:val="single"/>
        </w:rPr>
        <w:t>：（1）</w:t>
      </w:r>
      <w:r>
        <w:rPr>
          <w:rFonts w:ascii="宋体" w:hAnsi="宋体" w:cs="宋体"/>
          <w:b/>
          <w:bCs/>
          <w:color w:val="auto"/>
          <w:kern w:val="0"/>
          <w:szCs w:val="21"/>
          <w:highlight w:val="none"/>
          <w:u w:val="single"/>
        </w:rPr>
        <w:t>有绍兴市信息价的，按绍兴市信息价</w:t>
      </w:r>
      <w:r>
        <w:rPr>
          <w:rFonts w:hint="eastAsia" w:ascii="宋体" w:hAnsi="宋体" w:cs="宋体"/>
          <w:b/>
          <w:bCs/>
          <w:color w:val="auto"/>
          <w:kern w:val="0"/>
          <w:szCs w:val="21"/>
          <w:highlight w:val="none"/>
          <w:u w:val="single"/>
        </w:rPr>
        <w:t>并按中标下浮率下浮；（2）绍兴市信息价</w:t>
      </w:r>
      <w:r>
        <w:rPr>
          <w:rFonts w:ascii="宋体" w:hAnsi="宋体" w:cs="宋体"/>
          <w:b/>
          <w:bCs/>
          <w:color w:val="auto"/>
          <w:kern w:val="0"/>
          <w:szCs w:val="21"/>
          <w:highlight w:val="none"/>
          <w:u w:val="single"/>
        </w:rPr>
        <w:t>没有但有浙江省信息价的，</w:t>
      </w:r>
      <w:r>
        <w:rPr>
          <w:rFonts w:hint="eastAsia" w:ascii="宋体" w:hAnsi="宋体" w:cs="宋体"/>
          <w:b/>
          <w:bCs/>
          <w:color w:val="auto"/>
          <w:kern w:val="0"/>
          <w:szCs w:val="21"/>
          <w:highlight w:val="none"/>
          <w:u w:val="single"/>
        </w:rPr>
        <w:t>按</w:t>
      </w:r>
      <w:r>
        <w:rPr>
          <w:rFonts w:ascii="宋体" w:hAnsi="宋体" w:cs="宋体"/>
          <w:b/>
          <w:bCs/>
          <w:color w:val="auto"/>
          <w:kern w:val="0"/>
          <w:szCs w:val="21"/>
          <w:highlight w:val="none"/>
          <w:u w:val="single"/>
        </w:rPr>
        <w:t>浙江省</w:t>
      </w:r>
      <w:r>
        <w:rPr>
          <w:rFonts w:hint="eastAsia" w:ascii="宋体" w:hAnsi="宋体" w:cs="宋体"/>
          <w:b/>
          <w:bCs/>
          <w:color w:val="auto"/>
          <w:kern w:val="0"/>
          <w:szCs w:val="21"/>
          <w:highlight w:val="none"/>
          <w:u w:val="single"/>
        </w:rPr>
        <w:t>信息价并按中标下浮率下浮；（3）</w:t>
      </w:r>
      <w:r>
        <w:rPr>
          <w:rFonts w:ascii="宋体" w:hAnsi="宋体" w:cs="宋体"/>
          <w:b/>
          <w:bCs/>
          <w:color w:val="auto"/>
          <w:kern w:val="0"/>
          <w:szCs w:val="21"/>
          <w:highlight w:val="none"/>
          <w:u w:val="single"/>
        </w:rPr>
        <w:t>绍兴市和浙江省均</w:t>
      </w:r>
      <w:r>
        <w:rPr>
          <w:rFonts w:hint="eastAsia" w:ascii="宋体" w:hAnsi="宋体" w:cs="宋体"/>
          <w:b/>
          <w:bCs/>
          <w:color w:val="auto"/>
          <w:kern w:val="0"/>
          <w:szCs w:val="21"/>
          <w:highlight w:val="none"/>
          <w:u w:val="single"/>
        </w:rPr>
        <w:t>没有信息价</w:t>
      </w:r>
      <w:r>
        <w:rPr>
          <w:rFonts w:ascii="宋体" w:hAnsi="宋体" w:cs="宋体"/>
          <w:b/>
          <w:bCs/>
          <w:color w:val="auto"/>
          <w:kern w:val="0"/>
          <w:szCs w:val="21"/>
          <w:highlight w:val="none"/>
          <w:u w:val="single"/>
        </w:rPr>
        <w:t>的</w:t>
      </w:r>
      <w:r>
        <w:rPr>
          <w:rFonts w:hint="eastAsia" w:ascii="宋体" w:hAnsi="宋体" w:cs="宋体"/>
          <w:b/>
          <w:bCs/>
          <w:color w:val="auto"/>
          <w:kern w:val="0"/>
          <w:szCs w:val="21"/>
          <w:highlight w:val="none"/>
          <w:u w:val="single"/>
        </w:rPr>
        <w:t>，按照</w:t>
      </w:r>
      <w:r>
        <w:rPr>
          <w:rFonts w:ascii="宋体" w:hAnsi="宋体" w:cs="宋体"/>
          <w:b/>
          <w:bCs/>
          <w:color w:val="auto"/>
          <w:kern w:val="0"/>
          <w:szCs w:val="21"/>
          <w:highlight w:val="none"/>
          <w:u w:val="single"/>
        </w:rPr>
        <w:t>招标</w:t>
      </w:r>
      <w:r>
        <w:rPr>
          <w:rFonts w:hint="eastAsia" w:ascii="宋体" w:hAnsi="宋体" w:cs="宋体"/>
          <w:b/>
          <w:bCs/>
          <w:color w:val="auto"/>
          <w:kern w:val="0"/>
          <w:szCs w:val="21"/>
          <w:highlight w:val="none"/>
          <w:u w:val="single"/>
        </w:rPr>
        <w:t>人签证价结算。变更程序应按</w:t>
      </w:r>
      <w:r>
        <w:rPr>
          <w:rFonts w:ascii="宋体" w:hAnsi="宋体" w:cs="宋体"/>
          <w:b/>
          <w:bCs/>
          <w:color w:val="auto"/>
          <w:kern w:val="0"/>
          <w:szCs w:val="21"/>
          <w:highlight w:val="none"/>
          <w:u w:val="single"/>
        </w:rPr>
        <w:t>招标</w:t>
      </w:r>
      <w:r>
        <w:rPr>
          <w:rFonts w:hint="eastAsia" w:ascii="宋体" w:hAnsi="宋体" w:cs="宋体"/>
          <w:b/>
          <w:bCs/>
          <w:color w:val="auto"/>
          <w:kern w:val="0"/>
          <w:szCs w:val="21"/>
          <w:highlight w:val="none"/>
          <w:u w:val="single"/>
        </w:rPr>
        <w:t xml:space="preserve">人及其上级部门的规定程序及权限进行审批。  </w:t>
      </w:r>
    </w:p>
    <w:p>
      <w:pPr>
        <w:spacing w:line="440" w:lineRule="exact"/>
        <w:ind w:firstLine="422" w:firstLineChars="200"/>
        <w:jc w:val="left"/>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中标下浮率</w:t>
      </w:r>
      <w:r>
        <w:rPr>
          <w:rFonts w:ascii="宋体" w:hAnsi="宋体" w:cs="宋体"/>
          <w:b/>
          <w:bCs/>
          <w:color w:val="auto"/>
          <w:kern w:val="0"/>
          <w:szCs w:val="21"/>
          <w:highlight w:val="none"/>
          <w:u w:val="single"/>
        </w:rPr>
        <w:t>=（招标控制价-中标总价）</w:t>
      </w:r>
      <w:r>
        <w:rPr>
          <w:rFonts w:hint="eastAsia" w:ascii="宋体" w:hAnsi="宋体" w:cs="宋体"/>
          <w:b/>
          <w:bCs/>
          <w:color w:val="auto"/>
          <w:kern w:val="0"/>
          <w:szCs w:val="21"/>
          <w:highlight w:val="none"/>
          <w:u w:val="single"/>
        </w:rPr>
        <w:t>/</w:t>
      </w:r>
      <w:r>
        <w:rPr>
          <w:rFonts w:ascii="宋体" w:hAnsi="宋体" w:cs="宋体"/>
          <w:b/>
          <w:bCs/>
          <w:color w:val="auto"/>
          <w:kern w:val="0"/>
          <w:szCs w:val="21"/>
          <w:highlight w:val="none"/>
          <w:u w:val="single"/>
        </w:rPr>
        <w:t>招标控制价</w:t>
      </w:r>
      <w:r>
        <w:rPr>
          <w:rFonts w:hint="eastAsia" w:ascii="宋体" w:hAnsi="宋体" w:cs="宋体"/>
          <w:b/>
          <w:bCs/>
          <w:color w:val="auto"/>
          <w:kern w:val="0"/>
          <w:szCs w:val="21"/>
          <w:highlight w:val="none"/>
          <w:u w:val="single"/>
        </w:rPr>
        <w:t>。</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3.2.4银行转账结算，并在结算前提供全额税务正式发票。</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3.2.5付款方式：</w:t>
      </w:r>
    </w:p>
    <w:p>
      <w:pPr>
        <w:spacing w:line="312" w:lineRule="auto"/>
        <w:ind w:firstLine="331" w:firstLineChars="157"/>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（1）中标人在中标通知书发出之日起7天内，</w:t>
      </w:r>
      <w:r>
        <w:rPr>
          <w:rFonts w:hint="eastAsia" w:ascii="宋体" w:hAnsi="宋体" w:cs="宋体"/>
          <w:b/>
          <w:bCs/>
          <w:color w:val="auto"/>
          <w:szCs w:val="21"/>
          <w:highlight w:val="none"/>
          <w:u w:val="single"/>
          <w:lang w:val="en-US" w:eastAsia="zh-CN"/>
        </w:rPr>
        <w:t>合同签订时，中标人</w:t>
      </w:r>
      <w:r>
        <w:rPr>
          <w:rFonts w:hint="eastAsia" w:ascii="宋体" w:hAnsi="宋体" w:cs="宋体"/>
          <w:b/>
          <w:bCs/>
          <w:color w:val="auto"/>
          <w:szCs w:val="21"/>
          <w:highlight w:val="none"/>
          <w:u w:val="single"/>
        </w:rPr>
        <w:t>应向招标人提供相当于中标价2%的履约保证金（电汇或银行保函）。</w:t>
      </w:r>
    </w:p>
    <w:p>
      <w:pPr>
        <w:spacing w:line="312" w:lineRule="auto"/>
        <w:ind w:firstLine="331" w:firstLineChars="157"/>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（2）招标人自收到中标人提供的履约保证金且在本合同签订之日起30天内向中标人支付合同总价20%作为预付款。</w:t>
      </w:r>
      <w:r>
        <w:rPr>
          <w:rFonts w:hint="eastAsia" w:ascii="宋体" w:hAnsi="宋体" w:cs="宋体"/>
          <w:b/>
          <w:bCs/>
          <w:color w:val="auto"/>
          <w:kern w:val="0"/>
          <w:szCs w:val="21"/>
          <w:highlight w:val="none"/>
          <w:u w:val="single"/>
        </w:rPr>
        <w:t>此预付款在支付进度款时扣回，</w:t>
      </w:r>
      <w:r>
        <w:rPr>
          <w:rFonts w:hint="eastAsia" w:ascii="宋体" w:hAnsi="宋体" w:cs="宋体"/>
          <w:b/>
          <w:bCs/>
          <w:color w:val="auto"/>
          <w:szCs w:val="21"/>
          <w:highlight w:val="none"/>
          <w:u w:val="single"/>
        </w:rPr>
        <w:t>当月可支付供货金额不足以抵扣预付款时，当月不支付工程款，未抵扣预付款累计入下次抵扣。</w:t>
      </w:r>
    </w:p>
    <w:p>
      <w:pPr>
        <w:spacing w:line="312" w:lineRule="auto"/>
        <w:ind w:firstLine="331" w:firstLineChars="157"/>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（3）设备、材料分批到货按月支付上月实际到货验收合格部分货物金额的60%（按实际到货开票金额计算，由中标人提出付款申请，经招标人审核后支付）。</w:t>
      </w:r>
    </w:p>
    <w:p>
      <w:pPr>
        <w:spacing w:line="312" w:lineRule="auto"/>
        <w:ind w:firstLine="331" w:firstLineChars="157"/>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（4）工程竣工验收合格后三十个工作日内付至合同价97.5%；同时无息退还履约保证金。</w:t>
      </w:r>
    </w:p>
    <w:p>
      <w:pPr>
        <w:spacing w:line="312" w:lineRule="auto"/>
        <w:ind w:firstLine="331" w:firstLineChars="157"/>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（5）待质保期满后</w:t>
      </w:r>
      <w:r>
        <w:rPr>
          <w:rFonts w:hint="eastAsia" w:ascii="宋体" w:hAnsi="宋体" w:cs="宋体"/>
          <w:b/>
          <w:bCs/>
          <w:color w:val="auto"/>
          <w:szCs w:val="21"/>
          <w:highlight w:val="none"/>
          <w:u w:val="single"/>
          <w:lang w:val="en-US" w:eastAsia="zh-CN"/>
        </w:rPr>
        <w:t>无质量问题</w:t>
      </w:r>
      <w:r>
        <w:rPr>
          <w:rFonts w:hint="eastAsia" w:ascii="宋体" w:hAnsi="宋体" w:cs="宋体"/>
          <w:b/>
          <w:bCs/>
          <w:color w:val="auto"/>
          <w:szCs w:val="21"/>
          <w:highlight w:val="none"/>
          <w:u w:val="single"/>
        </w:rPr>
        <w:t>30天内</w:t>
      </w:r>
      <w:r>
        <w:rPr>
          <w:rFonts w:hint="eastAsia" w:ascii="宋体" w:hAnsi="宋体" w:cs="宋体"/>
          <w:b/>
          <w:bCs/>
          <w:color w:val="auto"/>
          <w:szCs w:val="21"/>
          <w:highlight w:val="none"/>
          <w:u w:val="single"/>
          <w:lang w:val="en-US" w:eastAsia="zh-CN"/>
        </w:rPr>
        <w:t>无息</w:t>
      </w:r>
      <w:r>
        <w:rPr>
          <w:rFonts w:hint="eastAsia" w:ascii="宋体" w:hAnsi="宋体" w:cs="宋体"/>
          <w:b/>
          <w:bCs/>
          <w:color w:val="auto"/>
          <w:szCs w:val="21"/>
          <w:highlight w:val="none"/>
          <w:u w:val="single"/>
        </w:rPr>
        <w:t>支付余款。</w:t>
      </w:r>
    </w:p>
    <w:p>
      <w:pPr>
        <w:spacing w:line="312" w:lineRule="auto"/>
        <w:ind w:firstLine="331" w:firstLineChars="157"/>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（6）设备材料付款可按招标人招标范围内实际供货情况，分别付款。</w:t>
      </w:r>
    </w:p>
    <w:p>
      <w:pPr>
        <w:pStyle w:val="4"/>
        <w:spacing w:line="312" w:lineRule="auto"/>
        <w:jc w:val="left"/>
        <w:rPr>
          <w:rStyle w:val="44"/>
          <w:rFonts w:ascii="宋体" w:hAnsi="宋体" w:cs="宋体"/>
          <w:b/>
          <w:bCs w:val="0"/>
          <w:color w:val="auto"/>
          <w:sz w:val="21"/>
          <w:szCs w:val="21"/>
          <w:highlight w:val="none"/>
        </w:rPr>
      </w:pPr>
      <w:r>
        <w:rPr>
          <w:rStyle w:val="44"/>
          <w:rFonts w:hint="eastAsia" w:ascii="宋体" w:hAnsi="宋体" w:cs="宋体"/>
          <w:b/>
          <w:bCs w:val="0"/>
          <w:color w:val="auto"/>
          <w:sz w:val="21"/>
          <w:szCs w:val="21"/>
          <w:highlight w:val="none"/>
        </w:rPr>
        <w:t>4.合同修改</w:t>
      </w:r>
      <w:bookmarkEnd w:id="259"/>
      <w:bookmarkEnd w:id="260"/>
      <w:bookmarkEnd w:id="261"/>
      <w:bookmarkEnd w:id="262"/>
    </w:p>
    <w:p>
      <w:pPr>
        <w:pStyle w:val="10"/>
        <w:numPr>
          <w:ilvl w:val="0"/>
          <w:numId w:val="0"/>
        </w:num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4.1双方的任何一方对合同内容提出修改，均应以书面形式通知对方，并达成由双方签署的合同修改书。</w:t>
      </w:r>
    </w:p>
    <w:p>
      <w:pPr>
        <w:pStyle w:val="10"/>
        <w:numPr>
          <w:ilvl w:val="0"/>
          <w:numId w:val="0"/>
        </w:num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4.2除非招标人对产品的品牌、型号规格和涉及价格因素的技术参数提出修改，中标人不得对合同价格提出修改要求。</w:t>
      </w:r>
    </w:p>
    <w:p>
      <w:pPr>
        <w:pStyle w:val="4"/>
        <w:spacing w:line="312" w:lineRule="auto"/>
        <w:jc w:val="left"/>
        <w:rPr>
          <w:rStyle w:val="44"/>
          <w:rFonts w:ascii="宋体" w:hAnsi="宋体" w:cs="宋体"/>
          <w:b/>
          <w:bCs w:val="0"/>
          <w:color w:val="auto"/>
          <w:sz w:val="21"/>
          <w:szCs w:val="21"/>
          <w:highlight w:val="none"/>
        </w:rPr>
      </w:pPr>
      <w:bookmarkStart w:id="263" w:name="_Toc424818504"/>
      <w:bookmarkStart w:id="264" w:name="_Toc430164843"/>
      <w:bookmarkStart w:id="265" w:name="_Toc416193444"/>
      <w:bookmarkStart w:id="266" w:name="_Toc424818596"/>
      <w:r>
        <w:rPr>
          <w:rStyle w:val="44"/>
          <w:rFonts w:hint="eastAsia" w:ascii="宋体" w:hAnsi="宋体" w:cs="宋体"/>
          <w:b/>
          <w:bCs w:val="0"/>
          <w:color w:val="auto"/>
          <w:sz w:val="21"/>
          <w:szCs w:val="21"/>
          <w:highlight w:val="none"/>
        </w:rPr>
        <w:t>5.质量标准和验收</w:t>
      </w:r>
      <w:bookmarkEnd w:id="263"/>
      <w:bookmarkEnd w:id="264"/>
      <w:bookmarkEnd w:id="265"/>
      <w:bookmarkEnd w:id="266"/>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5.1中标人提供的产品及服务必须是经合法途径取得的。产品的质量、技术标准达到国家验收规范合格标准及招标文件的要求和投标文件中的承诺，若不同标准之间不一致的，以要求较高者为准。</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5.2中标人应按现行的国家或行业技术及验收标准和招标文件的规定提供工程、货物或服务，因中标人提供的工程、货物或服务达不到约定的质量标准，中标人承担违约责任。</w:t>
      </w:r>
    </w:p>
    <w:p>
      <w:pPr>
        <w:pStyle w:val="74"/>
        <w:spacing w:line="312" w:lineRule="auto"/>
        <w:ind w:firstLine="444" w:firstLineChars="200"/>
        <w:rPr>
          <w:color w:val="auto"/>
          <w:spacing w:val="0"/>
          <w:kern w:val="2"/>
          <w:sz w:val="21"/>
          <w:szCs w:val="21"/>
          <w:highlight w:val="none"/>
        </w:rPr>
      </w:pPr>
      <w:r>
        <w:rPr>
          <w:rFonts w:hint="eastAsia"/>
          <w:color w:val="auto"/>
          <w:sz w:val="21"/>
          <w:szCs w:val="21"/>
          <w:highlight w:val="none"/>
        </w:rPr>
        <w:t>5.3</w:t>
      </w:r>
      <w:r>
        <w:rPr>
          <w:rFonts w:hint="eastAsia"/>
          <w:color w:val="auto"/>
          <w:spacing w:val="0"/>
          <w:kern w:val="2"/>
          <w:sz w:val="21"/>
          <w:szCs w:val="21"/>
          <w:highlight w:val="none"/>
        </w:rPr>
        <w:t>设备到达现场后，中标人应负责设备的开箱检验工作；并通知监理和招标人到场确认。若发现货物与装箱单数目不符，由中标人负责补齐或收回，如招标人对质量有异议，中标人负责解释及处理，直到符合合同约定为止，同时，招标人保留依法追究中标人违约责任的权利。该检验称为初步清点验收，方式如下：</w:t>
      </w:r>
    </w:p>
    <w:p>
      <w:pPr>
        <w:pStyle w:val="14"/>
        <w:spacing w:before="0" w:beforeAutospacing="0" w:after="0" w:afterAutospacing="0" w:line="312" w:lineRule="auto"/>
        <w:ind w:firstLine="420" w:firstLineChars="200"/>
        <w:rPr>
          <w:rFonts w:ascii="宋体" w:hAnsi="宋体" w:cs="宋体"/>
          <w:color w:val="auto"/>
          <w:kern w:val="24"/>
          <w:szCs w:val="21"/>
          <w:highlight w:val="none"/>
        </w:rPr>
      </w:pPr>
      <w:r>
        <w:rPr>
          <w:rFonts w:hint="eastAsia" w:ascii="宋体" w:hAnsi="宋体" w:cs="宋体"/>
          <w:color w:val="auto"/>
          <w:kern w:val="2"/>
          <w:szCs w:val="21"/>
          <w:highlight w:val="none"/>
        </w:rPr>
        <w:t>（1）中标人</w:t>
      </w:r>
      <w:r>
        <w:rPr>
          <w:rFonts w:hint="eastAsia" w:ascii="宋体" w:hAnsi="宋体" w:cs="宋体"/>
          <w:color w:val="auto"/>
          <w:kern w:val="24"/>
          <w:szCs w:val="21"/>
          <w:highlight w:val="none"/>
        </w:rPr>
        <w:t>在将货物运到招标人指定地点时，买卖双方及招标人委托的验收参与人员根据本合同约定的计量方式、技术标准和质量要求对中标人交付的货物进行初步清点，主要核对：数量、规格型号、产地、质量等级、尺寸、颜色、铭牌参数、包装及标识完整、完好程度、交货资料，各方签字后即表示初步验收清点完成，可以进行安装施工，但并不免除任何中标人对交货产品存在质量、制造、设计、性能、零部件的完整性等各方面的缺陷和不合格的责任、违约责任和对招标人造成损失的赔偿。</w:t>
      </w:r>
    </w:p>
    <w:p>
      <w:pPr>
        <w:pStyle w:val="14"/>
        <w:spacing w:before="0" w:beforeAutospacing="0" w:after="0" w:afterAutospacing="0" w:line="312" w:lineRule="auto"/>
        <w:ind w:firstLine="420" w:firstLineChars="200"/>
        <w:rPr>
          <w:rFonts w:ascii="宋体" w:hAnsi="宋体" w:cs="宋体"/>
          <w:color w:val="auto"/>
          <w:kern w:val="24"/>
          <w:szCs w:val="21"/>
          <w:highlight w:val="none"/>
        </w:rPr>
      </w:pPr>
      <w:r>
        <w:rPr>
          <w:rFonts w:hint="eastAsia" w:ascii="宋体" w:hAnsi="宋体" w:cs="宋体"/>
          <w:color w:val="auto"/>
          <w:kern w:val="24"/>
          <w:szCs w:val="21"/>
          <w:highlight w:val="none"/>
        </w:rPr>
        <w:t>（2）买卖双方及招标人委托的验收参与人员初步清点时，若发现存在数量、规格型号、产地、质量等级、尺寸、颜色、铭牌参数、包装及标识完整、完好程度、交货资料方面不合格情况的，招标人有权拒收、部分拒收、退货、部分退货直至解除本合同，并向中标人索赔因此造成的损失。</w:t>
      </w:r>
    </w:p>
    <w:p>
      <w:pPr>
        <w:pStyle w:val="74"/>
        <w:spacing w:line="312" w:lineRule="auto"/>
        <w:ind w:firstLine="420"/>
        <w:rPr>
          <w:color w:val="auto"/>
          <w:spacing w:val="0"/>
          <w:sz w:val="21"/>
          <w:szCs w:val="21"/>
          <w:highlight w:val="none"/>
        </w:rPr>
      </w:pPr>
      <w:r>
        <w:rPr>
          <w:rFonts w:hint="eastAsia"/>
          <w:color w:val="auto"/>
          <w:sz w:val="21"/>
          <w:szCs w:val="21"/>
          <w:highlight w:val="none"/>
        </w:rPr>
        <w:t>5.4</w:t>
      </w:r>
      <w:r>
        <w:rPr>
          <w:rFonts w:hint="eastAsia"/>
          <w:color w:val="auto"/>
          <w:spacing w:val="0"/>
          <w:sz w:val="21"/>
          <w:szCs w:val="21"/>
          <w:highlight w:val="none"/>
        </w:rPr>
        <w:t>中标人交货前应按合同规定的检验方法，作出全面检测，其记录附在质量证明书内。但有关质量、规格、性能、数量或重量的检验不应视为最终检验。中标人检验的结果和详细要求应在质量说明书中加以说明。</w:t>
      </w:r>
    </w:p>
    <w:p>
      <w:pPr>
        <w:pStyle w:val="74"/>
        <w:spacing w:line="312" w:lineRule="auto"/>
        <w:ind w:firstLine="420"/>
        <w:rPr>
          <w:color w:val="auto"/>
          <w:spacing w:val="0"/>
          <w:sz w:val="21"/>
          <w:szCs w:val="21"/>
          <w:highlight w:val="none"/>
        </w:rPr>
      </w:pPr>
      <w:r>
        <w:rPr>
          <w:rFonts w:hint="eastAsia"/>
          <w:color w:val="auto"/>
          <w:sz w:val="21"/>
          <w:szCs w:val="21"/>
          <w:highlight w:val="none"/>
        </w:rPr>
        <w:t>5.5</w:t>
      </w:r>
      <w:r>
        <w:rPr>
          <w:rFonts w:hint="eastAsia"/>
          <w:color w:val="auto"/>
          <w:spacing w:val="0"/>
          <w:sz w:val="21"/>
          <w:szCs w:val="21"/>
          <w:highlight w:val="none"/>
        </w:rPr>
        <w:t>系统的指导安装、调试结束后，并经有关部门的检验合格或按国家相关标准验收合格后，买卖双方共同签署验收合格证书。</w:t>
      </w:r>
    </w:p>
    <w:p>
      <w:pPr>
        <w:pStyle w:val="74"/>
        <w:spacing w:line="312" w:lineRule="auto"/>
        <w:ind w:firstLine="420"/>
        <w:rPr>
          <w:color w:val="auto"/>
          <w:spacing w:val="0"/>
          <w:sz w:val="21"/>
          <w:szCs w:val="21"/>
          <w:highlight w:val="none"/>
        </w:rPr>
      </w:pPr>
      <w:r>
        <w:rPr>
          <w:rFonts w:hint="eastAsia"/>
          <w:color w:val="auto"/>
          <w:sz w:val="21"/>
          <w:szCs w:val="21"/>
          <w:highlight w:val="none"/>
        </w:rPr>
        <w:t>5.6</w:t>
      </w:r>
      <w:r>
        <w:rPr>
          <w:rFonts w:hint="eastAsia"/>
          <w:color w:val="auto"/>
          <w:spacing w:val="0"/>
          <w:sz w:val="21"/>
          <w:szCs w:val="21"/>
          <w:highlight w:val="none"/>
        </w:rPr>
        <w:t>其中中标人认为的重要部件不论何时（验收时或日后维修时）发现不符投标文件中的型号规格，均将承担违约责任。中标人必须更换与招标文件相一致的部件并承诺包括安装在内的一切费用和相关责任。所有招标人认为的重要部件和零件的必须提供相应的证明材料，供货时如为进口部件需提供原装原产地五大单据（原产地当局出具的原产地证书正本、原产地出厂合格证正本、原产地装船单正本、中国海关报关证明文件防拷贝复印件、中国商检检验合格证明文件正本）。</w:t>
      </w:r>
    </w:p>
    <w:p>
      <w:pPr>
        <w:pStyle w:val="74"/>
        <w:spacing w:line="312" w:lineRule="auto"/>
        <w:ind w:firstLine="420"/>
        <w:rPr>
          <w:color w:val="auto"/>
          <w:spacing w:val="0"/>
          <w:sz w:val="21"/>
          <w:szCs w:val="21"/>
          <w:highlight w:val="none"/>
        </w:rPr>
      </w:pPr>
      <w:r>
        <w:rPr>
          <w:rFonts w:hint="eastAsia"/>
          <w:color w:val="auto"/>
          <w:sz w:val="21"/>
          <w:szCs w:val="21"/>
          <w:highlight w:val="none"/>
        </w:rPr>
        <w:t>5.7</w:t>
      </w:r>
      <w:r>
        <w:rPr>
          <w:rFonts w:hint="eastAsia"/>
          <w:color w:val="auto"/>
          <w:spacing w:val="0"/>
          <w:sz w:val="21"/>
          <w:szCs w:val="21"/>
          <w:highlight w:val="none"/>
        </w:rPr>
        <w:t>中标人需向招标人移交招投标文件所列的备品备件、维修工具（该备品备件不作为保修期内所使用的维保耗材）。</w:t>
      </w:r>
    </w:p>
    <w:p>
      <w:pPr>
        <w:pStyle w:val="74"/>
        <w:spacing w:line="312" w:lineRule="auto"/>
        <w:ind w:firstLine="357"/>
        <w:rPr>
          <w:color w:val="auto"/>
          <w:spacing w:val="0"/>
          <w:sz w:val="21"/>
          <w:szCs w:val="21"/>
          <w:highlight w:val="none"/>
        </w:rPr>
      </w:pPr>
      <w:r>
        <w:rPr>
          <w:rFonts w:hint="eastAsia"/>
          <w:color w:val="auto"/>
          <w:sz w:val="21"/>
          <w:szCs w:val="21"/>
          <w:highlight w:val="none"/>
        </w:rPr>
        <w:t>5.8招标人有权派出专业人员赴中标人生产厂地进行设计联络和现场监造，如在现场建造中发现技术指标不能满足招标文件和投标文件承诺要求的，招标人有权拒付货款或解除合同。</w:t>
      </w:r>
    </w:p>
    <w:p>
      <w:pPr>
        <w:snapToGrid w:val="0"/>
        <w:spacing w:line="312"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5.9双方对工程、货物或服务的质量有争议的，由双方同意的专业检测机构鉴定，所需费用及因此造成的损失由责任方承担，双方均有责任的，双方根据其责任分别承担。</w:t>
      </w:r>
    </w:p>
    <w:p>
      <w:pPr>
        <w:spacing w:line="312" w:lineRule="auto"/>
        <w:jc w:val="left"/>
        <w:rPr>
          <w:rFonts w:ascii="宋体" w:hAnsi="宋体" w:cs="宋体"/>
          <w:b/>
          <w:color w:val="auto"/>
          <w:szCs w:val="21"/>
          <w:highlight w:val="none"/>
        </w:rPr>
      </w:pPr>
      <w:r>
        <w:rPr>
          <w:rFonts w:hint="eastAsia" w:ascii="宋体" w:hAnsi="宋体" w:cs="宋体"/>
          <w:b/>
          <w:color w:val="auto"/>
          <w:szCs w:val="21"/>
          <w:highlight w:val="none"/>
        </w:rPr>
        <w:t>6、包装及标志</w:t>
      </w:r>
    </w:p>
    <w:p>
      <w:pPr>
        <w:spacing w:line="312"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6.1</w:t>
      </w:r>
      <w:r>
        <w:rPr>
          <w:rFonts w:hint="eastAsia" w:ascii="宋体" w:hAnsi="宋体" w:cs="宋体"/>
          <w:color w:val="auto"/>
          <w:szCs w:val="21"/>
          <w:highlight w:val="none"/>
          <w:lang w:eastAsia="zh-CN"/>
        </w:rPr>
        <w:t>中标人</w:t>
      </w:r>
      <w:r>
        <w:rPr>
          <w:rFonts w:hint="eastAsia" w:ascii="宋体" w:hAnsi="宋体" w:cs="宋体"/>
          <w:color w:val="auto"/>
          <w:szCs w:val="21"/>
          <w:highlight w:val="none"/>
        </w:rPr>
        <w:t>提供的货物，应按规定进行包装，执行货物出厂标准；并保证所供产品完整无损及安全，包装应适合长途运输的要求，包装材料不回收，因包装不良造成货物损毁、生锈、灭失的，以及由此而发生的一切费用，均由中标人自行负责。</w:t>
      </w:r>
    </w:p>
    <w:p>
      <w:pPr>
        <w:tabs>
          <w:tab w:val="left" w:pos="8008"/>
        </w:tabs>
        <w:spacing w:line="312"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6.2包装箱的尺寸和重量，应符合交通运输部门的要求。</w:t>
      </w:r>
    </w:p>
    <w:p>
      <w:pPr>
        <w:tabs>
          <w:tab w:val="left" w:pos="8008"/>
        </w:tabs>
        <w:spacing w:line="312"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6.3在每一包装箱内应附有一份详细的货物清单和质量合格证，设备均应有使用说明书和必要的组装图等技术资料。</w:t>
      </w:r>
    </w:p>
    <w:p>
      <w:pPr>
        <w:tabs>
          <w:tab w:val="left" w:pos="8008"/>
        </w:tabs>
        <w:spacing w:line="312"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6.4包装箱应有明显的包装编号和起吊部位标志，组装件应有明显的组对标志。</w:t>
      </w:r>
    </w:p>
    <w:p>
      <w:pPr>
        <w:tabs>
          <w:tab w:val="left" w:pos="8008"/>
        </w:tabs>
        <w:spacing w:line="312"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6.5根据货物的特点和运输的要求，中标人应在包装件清楚的标记“小心轻放”、“防潮”、“正面朝上”和其他适当的标志。</w:t>
      </w:r>
    </w:p>
    <w:p>
      <w:pPr>
        <w:tabs>
          <w:tab w:val="left" w:pos="8008"/>
        </w:tabs>
        <w:spacing w:line="312" w:lineRule="auto"/>
        <w:ind w:firstLine="315" w:firstLineChars="150"/>
        <w:jc w:val="left"/>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rPr>
        <w:t>6.6</w:t>
      </w:r>
      <w:r>
        <w:rPr>
          <w:rFonts w:hint="eastAsia" w:ascii="宋体" w:hAnsi="宋体" w:eastAsia="宋体" w:cs="宋体"/>
          <w:color w:val="auto"/>
          <w:sz w:val="21"/>
          <w:szCs w:val="21"/>
          <w:highlight w:val="none"/>
        </w:rPr>
        <w:t>根据《绍兴市柴油动力移动源排气污染防治办法》第九条、第十三条的规定，</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rPr>
        <w:t>在合同实施过程中使用的柴油动力移动源（柴油货车、非道路移动机械）必须符合低排放要求并已向生态环境部门申领绿色编码，在进入作业现场前须如实向</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登记报备绿色编码，未申领绿色编码的柴油动力移动源不得进入作业现场施工。在作业现场发现有未申领绿色编码的柴油动力移动源或者未如实进行绿色编码报备的，认定</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rPr>
        <w:t>违约，按照本合同违约条款承担相应违约责任。</w:t>
      </w:r>
    </w:p>
    <w:p>
      <w:pPr>
        <w:spacing w:line="312" w:lineRule="auto"/>
        <w:jc w:val="left"/>
        <w:rPr>
          <w:rFonts w:ascii="宋体" w:hAnsi="宋体" w:cs="宋体"/>
          <w:b/>
          <w:color w:val="auto"/>
          <w:szCs w:val="21"/>
          <w:highlight w:val="none"/>
        </w:rPr>
      </w:pPr>
      <w:r>
        <w:rPr>
          <w:rFonts w:hint="eastAsia" w:ascii="宋体" w:hAnsi="宋体" w:cs="宋体"/>
          <w:b/>
          <w:color w:val="auto"/>
          <w:szCs w:val="21"/>
          <w:highlight w:val="none"/>
        </w:rPr>
        <w:t>7、随机产品</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7.1若为成套供应的产品，应列明成套供应产品的范围及明细作为合同附件；</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7.2合同产品含随机辅机、附件、损耗备品、配件和安装修理工具的，应列明供货明细清单，作为合同附件。</w:t>
      </w:r>
    </w:p>
    <w:p>
      <w:pPr>
        <w:spacing w:line="312" w:lineRule="auto"/>
        <w:jc w:val="left"/>
        <w:rPr>
          <w:rFonts w:ascii="宋体" w:hAnsi="宋体" w:cs="宋体"/>
          <w:b/>
          <w:color w:val="auto"/>
          <w:szCs w:val="21"/>
          <w:highlight w:val="none"/>
        </w:rPr>
      </w:pPr>
      <w:r>
        <w:rPr>
          <w:rFonts w:hint="eastAsia" w:ascii="宋体" w:hAnsi="宋体" w:cs="宋体"/>
          <w:b/>
          <w:color w:val="auto"/>
          <w:szCs w:val="21"/>
          <w:highlight w:val="none"/>
        </w:rPr>
        <w:t>8、保险</w:t>
      </w:r>
    </w:p>
    <w:p>
      <w:pPr>
        <w:spacing w:line="312"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货物装运后由中标人办理保险，其费用由中标人支付。</w:t>
      </w:r>
    </w:p>
    <w:p>
      <w:pPr>
        <w:spacing w:line="312" w:lineRule="auto"/>
        <w:jc w:val="left"/>
        <w:rPr>
          <w:rFonts w:ascii="宋体" w:hAnsi="宋体" w:cs="宋体"/>
          <w:b/>
          <w:color w:val="auto"/>
          <w:szCs w:val="21"/>
          <w:highlight w:val="none"/>
        </w:rPr>
      </w:pPr>
      <w:r>
        <w:rPr>
          <w:rFonts w:hint="eastAsia" w:ascii="宋体" w:hAnsi="宋体" w:cs="宋体"/>
          <w:b/>
          <w:color w:val="auto"/>
          <w:szCs w:val="21"/>
          <w:highlight w:val="none"/>
        </w:rPr>
        <w:t>9、质量</w:t>
      </w:r>
    </w:p>
    <w:p>
      <w:pPr>
        <w:tabs>
          <w:tab w:val="left" w:pos="8008"/>
        </w:tabs>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9.1中标人应严格按照制造图纸、技术要求和国家、部（专业）有关标准生产和检验，确保产品质量。并且完全符合合同规定的质量、规格和性能的要求，并保证产品是全新的、未使用过的。是用最佳工艺和材料制造而成，并提供质量保证期。</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9.2中标人保证材料经正确安装、正常运转和保养在其使用寿命内应具有满意的性能。</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9.3对材料质量应按国家、行业颁布的质量标准或验收规范和设计要求进行验收。材料安装后，参加招标人组织的最终验收工作。</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9.4在材料验收后的质量保证期内，如因招标人使用不当和保管不善造成的问题，中标人应配合解决，但费用由招标人负担。</w:t>
      </w:r>
    </w:p>
    <w:p>
      <w:pPr>
        <w:pStyle w:val="64"/>
        <w:spacing w:beforeLines="0" w:afterLines="0" w:line="312" w:lineRule="auto"/>
        <w:rPr>
          <w:rFonts w:ascii="宋体" w:hAnsi="宋体"/>
          <w:color w:val="auto"/>
          <w:szCs w:val="21"/>
          <w:highlight w:val="none"/>
        </w:rPr>
      </w:pPr>
      <w:r>
        <w:rPr>
          <w:rFonts w:hint="eastAsia" w:ascii="宋体" w:hAnsi="宋体"/>
          <w:color w:val="auto"/>
          <w:szCs w:val="21"/>
          <w:highlight w:val="none"/>
        </w:rPr>
        <w:t>10、安装调试</w:t>
      </w:r>
    </w:p>
    <w:p>
      <w:pPr>
        <w:pStyle w:val="66"/>
        <w:spacing w:line="312" w:lineRule="auto"/>
        <w:ind w:firstLine="444"/>
        <w:rPr>
          <w:rFonts w:cs="宋体"/>
          <w:color w:val="auto"/>
          <w:spacing w:val="0"/>
          <w:sz w:val="21"/>
          <w:szCs w:val="21"/>
          <w:highlight w:val="none"/>
        </w:rPr>
      </w:pPr>
      <w:r>
        <w:rPr>
          <w:rFonts w:hint="eastAsia" w:cs="宋体"/>
          <w:color w:val="auto"/>
          <w:sz w:val="21"/>
          <w:szCs w:val="21"/>
          <w:highlight w:val="none"/>
        </w:rPr>
        <w:t>10.1跟踪安装及</w:t>
      </w:r>
      <w:r>
        <w:rPr>
          <w:rFonts w:hint="eastAsia" w:cs="宋体"/>
          <w:color w:val="auto"/>
          <w:spacing w:val="0"/>
          <w:sz w:val="21"/>
          <w:szCs w:val="21"/>
          <w:highlight w:val="none"/>
        </w:rPr>
        <w:t>指导安装</w:t>
      </w:r>
      <w:r>
        <w:rPr>
          <w:rFonts w:hint="eastAsia" w:cs="宋体"/>
          <w:color w:val="auto"/>
          <w:sz w:val="21"/>
          <w:szCs w:val="21"/>
          <w:highlight w:val="none"/>
        </w:rPr>
        <w:t>调试</w:t>
      </w:r>
      <w:r>
        <w:rPr>
          <w:rFonts w:hint="eastAsia" w:cs="宋体"/>
          <w:color w:val="auto"/>
          <w:spacing w:val="0"/>
          <w:sz w:val="21"/>
          <w:szCs w:val="21"/>
          <w:highlight w:val="none"/>
        </w:rPr>
        <w:t>是作为本合同内容的一部分，不再签复其他协议；接到招标人书面通知后，中标人应按照通知指定日期派员免费赶赴安装现场对设备安装进行</w:t>
      </w:r>
      <w:r>
        <w:rPr>
          <w:rFonts w:hint="eastAsia" w:cs="宋体"/>
          <w:color w:val="auto"/>
          <w:sz w:val="21"/>
          <w:szCs w:val="21"/>
          <w:highlight w:val="none"/>
        </w:rPr>
        <w:t>跟踪及</w:t>
      </w:r>
      <w:r>
        <w:rPr>
          <w:rFonts w:hint="eastAsia" w:cs="宋体"/>
          <w:color w:val="auto"/>
          <w:spacing w:val="0"/>
          <w:sz w:val="21"/>
          <w:szCs w:val="21"/>
          <w:highlight w:val="none"/>
        </w:rPr>
        <w:t>指导。</w:t>
      </w:r>
    </w:p>
    <w:p>
      <w:pPr>
        <w:pStyle w:val="66"/>
        <w:spacing w:line="312" w:lineRule="auto"/>
        <w:ind w:firstLine="444"/>
        <w:rPr>
          <w:rFonts w:cs="宋体"/>
          <w:color w:val="auto"/>
          <w:spacing w:val="0"/>
          <w:sz w:val="21"/>
          <w:szCs w:val="21"/>
          <w:highlight w:val="none"/>
        </w:rPr>
      </w:pPr>
      <w:r>
        <w:rPr>
          <w:rFonts w:hint="eastAsia" w:cs="宋体"/>
          <w:color w:val="auto"/>
          <w:sz w:val="21"/>
          <w:szCs w:val="21"/>
          <w:highlight w:val="none"/>
        </w:rPr>
        <w:t>10.2</w:t>
      </w:r>
      <w:r>
        <w:rPr>
          <w:rFonts w:hint="eastAsia" w:cs="宋体"/>
          <w:color w:val="auto"/>
          <w:spacing w:val="0"/>
          <w:sz w:val="21"/>
          <w:szCs w:val="21"/>
          <w:highlight w:val="none"/>
        </w:rPr>
        <w:t>安装施工过程中，中标人对设备安装进行</w:t>
      </w:r>
      <w:r>
        <w:rPr>
          <w:rFonts w:hint="eastAsia" w:cs="宋体"/>
          <w:color w:val="auto"/>
          <w:sz w:val="21"/>
          <w:szCs w:val="21"/>
          <w:highlight w:val="none"/>
        </w:rPr>
        <w:t>跟踪及</w:t>
      </w:r>
      <w:r>
        <w:rPr>
          <w:rFonts w:hint="eastAsia" w:cs="宋体"/>
          <w:color w:val="auto"/>
          <w:spacing w:val="0"/>
          <w:sz w:val="21"/>
          <w:szCs w:val="21"/>
          <w:highlight w:val="none"/>
        </w:rPr>
        <w:t>指导时，应委派技术人员参与检查有关设备安装部位的施工，如发现可能影响今后设备安装情况的，应及时向招标人反映相关情况，以防止在实际安装时出现土建施工等不符合设备安装要求。如中标人未及时发现相应情况的，则在实际安装过程中额外发生的土建返工和设备安装工期延误等责任均由中标人承担。</w:t>
      </w:r>
    </w:p>
    <w:p>
      <w:pPr>
        <w:spacing w:line="312" w:lineRule="auto"/>
        <w:ind w:firstLine="420" w:firstLineChars="200"/>
        <w:jc w:val="left"/>
        <w:rPr>
          <w:rFonts w:ascii="宋体" w:hAnsi="宋体" w:cs="宋体"/>
          <w:color w:val="auto"/>
          <w:kern w:val="24"/>
          <w:szCs w:val="21"/>
          <w:highlight w:val="none"/>
        </w:rPr>
      </w:pPr>
      <w:r>
        <w:rPr>
          <w:rFonts w:hint="eastAsia" w:ascii="宋体" w:hAnsi="宋体" w:cs="宋体"/>
          <w:color w:val="auto"/>
          <w:szCs w:val="21"/>
          <w:highlight w:val="none"/>
        </w:rPr>
        <w:t>10.3</w:t>
      </w:r>
      <w:r>
        <w:rPr>
          <w:rFonts w:hint="eastAsia" w:ascii="宋体" w:hAnsi="宋体" w:cs="宋体"/>
          <w:color w:val="auto"/>
          <w:kern w:val="24"/>
          <w:szCs w:val="21"/>
          <w:highlight w:val="none"/>
        </w:rPr>
        <w:t>设备的制作与组装就位及调试由</w:t>
      </w:r>
      <w:r>
        <w:rPr>
          <w:rFonts w:hint="eastAsia" w:ascii="宋体" w:hAnsi="宋体" w:cs="宋体"/>
          <w:color w:val="auto"/>
          <w:szCs w:val="21"/>
          <w:highlight w:val="none"/>
        </w:rPr>
        <w:t>中标人</w:t>
      </w:r>
      <w:r>
        <w:rPr>
          <w:rFonts w:hint="eastAsia" w:ascii="宋体" w:hAnsi="宋体" w:cs="宋体"/>
          <w:color w:val="auto"/>
          <w:kern w:val="24"/>
          <w:szCs w:val="21"/>
          <w:highlight w:val="none"/>
        </w:rPr>
        <w:t>全权负责，但就位及调试的单位需具备与本项目设备制作与组装就位及调试相适应的施工资格条件。</w:t>
      </w:r>
    </w:p>
    <w:p>
      <w:pPr>
        <w:pStyle w:val="67"/>
        <w:snapToGrid w:val="0"/>
        <w:spacing w:line="312" w:lineRule="auto"/>
        <w:ind w:firstLine="422" w:firstLineChars="200"/>
        <w:rPr>
          <w:rFonts w:ascii="宋体" w:hAnsi="宋体" w:cs="宋体"/>
          <w:b/>
          <w:bCs/>
          <w:color w:val="auto"/>
          <w:kern w:val="24"/>
          <w:sz w:val="21"/>
          <w:szCs w:val="21"/>
          <w:highlight w:val="none"/>
          <w:lang w:eastAsia="zh-CN"/>
        </w:rPr>
      </w:pPr>
      <w:r>
        <w:rPr>
          <w:rFonts w:hint="eastAsia" w:ascii="宋体" w:hAnsi="宋体" w:cs="宋体"/>
          <w:b/>
          <w:bCs/>
          <w:color w:val="auto"/>
          <w:sz w:val="21"/>
          <w:szCs w:val="21"/>
          <w:highlight w:val="none"/>
          <w:lang w:eastAsia="zh-CN"/>
        </w:rPr>
        <w:t>10.4</w:t>
      </w:r>
      <w:r>
        <w:rPr>
          <w:rFonts w:hint="eastAsia" w:ascii="宋体" w:hAnsi="宋体" w:cs="宋体"/>
          <w:b/>
          <w:bCs/>
          <w:color w:val="auto"/>
          <w:kern w:val="24"/>
          <w:sz w:val="21"/>
          <w:szCs w:val="21"/>
          <w:highlight w:val="none"/>
          <w:lang w:eastAsia="zh-CN"/>
        </w:rPr>
        <w:t>球墨铸铁管道安装时，中标人可按施工方要求进行全程技术指导,如施工方不服从中标人指导或未按要求施工时,中标人应及时向招标人提出。如施工方不按要求施工，胶圈损坏超出合同5%余量部分由施工方负责；如因中标人指导安装不到位或因胶圈本身配套问题而损坏的胶圈，一律由中标人承担。如因胶圈问题造成试压无法合格时所有损失和责任由中标人负责。</w:t>
      </w:r>
    </w:p>
    <w:p>
      <w:pPr>
        <w:pStyle w:val="67"/>
        <w:spacing w:line="312" w:lineRule="auto"/>
        <w:ind w:firstLine="442"/>
        <w:rPr>
          <w:rFonts w:ascii="宋体" w:hAnsi="宋体" w:cs="宋体"/>
          <w:b/>
          <w:color w:val="auto"/>
          <w:highlight w:val="none"/>
          <w:lang w:eastAsia="zh-CN"/>
        </w:rPr>
      </w:pPr>
      <w:r>
        <w:rPr>
          <w:rFonts w:hint="eastAsia" w:ascii="宋体" w:hAnsi="宋体" w:cs="宋体"/>
          <w:b/>
          <w:color w:val="auto"/>
          <w:highlight w:val="none"/>
          <w:lang w:eastAsia="zh-CN"/>
        </w:rPr>
        <w:t>11、技术资料</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 xml:space="preserve">   合同签订后15日之内，中标人应正式提供前期施工设计所需设备基础图及土建、工艺、电气、自控相关技术文件。如包括安装需提供施工方案并加盖公章或由</w:t>
      </w:r>
      <w:r>
        <w:rPr>
          <w:rFonts w:hint="eastAsia" w:ascii="宋体" w:hAnsi="宋体" w:cs="宋体"/>
          <w:color w:val="auto"/>
          <w:szCs w:val="21"/>
          <w:highlight w:val="none"/>
          <w:lang w:eastAsia="zh-CN"/>
        </w:rPr>
        <w:t>中</w:t>
      </w:r>
      <w:r>
        <w:rPr>
          <w:rFonts w:hint="eastAsia" w:ascii="宋体" w:hAnsi="宋体" w:cs="宋体"/>
          <w:color w:val="auto"/>
          <w:szCs w:val="21"/>
          <w:highlight w:val="none"/>
        </w:rPr>
        <w:t>标人授权代表签字确认。中标人应随机提供产品样本、合格证、设备安装图、电气控制图、使用说明书、维修手册、性能测试报告及有关技术资料。</w:t>
      </w:r>
    </w:p>
    <w:p>
      <w:pPr>
        <w:pStyle w:val="65"/>
        <w:spacing w:line="312" w:lineRule="auto"/>
        <w:ind w:firstLine="0"/>
        <w:rPr>
          <w:rFonts w:ascii="宋体" w:hAnsi="宋体"/>
          <w:color w:val="auto"/>
          <w:spacing w:val="0"/>
          <w:szCs w:val="21"/>
          <w:highlight w:val="none"/>
        </w:rPr>
      </w:pPr>
      <w:r>
        <w:rPr>
          <w:rFonts w:hint="eastAsia" w:ascii="宋体" w:hAnsi="宋体"/>
          <w:color w:val="auto"/>
          <w:szCs w:val="21"/>
          <w:highlight w:val="none"/>
        </w:rPr>
        <w:t xml:space="preserve">   11.1</w:t>
      </w:r>
      <w:r>
        <w:rPr>
          <w:rFonts w:hint="eastAsia" w:ascii="宋体" w:hAnsi="宋体"/>
          <w:color w:val="auto"/>
          <w:spacing w:val="0"/>
          <w:szCs w:val="21"/>
          <w:highlight w:val="none"/>
        </w:rPr>
        <w:t>合同生效后10天内中标人必须与招标人和设计单位沟通，并递交施工图。同时，中标人应在前述期限内将每台设备和仪器的中文技术资料一套，如目录索引、图纸、技术说明书、操作手册、使用指南、维修指南、服务手册和示意图等交付招标人。</w:t>
      </w:r>
    </w:p>
    <w:p>
      <w:pPr>
        <w:pStyle w:val="65"/>
        <w:spacing w:line="312" w:lineRule="auto"/>
        <w:ind w:firstLine="0"/>
        <w:rPr>
          <w:rFonts w:ascii="宋体" w:hAnsi="宋体"/>
          <w:color w:val="auto"/>
          <w:spacing w:val="0"/>
          <w:szCs w:val="21"/>
          <w:highlight w:val="none"/>
        </w:rPr>
      </w:pPr>
      <w:r>
        <w:rPr>
          <w:rFonts w:hint="eastAsia" w:ascii="宋体" w:hAnsi="宋体"/>
          <w:color w:val="auto"/>
          <w:spacing w:val="0"/>
          <w:szCs w:val="21"/>
          <w:highlight w:val="none"/>
        </w:rPr>
        <w:t xml:space="preserve">   </w:t>
      </w:r>
      <w:r>
        <w:rPr>
          <w:rFonts w:hint="eastAsia" w:ascii="宋体" w:hAnsi="宋体"/>
          <w:color w:val="auto"/>
          <w:szCs w:val="21"/>
          <w:highlight w:val="none"/>
        </w:rPr>
        <w:t>11.2</w:t>
      </w:r>
      <w:r>
        <w:rPr>
          <w:rFonts w:hint="eastAsia" w:ascii="宋体" w:hAnsi="宋体"/>
          <w:color w:val="auto"/>
          <w:spacing w:val="0"/>
          <w:szCs w:val="21"/>
          <w:highlight w:val="none"/>
        </w:rPr>
        <w:t>另外一套完整的上述资料应包装好随同每批货物一起发运。</w:t>
      </w:r>
    </w:p>
    <w:p>
      <w:pPr>
        <w:pStyle w:val="65"/>
        <w:spacing w:line="312" w:lineRule="auto"/>
        <w:ind w:firstLine="0"/>
        <w:rPr>
          <w:rFonts w:ascii="宋体" w:hAnsi="宋体"/>
          <w:color w:val="auto"/>
          <w:spacing w:val="0"/>
          <w:szCs w:val="21"/>
          <w:highlight w:val="none"/>
        </w:rPr>
      </w:pPr>
      <w:r>
        <w:rPr>
          <w:rFonts w:hint="eastAsia" w:ascii="宋体" w:hAnsi="宋体"/>
          <w:color w:val="auto"/>
          <w:spacing w:val="0"/>
          <w:szCs w:val="21"/>
          <w:highlight w:val="none"/>
        </w:rPr>
        <w:t xml:space="preserve">   </w:t>
      </w:r>
      <w:r>
        <w:rPr>
          <w:rFonts w:hint="eastAsia" w:ascii="宋体" w:hAnsi="宋体"/>
          <w:color w:val="auto"/>
          <w:szCs w:val="21"/>
          <w:highlight w:val="none"/>
        </w:rPr>
        <w:t>11.3</w:t>
      </w:r>
      <w:r>
        <w:rPr>
          <w:rFonts w:hint="eastAsia" w:ascii="宋体" w:hAnsi="宋体"/>
          <w:color w:val="auto"/>
          <w:spacing w:val="0"/>
          <w:szCs w:val="21"/>
          <w:highlight w:val="none"/>
        </w:rPr>
        <w:t>设备交货时中标人向招标人提供下列技术资料、图纸和文件：</w:t>
      </w:r>
    </w:p>
    <w:p>
      <w:pPr>
        <w:pStyle w:val="8"/>
        <w:numPr>
          <w:ilvl w:val="0"/>
          <w:numId w:val="7"/>
        </w:numPr>
        <w:tabs>
          <w:tab w:val="left" w:pos="709"/>
          <w:tab w:val="left" w:pos="1080"/>
          <w:tab w:val="clear" w:pos="1680"/>
        </w:tabs>
        <w:spacing w:line="312" w:lineRule="auto"/>
        <w:ind w:left="0" w:firstLine="720" w:firstLineChars="0"/>
        <w:rPr>
          <w:rFonts w:ascii="宋体" w:hAnsi="宋体" w:cs="宋体"/>
          <w:color w:val="auto"/>
          <w:szCs w:val="21"/>
          <w:highlight w:val="none"/>
        </w:rPr>
      </w:pPr>
      <w:r>
        <w:rPr>
          <w:rFonts w:hint="eastAsia" w:ascii="宋体" w:hAnsi="宋体" w:cs="宋体"/>
          <w:color w:val="auto"/>
          <w:szCs w:val="21"/>
          <w:highlight w:val="none"/>
        </w:rPr>
        <w:t>产品合格证或质量检验证书；</w:t>
      </w:r>
    </w:p>
    <w:p>
      <w:pPr>
        <w:pStyle w:val="8"/>
        <w:numPr>
          <w:ilvl w:val="0"/>
          <w:numId w:val="7"/>
        </w:numPr>
        <w:tabs>
          <w:tab w:val="left" w:pos="709"/>
          <w:tab w:val="left" w:pos="1080"/>
          <w:tab w:val="clear" w:pos="1680"/>
        </w:tabs>
        <w:spacing w:line="312" w:lineRule="auto"/>
        <w:ind w:left="0" w:firstLine="720" w:firstLineChars="0"/>
        <w:rPr>
          <w:rFonts w:ascii="宋体" w:hAnsi="宋体" w:cs="宋体"/>
          <w:color w:val="auto"/>
          <w:szCs w:val="21"/>
          <w:highlight w:val="none"/>
        </w:rPr>
      </w:pPr>
      <w:r>
        <w:rPr>
          <w:rFonts w:hint="eastAsia" w:ascii="宋体" w:hAnsi="宋体" w:cs="宋体"/>
          <w:color w:val="auto"/>
          <w:szCs w:val="21"/>
          <w:highlight w:val="none"/>
        </w:rPr>
        <w:t>设备安装图、电气和仪表系统原理图、接线图；</w:t>
      </w:r>
    </w:p>
    <w:p>
      <w:pPr>
        <w:pStyle w:val="8"/>
        <w:numPr>
          <w:ilvl w:val="0"/>
          <w:numId w:val="7"/>
        </w:numPr>
        <w:tabs>
          <w:tab w:val="left" w:pos="709"/>
          <w:tab w:val="left" w:pos="1080"/>
          <w:tab w:val="clear" w:pos="1680"/>
        </w:tabs>
        <w:spacing w:line="312" w:lineRule="auto"/>
        <w:ind w:left="0" w:firstLine="720" w:firstLineChars="0"/>
        <w:rPr>
          <w:rFonts w:ascii="宋体" w:hAnsi="宋体" w:cs="宋体"/>
          <w:color w:val="auto"/>
          <w:szCs w:val="21"/>
          <w:highlight w:val="none"/>
        </w:rPr>
      </w:pPr>
      <w:r>
        <w:rPr>
          <w:rFonts w:hint="eastAsia" w:ascii="宋体" w:hAnsi="宋体" w:cs="宋体"/>
          <w:color w:val="auto"/>
          <w:szCs w:val="21"/>
          <w:highlight w:val="none"/>
        </w:rPr>
        <w:t>安装、使用、维护说明书或有关手册；</w:t>
      </w:r>
    </w:p>
    <w:p>
      <w:pPr>
        <w:pStyle w:val="8"/>
        <w:numPr>
          <w:ilvl w:val="0"/>
          <w:numId w:val="7"/>
        </w:numPr>
        <w:tabs>
          <w:tab w:val="left" w:pos="709"/>
          <w:tab w:val="left" w:pos="1080"/>
          <w:tab w:val="clear" w:pos="1680"/>
        </w:tabs>
        <w:spacing w:line="312" w:lineRule="auto"/>
        <w:ind w:left="0" w:firstLine="720" w:firstLineChars="0"/>
        <w:rPr>
          <w:rFonts w:ascii="宋体" w:hAnsi="宋体" w:cs="宋体"/>
          <w:color w:val="auto"/>
          <w:szCs w:val="21"/>
          <w:highlight w:val="none"/>
        </w:rPr>
      </w:pPr>
      <w:r>
        <w:rPr>
          <w:rFonts w:hint="eastAsia" w:ascii="宋体" w:hAnsi="宋体" w:cs="宋体"/>
          <w:color w:val="auto"/>
          <w:szCs w:val="21"/>
          <w:highlight w:val="none"/>
        </w:rPr>
        <w:t>易损件清单；</w:t>
      </w:r>
    </w:p>
    <w:p>
      <w:pPr>
        <w:pStyle w:val="8"/>
        <w:numPr>
          <w:ilvl w:val="0"/>
          <w:numId w:val="7"/>
        </w:numPr>
        <w:tabs>
          <w:tab w:val="left" w:pos="709"/>
          <w:tab w:val="left" w:pos="1080"/>
          <w:tab w:val="clear" w:pos="1680"/>
        </w:tabs>
        <w:spacing w:line="312" w:lineRule="auto"/>
        <w:ind w:left="0" w:firstLine="720" w:firstLineChars="0"/>
        <w:rPr>
          <w:rFonts w:ascii="宋体" w:hAnsi="宋体" w:cs="宋体"/>
          <w:color w:val="auto"/>
          <w:szCs w:val="21"/>
          <w:highlight w:val="none"/>
        </w:rPr>
      </w:pPr>
      <w:r>
        <w:rPr>
          <w:rFonts w:hint="eastAsia" w:ascii="宋体" w:hAnsi="宋体" w:cs="宋体"/>
          <w:color w:val="auto"/>
          <w:szCs w:val="21"/>
          <w:highlight w:val="none"/>
        </w:rPr>
        <w:t>备品备件和专用工具清单；</w:t>
      </w:r>
    </w:p>
    <w:p>
      <w:pPr>
        <w:pStyle w:val="8"/>
        <w:numPr>
          <w:ilvl w:val="0"/>
          <w:numId w:val="7"/>
        </w:numPr>
        <w:tabs>
          <w:tab w:val="left" w:pos="1080"/>
          <w:tab w:val="clear" w:pos="1680"/>
        </w:tabs>
        <w:spacing w:line="312" w:lineRule="auto"/>
        <w:ind w:left="0" w:firstLine="720" w:firstLineChars="0"/>
        <w:rPr>
          <w:rFonts w:ascii="宋体" w:hAnsi="宋体" w:cs="宋体"/>
          <w:color w:val="auto"/>
          <w:szCs w:val="21"/>
          <w:highlight w:val="none"/>
        </w:rPr>
      </w:pPr>
      <w:r>
        <w:rPr>
          <w:rFonts w:hint="eastAsia" w:ascii="宋体" w:hAnsi="宋体" w:cs="宋体"/>
          <w:color w:val="auto"/>
          <w:szCs w:val="21"/>
          <w:highlight w:val="none"/>
        </w:rPr>
        <w:t>中标人认为有必要提供的其他文件和技术资料。</w:t>
      </w:r>
    </w:p>
    <w:p>
      <w:pPr>
        <w:pStyle w:val="8"/>
        <w:numPr>
          <w:ilvl w:val="0"/>
          <w:numId w:val="7"/>
        </w:numPr>
        <w:tabs>
          <w:tab w:val="left" w:pos="1080"/>
          <w:tab w:val="clear" w:pos="1680"/>
        </w:tabs>
        <w:spacing w:line="312" w:lineRule="auto"/>
        <w:ind w:left="0" w:firstLine="720" w:firstLineChars="0"/>
        <w:rPr>
          <w:rFonts w:ascii="宋体" w:hAnsi="宋体" w:cs="宋体"/>
          <w:color w:val="auto"/>
          <w:szCs w:val="21"/>
          <w:highlight w:val="none"/>
        </w:rPr>
      </w:pPr>
      <w:r>
        <w:rPr>
          <w:rFonts w:hint="eastAsia" w:ascii="宋体" w:hAnsi="宋体" w:cs="宋体"/>
          <w:color w:val="auto"/>
          <w:szCs w:val="21"/>
          <w:highlight w:val="none"/>
        </w:rPr>
        <w:t>有进口部件和零件的必须提供进关的相应证明材料。</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11.4如果中标人提供的技术资料、图纸和文件等不完整或在运输过程中丢失，视为未按合同约定供货，中标人应在收到招标人通知后3天内将这些资料免费补交招标人，因此导致逾期交付的，由中标人承担相关的违约责任。</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11.5招标人有权根据管理需要，要求中标人提供电子版资料。</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11.6中标人现场服务人员的食宿及费用由中标人自理。</w:t>
      </w:r>
    </w:p>
    <w:p>
      <w:pPr>
        <w:spacing w:line="312" w:lineRule="auto"/>
        <w:jc w:val="left"/>
        <w:rPr>
          <w:rFonts w:ascii="宋体" w:hAnsi="宋体" w:cs="宋体"/>
          <w:b/>
          <w:color w:val="auto"/>
          <w:szCs w:val="21"/>
          <w:highlight w:val="none"/>
        </w:rPr>
      </w:pPr>
      <w:r>
        <w:rPr>
          <w:rFonts w:hint="eastAsia" w:ascii="宋体" w:hAnsi="宋体" w:cs="宋体"/>
          <w:b/>
          <w:color w:val="auto"/>
          <w:szCs w:val="21"/>
          <w:highlight w:val="none"/>
        </w:rPr>
        <w:t>12、质量保修及售后服务承诺</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12.1保修范围：所供产品范围。</w:t>
      </w:r>
    </w:p>
    <w:p>
      <w:pPr>
        <w:spacing w:line="312" w:lineRule="auto"/>
        <w:ind w:firstLine="420" w:firstLineChars="200"/>
        <w:jc w:val="left"/>
        <w:rPr>
          <w:rFonts w:ascii="宋体" w:hAnsi="宋体" w:cs="宋体"/>
          <w:color w:val="auto"/>
          <w:kern w:val="24"/>
          <w:szCs w:val="21"/>
          <w:highlight w:val="none"/>
        </w:rPr>
      </w:pPr>
      <w:r>
        <w:rPr>
          <w:rFonts w:hint="eastAsia" w:ascii="宋体" w:hAnsi="宋体" w:cs="宋体"/>
          <w:color w:val="auto"/>
          <w:kern w:val="24"/>
          <w:szCs w:val="21"/>
          <w:highlight w:val="none"/>
        </w:rPr>
        <w:t>12.2保修期限：</w:t>
      </w:r>
      <w:r>
        <w:rPr>
          <w:rFonts w:hint="eastAsia" w:ascii="宋体" w:hAnsi="宋体" w:cs="宋体"/>
          <w:b/>
          <w:bCs/>
          <w:color w:val="auto"/>
          <w:kern w:val="24"/>
          <w:szCs w:val="21"/>
          <w:highlight w:val="none"/>
        </w:rPr>
        <w:t>保修期限是指本项目整体竣工验收合格之日起</w:t>
      </w:r>
      <w:r>
        <w:rPr>
          <w:rFonts w:hint="eastAsia" w:ascii="宋体" w:hAnsi="宋体" w:cs="宋体"/>
          <w:b/>
          <w:bCs/>
          <w:color w:val="auto"/>
          <w:kern w:val="24"/>
          <w:szCs w:val="21"/>
          <w:highlight w:val="none"/>
          <w:u w:val="single"/>
        </w:rPr>
        <w:t>不少于2</w:t>
      </w:r>
      <w:r>
        <w:rPr>
          <w:rFonts w:hint="eastAsia" w:ascii="宋体" w:hAnsi="宋体" w:cs="宋体"/>
          <w:b/>
          <w:bCs/>
          <w:color w:val="auto"/>
          <w:kern w:val="24"/>
          <w:szCs w:val="21"/>
          <w:highlight w:val="none"/>
        </w:rPr>
        <w:t>年（合同签订时根据中标单位承诺的质保期填写）。</w:t>
      </w:r>
      <w:r>
        <w:rPr>
          <w:rFonts w:hint="eastAsia" w:ascii="宋体" w:hAnsi="宋体" w:cs="宋体"/>
          <w:color w:val="auto"/>
          <w:kern w:val="24"/>
          <w:szCs w:val="21"/>
          <w:highlight w:val="none"/>
        </w:rPr>
        <w:t>在此期限内发现质量问题，中标人在接到招标人的通知后规定时间内，应对合同产品进行维修或更换并顺延保修期，并免收人工和备件费。在紧急情况下，招标人可先行对产品进行维修或更换，产生的费用由中标人承担。</w:t>
      </w:r>
    </w:p>
    <w:p>
      <w:pPr>
        <w:pStyle w:val="74"/>
        <w:spacing w:line="312" w:lineRule="auto"/>
        <w:ind w:firstLine="444" w:firstLineChars="200"/>
        <w:rPr>
          <w:color w:val="auto"/>
          <w:spacing w:val="0"/>
          <w:sz w:val="21"/>
          <w:szCs w:val="21"/>
          <w:highlight w:val="none"/>
        </w:rPr>
      </w:pPr>
      <w:r>
        <w:rPr>
          <w:rFonts w:hint="eastAsia"/>
          <w:color w:val="auto"/>
          <w:sz w:val="21"/>
          <w:szCs w:val="21"/>
          <w:highlight w:val="none"/>
        </w:rPr>
        <w:t>12.3</w:t>
      </w:r>
      <w:r>
        <w:rPr>
          <w:rFonts w:hint="eastAsia"/>
          <w:color w:val="auto"/>
          <w:spacing w:val="0"/>
          <w:sz w:val="21"/>
          <w:szCs w:val="21"/>
          <w:highlight w:val="none"/>
        </w:rPr>
        <w:t>无论在质保期内还是质保期满后，一旦设备发生故障，而招标人无法自行排除时，在接到招标人通知后，中标人承诺4小时内到达现场并进行故障排除工作，一般故障在到达现场后2小时内排除，较大故障12小时内排除，重大故障24小时内排除，并及时提供备品备件。质保期内备品备件免费更换。质保期结束前免费对设备进行一次系统测试，并提供一次测试报告，免费更换润滑油一次。</w:t>
      </w:r>
    </w:p>
    <w:p>
      <w:pPr>
        <w:pStyle w:val="74"/>
        <w:spacing w:line="312" w:lineRule="auto"/>
        <w:ind w:firstLine="420" w:firstLineChars="200"/>
        <w:rPr>
          <w:color w:val="auto"/>
          <w:spacing w:val="0"/>
          <w:sz w:val="21"/>
          <w:szCs w:val="21"/>
          <w:highlight w:val="none"/>
        </w:rPr>
      </w:pPr>
      <w:r>
        <w:rPr>
          <w:rFonts w:hint="eastAsia"/>
          <w:color w:val="auto"/>
          <w:spacing w:val="0"/>
          <w:sz w:val="21"/>
          <w:szCs w:val="21"/>
          <w:highlight w:val="none"/>
        </w:rPr>
        <w:t>注：一般故障是指设备参数设置故障，需要对设备进行参数调整或者程序重新设置；较大故障是指设备非关键部位损坏，需要更换备品备件；重大故障是指设备核心部件损坏，需要更换核心部件。</w:t>
      </w:r>
    </w:p>
    <w:p>
      <w:pPr>
        <w:pStyle w:val="74"/>
        <w:spacing w:line="312" w:lineRule="auto"/>
        <w:ind w:firstLine="444" w:firstLineChars="200"/>
        <w:rPr>
          <w:color w:val="auto"/>
          <w:spacing w:val="0"/>
          <w:sz w:val="21"/>
          <w:szCs w:val="21"/>
          <w:highlight w:val="none"/>
        </w:rPr>
      </w:pPr>
      <w:r>
        <w:rPr>
          <w:rFonts w:hint="eastAsia"/>
          <w:color w:val="auto"/>
          <w:sz w:val="21"/>
          <w:szCs w:val="21"/>
          <w:highlight w:val="none"/>
        </w:rPr>
        <w:t>12.4</w:t>
      </w:r>
      <w:r>
        <w:rPr>
          <w:rFonts w:hint="eastAsia"/>
          <w:color w:val="auto"/>
          <w:spacing w:val="0"/>
          <w:sz w:val="21"/>
          <w:szCs w:val="21"/>
          <w:highlight w:val="none"/>
        </w:rPr>
        <w:t>中标人需安排设备使用维护工厂培训和现场培训，培训的人数和深度必须满足投标文件的要求，费用已包含在合同价中，买方不再另行支付。</w:t>
      </w:r>
    </w:p>
    <w:p>
      <w:pPr>
        <w:pStyle w:val="74"/>
        <w:spacing w:line="312" w:lineRule="auto"/>
        <w:ind w:firstLine="444" w:firstLineChars="200"/>
        <w:rPr>
          <w:color w:val="auto"/>
          <w:spacing w:val="0"/>
          <w:sz w:val="21"/>
          <w:szCs w:val="21"/>
          <w:highlight w:val="none"/>
        </w:rPr>
      </w:pPr>
      <w:r>
        <w:rPr>
          <w:rFonts w:hint="eastAsia"/>
          <w:color w:val="auto"/>
          <w:sz w:val="21"/>
          <w:szCs w:val="21"/>
          <w:highlight w:val="none"/>
        </w:rPr>
        <w:t>12.5</w:t>
      </w:r>
      <w:r>
        <w:rPr>
          <w:rFonts w:hint="eastAsia"/>
          <w:color w:val="auto"/>
          <w:spacing w:val="0"/>
          <w:sz w:val="21"/>
          <w:szCs w:val="21"/>
          <w:highlight w:val="none"/>
        </w:rPr>
        <w:t>中标人每年免费提供备品备件及常用材料的价目表。</w:t>
      </w:r>
    </w:p>
    <w:p>
      <w:pPr>
        <w:pStyle w:val="74"/>
        <w:spacing w:line="312" w:lineRule="auto"/>
        <w:ind w:firstLine="444" w:firstLineChars="200"/>
        <w:rPr>
          <w:color w:val="auto"/>
          <w:spacing w:val="0"/>
          <w:sz w:val="21"/>
          <w:szCs w:val="21"/>
          <w:highlight w:val="none"/>
        </w:rPr>
      </w:pPr>
      <w:r>
        <w:rPr>
          <w:rFonts w:hint="eastAsia"/>
          <w:color w:val="auto"/>
          <w:sz w:val="21"/>
          <w:szCs w:val="21"/>
          <w:highlight w:val="none"/>
        </w:rPr>
        <w:t>12.6</w:t>
      </w:r>
      <w:r>
        <w:rPr>
          <w:rFonts w:hint="eastAsia"/>
          <w:color w:val="auto"/>
          <w:spacing w:val="0"/>
          <w:sz w:val="21"/>
          <w:szCs w:val="21"/>
          <w:highlight w:val="none"/>
        </w:rPr>
        <w:t>中标人进行指导安装、调试，以及进行维修、保养等工作时，应当遵守劳动安全等规章制度，听从招标人的安全指挥，对因中标人履行上述工作给招标人与第三人造成的损害责任(包括但不限于人身损害、财产损害等)以及造成中标人自身的损害责任，均由中标人承担。如招标人先行承担责任的，招标人有权向中标人追偿损失（包括但不限于赔偿费、诉讼费、律师费等），并有权从任何应该支付或将要支付给中标人的金额中扣除该偿还金额。</w:t>
      </w:r>
    </w:p>
    <w:p>
      <w:pPr>
        <w:spacing w:line="312" w:lineRule="auto"/>
        <w:jc w:val="left"/>
        <w:rPr>
          <w:rFonts w:ascii="宋体" w:hAnsi="宋体" w:cs="宋体"/>
          <w:b/>
          <w:color w:val="auto"/>
          <w:szCs w:val="21"/>
          <w:highlight w:val="none"/>
        </w:rPr>
      </w:pPr>
      <w:r>
        <w:rPr>
          <w:rFonts w:hint="eastAsia" w:ascii="宋体" w:hAnsi="宋体" w:cs="宋体"/>
          <w:b/>
          <w:color w:val="auto"/>
          <w:szCs w:val="21"/>
          <w:highlight w:val="none"/>
        </w:rPr>
        <w:t>13、所有权与风险转移期</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本合同产品的所有权与风险自中标人交付产品并验收合格后转移至招标人。</w:t>
      </w:r>
    </w:p>
    <w:p>
      <w:pPr>
        <w:pStyle w:val="4"/>
        <w:spacing w:line="312" w:lineRule="auto"/>
        <w:jc w:val="left"/>
        <w:rPr>
          <w:rStyle w:val="44"/>
          <w:rFonts w:ascii="宋体" w:hAnsi="宋体" w:cs="宋体"/>
          <w:b/>
          <w:bCs w:val="0"/>
          <w:color w:val="auto"/>
          <w:sz w:val="21"/>
          <w:szCs w:val="21"/>
          <w:highlight w:val="none"/>
        </w:rPr>
      </w:pPr>
      <w:bookmarkStart w:id="267" w:name="_Toc424818597"/>
      <w:bookmarkStart w:id="268" w:name="_Toc430164844"/>
      <w:bookmarkStart w:id="269" w:name="_Toc424818505"/>
      <w:r>
        <w:rPr>
          <w:rStyle w:val="44"/>
          <w:rFonts w:hint="eastAsia" w:ascii="宋体" w:hAnsi="宋体" w:cs="宋体"/>
          <w:b/>
          <w:bCs w:val="0"/>
          <w:color w:val="auto"/>
          <w:sz w:val="21"/>
          <w:szCs w:val="21"/>
          <w:highlight w:val="none"/>
        </w:rPr>
        <w:t>14.专利权</w:t>
      </w:r>
      <w:bookmarkEnd w:id="267"/>
      <w:bookmarkEnd w:id="268"/>
      <w:bookmarkEnd w:id="269"/>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标人应承诺保护招标人在使用合同产品或其任何一部分时不受第三方提出侵犯专利权、商标权和工业设计权等的起诉。如果任何第三方提出侵权指控，由中标人负责与第三方交涉并承担可能发生的一切费用和相关法律责任，招标人不承担由此引起的一切经济和法律责任。</w:t>
      </w:r>
    </w:p>
    <w:p>
      <w:pPr>
        <w:pStyle w:val="4"/>
        <w:spacing w:line="312" w:lineRule="auto"/>
        <w:jc w:val="left"/>
        <w:rPr>
          <w:rStyle w:val="44"/>
          <w:rFonts w:ascii="宋体" w:hAnsi="宋体" w:cs="宋体"/>
          <w:b/>
          <w:bCs w:val="0"/>
          <w:color w:val="auto"/>
          <w:sz w:val="21"/>
          <w:szCs w:val="21"/>
          <w:highlight w:val="none"/>
        </w:rPr>
      </w:pPr>
      <w:bookmarkStart w:id="270" w:name="_Toc416193445"/>
      <w:bookmarkStart w:id="271" w:name="_Toc430164845"/>
      <w:bookmarkStart w:id="272" w:name="_Toc424818598"/>
      <w:bookmarkStart w:id="273" w:name="_Toc424818506"/>
      <w:r>
        <w:rPr>
          <w:rStyle w:val="44"/>
          <w:rFonts w:hint="eastAsia" w:ascii="宋体" w:hAnsi="宋体" w:cs="宋体"/>
          <w:b/>
          <w:bCs w:val="0"/>
          <w:color w:val="auto"/>
          <w:sz w:val="21"/>
          <w:szCs w:val="21"/>
          <w:highlight w:val="none"/>
        </w:rPr>
        <w:t>15.违约责任</w:t>
      </w:r>
      <w:bookmarkEnd w:id="270"/>
      <w:bookmarkEnd w:id="271"/>
      <w:bookmarkEnd w:id="272"/>
      <w:bookmarkEnd w:id="273"/>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15.1提供的货物和服务质量必须达到合格，凡指导安装调试、设备试运转过程中发现的设备质量问题，中标人必须无偿返工直至符合质量要求，承担返工所发生的一切费用和招标人的直接经济损失（招标人可直接从履约保证金中扣除）。</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15.2由于招标人保管不善或使用不当造成设备短缺、故障或损坏，中标人协助招标人及时给予补齐或修复。</w:t>
      </w:r>
    </w:p>
    <w:p>
      <w:pPr>
        <w:pStyle w:val="4"/>
        <w:spacing w:line="312" w:lineRule="auto"/>
        <w:jc w:val="left"/>
        <w:rPr>
          <w:rStyle w:val="44"/>
          <w:rFonts w:ascii="宋体" w:hAnsi="宋体" w:cs="宋体"/>
          <w:b/>
          <w:bCs w:val="0"/>
          <w:color w:val="auto"/>
          <w:sz w:val="21"/>
          <w:szCs w:val="21"/>
          <w:highlight w:val="none"/>
        </w:rPr>
      </w:pPr>
      <w:bookmarkStart w:id="274" w:name="_Toc416193446"/>
      <w:bookmarkStart w:id="275" w:name="_Toc430164846"/>
      <w:bookmarkStart w:id="276" w:name="_Toc424818507"/>
      <w:bookmarkStart w:id="277" w:name="_Toc424818599"/>
      <w:r>
        <w:rPr>
          <w:rStyle w:val="44"/>
          <w:rFonts w:hint="eastAsia" w:ascii="宋体" w:hAnsi="宋体" w:cs="宋体"/>
          <w:b/>
          <w:bCs w:val="0"/>
          <w:color w:val="auto"/>
          <w:sz w:val="21"/>
          <w:szCs w:val="21"/>
          <w:highlight w:val="none"/>
        </w:rPr>
        <w:t>16.违约赔偿</w:t>
      </w:r>
      <w:bookmarkEnd w:id="274"/>
      <w:bookmarkEnd w:id="275"/>
      <w:bookmarkEnd w:id="276"/>
      <w:bookmarkEnd w:id="277"/>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16.1除不可抗力外，如中标人发生不能按期完成供货任务，招标人发生中途变更等情况，应及时以书面形式通知对方。双方应本着友好的态度进行协商，妥善解决。如协商无效，按16.2款规定支付违约金。</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16.2  中标人和招标人签订合同，按合同规定的供货时间供货并指导安装、调试完毕。逾期1-14天的，则要求中标人支付给招标人中标价0.02%/天作为违约金；逾期15-29天的，则要求中标人支付给招标人中标价0.05%/天作为违约金，逾期30天未交货，且经协商无效的，招标人有权解除合同，上述违约金可直接从履约保证金中扣除或中标人用现金支付或在当期应付货款中扣除，不足部分，中标人仍需支付。</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16.3招标人在规定时间无正当理由拒签合同者，以招标违约处理，其投标保证金不予以退还，并赔偿中标人由此造成的直接经济损失。</w:t>
      </w:r>
    </w:p>
    <w:p>
      <w:pPr>
        <w:pStyle w:val="4"/>
        <w:spacing w:line="312" w:lineRule="auto"/>
        <w:jc w:val="left"/>
        <w:rPr>
          <w:rStyle w:val="44"/>
          <w:rFonts w:ascii="宋体" w:hAnsi="宋体" w:cs="宋体"/>
          <w:b/>
          <w:bCs w:val="0"/>
          <w:color w:val="auto"/>
          <w:sz w:val="21"/>
          <w:szCs w:val="21"/>
          <w:highlight w:val="none"/>
        </w:rPr>
      </w:pPr>
      <w:bookmarkStart w:id="278" w:name="_Toc424818508"/>
      <w:bookmarkStart w:id="279" w:name="_Toc430164847"/>
      <w:bookmarkStart w:id="280" w:name="_Toc424818600"/>
      <w:bookmarkStart w:id="281" w:name="_Toc416193447"/>
      <w:r>
        <w:rPr>
          <w:rStyle w:val="44"/>
          <w:rFonts w:hint="eastAsia" w:ascii="宋体" w:hAnsi="宋体" w:cs="宋体"/>
          <w:b/>
          <w:bCs w:val="0"/>
          <w:color w:val="auto"/>
          <w:sz w:val="21"/>
          <w:szCs w:val="21"/>
          <w:highlight w:val="none"/>
        </w:rPr>
        <w:t>17.不可抗力</w:t>
      </w:r>
      <w:bookmarkEnd w:id="278"/>
      <w:bookmarkEnd w:id="279"/>
      <w:bookmarkEnd w:id="280"/>
      <w:bookmarkEnd w:id="281"/>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17.1如果双方中任何一方由于战争、严重火灾、水灾、台风和地震以及其它经双方同意属于不可抗力的事故，致使合同履行受阻时，履行合同的期限应予延长，延长的期限应相当于事故所影响的时间。</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17.2受事故影响的一方应在不可抗力的事故发生后尽快以电报或电传通知另一方，并在事故发生后14天内，将有关部门出具的证明文件用挂号信航寄给或送给另一方。如果不可抗力影响时间延续120天以上的，双方应通过友好协商在合理的时间内达成进一步履行合同的协议。</w:t>
      </w:r>
    </w:p>
    <w:p>
      <w:pPr>
        <w:pStyle w:val="4"/>
        <w:spacing w:line="312" w:lineRule="auto"/>
        <w:jc w:val="left"/>
        <w:rPr>
          <w:rStyle w:val="44"/>
          <w:rFonts w:ascii="宋体" w:hAnsi="宋体" w:cs="宋体"/>
          <w:b/>
          <w:bCs w:val="0"/>
          <w:color w:val="auto"/>
          <w:sz w:val="21"/>
          <w:szCs w:val="21"/>
          <w:highlight w:val="none"/>
        </w:rPr>
      </w:pPr>
      <w:bookmarkStart w:id="282" w:name="_Toc430164848"/>
      <w:bookmarkStart w:id="283" w:name="_Toc424818509"/>
      <w:bookmarkStart w:id="284" w:name="_Toc416193448"/>
      <w:bookmarkStart w:id="285" w:name="_Toc424818601"/>
      <w:r>
        <w:rPr>
          <w:rStyle w:val="44"/>
          <w:rFonts w:hint="eastAsia" w:ascii="宋体" w:hAnsi="宋体" w:cs="宋体"/>
          <w:b/>
          <w:bCs w:val="0"/>
          <w:color w:val="auto"/>
          <w:sz w:val="21"/>
          <w:szCs w:val="21"/>
          <w:highlight w:val="none"/>
        </w:rPr>
        <w:t>18.解决合同纠纷的方式</w:t>
      </w:r>
      <w:bookmarkEnd w:id="282"/>
      <w:bookmarkEnd w:id="283"/>
      <w:bookmarkEnd w:id="284"/>
      <w:bookmarkEnd w:id="285"/>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18.1凡有关本合同或与本合同中发生的争端，双方应通过友好协商，妥善解决。如通过协商仍不能解决时，可向招标人所在地的人民法院起诉。</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18.2诉讼费用除人民法院另有裁决外，由败诉方承担。</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18.3在诉讼期间，除正在进行诉讼的部分外，本合同其他部分应继续执行。</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18.4合同应在双方签字盖章，招标人收到中标人提供的履约保证金后开始生效。</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（注：在正式签约时，根据上述精神应拟就更为详尽的合同书）</w:t>
      </w:r>
    </w:p>
    <w:p>
      <w:pPr>
        <w:rPr>
          <w:rFonts w:ascii="宋体" w:hAnsi="宋体" w:cs="宋体"/>
          <w:color w:val="auto"/>
          <w:szCs w:val="21"/>
          <w:highlight w:val="none"/>
        </w:rPr>
      </w:pPr>
    </w:p>
    <w:p>
      <w:pPr>
        <w:spacing w:line="440" w:lineRule="exact"/>
        <w:jc w:val="center"/>
        <w:rPr>
          <w:rFonts w:ascii="宋体" w:hAnsi="宋体" w:cs="宋体"/>
          <w:bCs/>
          <w:color w:val="auto"/>
          <w:sz w:val="36"/>
          <w:szCs w:val="36"/>
          <w:highlight w:val="none"/>
        </w:rPr>
      </w:pPr>
      <w:r>
        <w:rPr>
          <w:rFonts w:hint="eastAsia" w:ascii="宋体" w:hAnsi="宋体" w:cs="宋体"/>
          <w:bCs/>
          <w:color w:val="auto"/>
          <w:sz w:val="36"/>
          <w:szCs w:val="36"/>
          <w:highlight w:val="none"/>
        </w:rPr>
        <w:t>廉政责任协议书</w:t>
      </w:r>
    </w:p>
    <w:p>
      <w:pPr>
        <w:snapToGrid w:val="0"/>
        <w:spacing w:line="300" w:lineRule="exact"/>
        <w:ind w:firstLine="420" w:firstLineChars="200"/>
        <w:jc w:val="left"/>
        <w:rPr>
          <w:rFonts w:ascii="宋体" w:hAnsi="宋体" w:cs="宋体"/>
          <w:color w:val="auto"/>
          <w:szCs w:val="21"/>
          <w:highlight w:val="none"/>
        </w:rPr>
      </w:pP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根据有关廉政建设的规定，为做好招标项目的党风廉政建设，保证项目高效优质，保证项目资金的安全和有效使用以及投资效益，</w:t>
      </w:r>
      <w:r>
        <w:rPr>
          <w:rFonts w:hint="eastAsia" w:ascii="宋体" w:hAnsi="宋体" w:cs="宋体"/>
          <w:color w:val="auto"/>
          <w:szCs w:val="21"/>
          <w:highlight w:val="none"/>
          <w:u w:val="single"/>
        </w:rPr>
        <w:t xml:space="preserve">    （招标人名称）   </w:t>
      </w:r>
      <w:r>
        <w:rPr>
          <w:rFonts w:hint="eastAsia" w:ascii="宋体" w:hAnsi="宋体" w:cs="宋体"/>
          <w:color w:val="auto"/>
          <w:szCs w:val="21"/>
          <w:highlight w:val="none"/>
        </w:rPr>
        <w:t>（以下简称甲方）与</w:t>
      </w:r>
      <w:r>
        <w:rPr>
          <w:rFonts w:hint="eastAsia" w:ascii="宋体" w:hAnsi="宋体" w:cs="宋体"/>
          <w:color w:val="auto"/>
          <w:szCs w:val="21"/>
          <w:highlight w:val="none"/>
          <w:u w:val="single"/>
        </w:rPr>
        <w:t xml:space="preserve">   （中标人名称） </w:t>
      </w:r>
      <w:r>
        <w:rPr>
          <w:rFonts w:hint="eastAsia" w:ascii="宋体" w:hAnsi="宋体" w:cs="宋体"/>
          <w:color w:val="auto"/>
          <w:szCs w:val="21"/>
          <w:highlight w:val="none"/>
        </w:rPr>
        <w:t>（以下简称乙方），特订立如下合同：</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第一条甲方和乙方双方的权利和义务</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（一）严格遵守党和国家有关法律法规及有关规定。</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（二）严格执行_____________________项目合同文件，自觉按合同办事。</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（三）双方的业务活动坚持公开、公正、诚信、透明的原则（除法律认定的商业秘密和合同文件另有规定之外），不得损害国家和集体利益，违反项目建设管理规章制度。</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（四）建立健全廉政制度，开展廉政教育，公布举报电话，监督并认真查处违法违纪行为。</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（五）发现对方在业务活动中有违反廉政规定的行为，有及时提醒对方纠正的权利和义务。</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（六）发现对方严重违反本合同义务条款的行为，有向其上级有关部门举报、建议给予处理并要求告知处理结果的权利。</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第二条甲方的义务</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（一）甲方及其工作人员不得索要或接受乙方的礼金、有价证券和贵重物品，不得在乙方报销任何应由甲方或个人支付的费用等。</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（二）甲方工作人员不得参加乙方安排的超标准宴请和娱乐活动，不得接受乙方提供的通讯工具、交通工具和高档办公用品等。</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（三）甲方及其工作人员不得要求或者接受乙方为其住房装修、婚丧嫁娶活动、配偶子女的工作安排以及出国出境、旅游等提供方便等。</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（四）甲方工作人员的配偶、子女不得从事与甲方项目有关的材料设备供应、工程分包、劳务等经济活动等。</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第三条 乙方义务</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（一）乙方不得以任何理由向甲方及其工作人员行贿或馈赠礼金，有价证券、贵重礼品。</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（二）乙方不得以任何名义为甲方及其工作人员报销应由甲方单位或个人支付的任何费用。</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（三）乙方不得以任何理由安排甲方工作人员参加超标准宴请及娱乐活动。</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（四）乙方不得为甲方单位和个人购置或提供通讯工具、交通工具和高档办公用品等。</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第四条 违约责任</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（一）甲方及其工作人员违反本合同第一、二条，按管理权限，依据有关规定给予党纪、政纪或组织处理；涉嫌犯罪的，移交司法机关追究刑事责任；给乙方单位造成经济损失的，应予以赔偿。</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乙方及其工作人员违反本合同第一、三条，按管理权限，依据有关规定、给予党纪、政纪或组织处理；给甲方单位造成经济损失的，应予以赔偿；情节严重的，甲方建议项目主管部门给予乙方一至三年内不得进入其主管的业务市场的处罚。</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第五条  双方约定</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本合同由双方或双方上级单位的纪检监察机关负责监督。由甲方或甲方上级单位的纪检监察机关约请乙方或乙方上级单位纪检监察机关对本合同履行情况进行检查提出在本合同规定范围内的裁定意见。</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第六条  本合同有效期为甲方和乙方双方签署之日起至该项目服务完成并经甲方认可后止。</w:t>
      </w:r>
    </w:p>
    <w:p>
      <w:pPr>
        <w:snapToGri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本合同作为____________________项目承包合同的附件，与项目承包合同具有同等的法律效力，经合同双方签署立即生效。</w:t>
      </w:r>
    </w:p>
    <w:p>
      <w:pPr>
        <w:snapToGrid w:val="0"/>
        <w:spacing w:line="440" w:lineRule="exact"/>
        <w:ind w:firstLine="630" w:firstLineChars="300"/>
        <w:jc w:val="left"/>
        <w:rPr>
          <w:rFonts w:ascii="宋体" w:hAnsi="宋体" w:cs="宋体"/>
          <w:color w:val="auto"/>
          <w:szCs w:val="21"/>
          <w:highlight w:val="none"/>
        </w:rPr>
      </w:pPr>
    </w:p>
    <w:p>
      <w:pPr>
        <w:snapToGrid w:val="0"/>
        <w:spacing w:line="440" w:lineRule="exact"/>
        <w:ind w:firstLine="630" w:firstLineChars="300"/>
        <w:jc w:val="left"/>
        <w:rPr>
          <w:rFonts w:ascii="宋体" w:hAnsi="宋体" w:cs="宋体"/>
          <w:color w:val="auto"/>
          <w:szCs w:val="21"/>
          <w:highlight w:val="none"/>
        </w:rPr>
      </w:pPr>
      <w:r>
        <w:rPr>
          <w:rFonts w:hint="eastAsia" w:ascii="宋体" w:hAnsi="宋体" w:cs="宋体"/>
          <w:color w:val="auto"/>
          <w:szCs w:val="21"/>
          <w:highlight w:val="none"/>
        </w:rPr>
        <w:t>甲方单位：（盖章）                         乙方单位：（盖章）</w:t>
      </w:r>
    </w:p>
    <w:p>
      <w:pPr>
        <w:snapToGrid w:val="0"/>
        <w:spacing w:line="440" w:lineRule="exact"/>
        <w:ind w:firstLine="630" w:firstLineChars="300"/>
        <w:jc w:val="left"/>
        <w:rPr>
          <w:rFonts w:ascii="宋体" w:hAnsi="宋体" w:cs="宋体"/>
          <w:color w:val="auto"/>
          <w:szCs w:val="21"/>
          <w:highlight w:val="none"/>
        </w:rPr>
      </w:pPr>
      <w:r>
        <w:rPr>
          <w:rFonts w:hint="eastAsia" w:ascii="宋体" w:hAnsi="宋体" w:cs="宋体"/>
          <w:color w:val="auto"/>
          <w:szCs w:val="21"/>
          <w:highlight w:val="none"/>
        </w:rPr>
        <w:t>法定代表人或</w:t>
      </w:r>
      <w:r>
        <w:rPr>
          <w:rFonts w:hint="eastAsia" w:ascii="宋体" w:hAnsi="宋体" w:cs="宋体"/>
          <w:color w:val="auto"/>
          <w:szCs w:val="21"/>
          <w:highlight w:val="none"/>
          <w:lang w:eastAsia="zh-CN"/>
        </w:rPr>
        <w:t>其</w:t>
      </w:r>
      <w:r>
        <w:rPr>
          <w:rFonts w:hint="eastAsia" w:ascii="宋体" w:hAnsi="宋体" w:cs="宋体"/>
          <w:color w:val="auto"/>
          <w:szCs w:val="21"/>
          <w:highlight w:val="none"/>
        </w:rPr>
        <w:t>授权代表</w:t>
      </w:r>
      <w:r>
        <w:rPr>
          <w:rFonts w:hint="eastAsia" w:ascii="宋体" w:hAnsi="宋体" w:cs="宋体"/>
          <w:color w:val="auto"/>
          <w:szCs w:val="21"/>
          <w:highlight w:val="none"/>
          <w:lang w:eastAsia="zh-CN"/>
        </w:rPr>
        <w:t>（签字或盖章）</w:t>
      </w:r>
      <w:r>
        <w:rPr>
          <w:rFonts w:hint="eastAsia" w:ascii="宋体" w:hAnsi="宋体" w:cs="宋体"/>
          <w:color w:val="auto"/>
          <w:szCs w:val="21"/>
          <w:highlight w:val="none"/>
        </w:rPr>
        <w:t>：     法定代表人或</w:t>
      </w:r>
      <w:r>
        <w:rPr>
          <w:rFonts w:hint="eastAsia" w:ascii="宋体" w:hAnsi="宋体" w:cs="宋体"/>
          <w:color w:val="auto"/>
          <w:szCs w:val="21"/>
          <w:highlight w:val="none"/>
          <w:lang w:eastAsia="zh-CN"/>
        </w:rPr>
        <w:t>其</w:t>
      </w:r>
      <w:r>
        <w:rPr>
          <w:rFonts w:hint="eastAsia" w:ascii="宋体" w:hAnsi="宋体" w:cs="宋体"/>
          <w:color w:val="auto"/>
          <w:szCs w:val="21"/>
          <w:highlight w:val="none"/>
        </w:rPr>
        <w:t>授权代表</w:t>
      </w:r>
      <w:r>
        <w:rPr>
          <w:rFonts w:hint="eastAsia" w:ascii="宋体" w:hAnsi="宋体" w:cs="宋体"/>
          <w:color w:val="auto"/>
          <w:szCs w:val="21"/>
          <w:highlight w:val="none"/>
          <w:lang w:eastAsia="zh-CN"/>
        </w:rPr>
        <w:t>（签字或盖章）</w:t>
      </w:r>
      <w:r>
        <w:rPr>
          <w:rFonts w:hint="eastAsia" w:ascii="宋体" w:hAnsi="宋体" w:cs="宋体"/>
          <w:color w:val="auto"/>
          <w:szCs w:val="21"/>
          <w:highlight w:val="none"/>
        </w:rPr>
        <w:t>：</w:t>
      </w:r>
    </w:p>
    <w:p>
      <w:pPr>
        <w:snapToGrid w:val="0"/>
        <w:spacing w:line="440" w:lineRule="exact"/>
        <w:jc w:val="left"/>
        <w:rPr>
          <w:rFonts w:ascii="宋体" w:hAnsi="宋体" w:cs="宋体"/>
          <w:color w:val="auto"/>
          <w:szCs w:val="21"/>
          <w:highlight w:val="none"/>
        </w:rPr>
      </w:pPr>
      <w:r>
        <w:rPr>
          <w:rFonts w:hint="eastAsia" w:ascii="宋体" w:hAnsi="宋体" w:cs="宋体"/>
          <w:color w:val="auto"/>
          <w:szCs w:val="21"/>
          <w:highlight w:val="none"/>
        </w:rPr>
        <w:t xml:space="preserve">      年    月    日                             年    月    日</w:t>
      </w:r>
    </w:p>
    <w:p>
      <w:pPr>
        <w:spacing w:line="440" w:lineRule="exact"/>
        <w:rPr>
          <w:rFonts w:ascii="宋体" w:hAnsi="宋体" w:cs="宋体"/>
          <w:b/>
          <w:color w:val="auto"/>
          <w:szCs w:val="21"/>
          <w:highlight w:val="none"/>
        </w:rPr>
      </w:pPr>
    </w:p>
    <w:p>
      <w:pPr>
        <w:pStyle w:val="3"/>
        <w:rPr>
          <w:rFonts w:cs="宋体"/>
          <w:b w:val="0"/>
          <w:color w:val="auto"/>
          <w:szCs w:val="21"/>
          <w:highlight w:val="none"/>
        </w:rPr>
      </w:pPr>
    </w:p>
    <w:p>
      <w:pPr>
        <w:rPr>
          <w:rFonts w:ascii="宋体" w:hAnsi="宋体" w:cs="宋体"/>
          <w:b/>
          <w:color w:val="auto"/>
          <w:szCs w:val="21"/>
          <w:highlight w:val="none"/>
        </w:rPr>
      </w:pPr>
    </w:p>
    <w:p>
      <w:pPr>
        <w:pStyle w:val="3"/>
        <w:rPr>
          <w:color w:val="auto"/>
          <w:highlight w:val="none"/>
        </w:rPr>
      </w:pPr>
    </w:p>
    <w:p>
      <w:pPr>
        <w:rPr>
          <w:rFonts w:ascii="宋体" w:hAnsi="宋体" w:cs="宋体"/>
          <w:b/>
          <w:color w:val="auto"/>
          <w:szCs w:val="21"/>
          <w:highlight w:val="none"/>
        </w:rPr>
      </w:pPr>
    </w:p>
    <w:p>
      <w:pPr>
        <w:pStyle w:val="3"/>
        <w:rPr>
          <w:color w:val="auto"/>
          <w:highlight w:val="none"/>
        </w:rPr>
      </w:pPr>
    </w:p>
    <w:p>
      <w:pPr>
        <w:rPr>
          <w:rFonts w:ascii="宋体" w:hAnsi="宋体" w:cs="宋体"/>
          <w:b/>
          <w:color w:val="auto"/>
          <w:szCs w:val="21"/>
          <w:highlight w:val="none"/>
        </w:rPr>
      </w:pPr>
    </w:p>
    <w:p>
      <w:pPr>
        <w:rPr>
          <w:color w:val="auto"/>
          <w:highlight w:val="none"/>
        </w:rPr>
      </w:pPr>
    </w:p>
    <w:p>
      <w:pPr>
        <w:pStyle w:val="2"/>
        <w:rPr>
          <w:color w:val="auto"/>
          <w:highlight w:val="none"/>
        </w:rPr>
      </w:pPr>
    </w:p>
    <w:p>
      <w:pPr>
        <w:pStyle w:val="26"/>
        <w:ind w:firstLine="210"/>
        <w:rPr>
          <w:color w:val="auto"/>
          <w:highlight w:val="none"/>
        </w:rPr>
      </w:pPr>
    </w:p>
    <w:p>
      <w:pPr>
        <w:pStyle w:val="21"/>
        <w:rPr>
          <w:color w:val="auto"/>
          <w:highlight w:val="none"/>
        </w:rPr>
      </w:pPr>
    </w:p>
    <w:p>
      <w:pPr>
        <w:spacing w:line="440" w:lineRule="exact"/>
        <w:jc w:val="center"/>
        <w:rPr>
          <w:rFonts w:ascii="宋体" w:hAnsi="宋体" w:cs="宋体"/>
          <w:b/>
          <w:color w:val="auto"/>
          <w:szCs w:val="21"/>
          <w:highlight w:val="none"/>
        </w:rPr>
      </w:pPr>
    </w:p>
    <w:p>
      <w:pPr>
        <w:rPr>
          <w:rFonts w:ascii="宋体" w:hAnsi="宋体" w:cs="宋体"/>
          <w:b/>
          <w:color w:val="auto"/>
          <w:szCs w:val="21"/>
          <w:highlight w:val="none"/>
        </w:rPr>
      </w:pPr>
    </w:p>
    <w:p>
      <w:pPr>
        <w:spacing w:line="440" w:lineRule="exact"/>
        <w:jc w:val="center"/>
        <w:rPr>
          <w:rFonts w:ascii="宋体" w:hAnsi="宋体" w:cs="宋体"/>
          <w:bCs/>
          <w:color w:val="auto"/>
          <w:sz w:val="36"/>
          <w:szCs w:val="36"/>
          <w:highlight w:val="none"/>
        </w:rPr>
      </w:pPr>
    </w:p>
    <w:p>
      <w:pPr>
        <w:spacing w:line="440" w:lineRule="exact"/>
        <w:jc w:val="center"/>
        <w:rPr>
          <w:rFonts w:ascii="宋体" w:hAnsi="宋体" w:cs="宋体"/>
          <w:bCs/>
          <w:color w:val="auto"/>
          <w:sz w:val="36"/>
          <w:szCs w:val="36"/>
          <w:highlight w:val="none"/>
        </w:rPr>
      </w:pPr>
    </w:p>
    <w:p>
      <w:pPr>
        <w:spacing w:line="440" w:lineRule="exact"/>
        <w:jc w:val="center"/>
        <w:rPr>
          <w:rFonts w:ascii="宋体" w:hAnsi="宋体" w:cs="宋体"/>
          <w:bCs/>
          <w:color w:val="auto"/>
          <w:sz w:val="36"/>
          <w:szCs w:val="36"/>
          <w:highlight w:val="none"/>
        </w:rPr>
      </w:pPr>
      <w:r>
        <w:rPr>
          <w:rFonts w:hint="eastAsia" w:ascii="宋体" w:hAnsi="宋体" w:cs="宋体"/>
          <w:bCs/>
          <w:color w:val="auto"/>
          <w:sz w:val="36"/>
          <w:szCs w:val="36"/>
          <w:highlight w:val="none"/>
        </w:rPr>
        <w:t>安全协议书</w:t>
      </w:r>
    </w:p>
    <w:p>
      <w:pPr>
        <w:spacing w:line="400" w:lineRule="exact"/>
        <w:ind w:firstLine="420" w:firstLineChars="200"/>
        <w:jc w:val="left"/>
        <w:rPr>
          <w:rFonts w:ascii="宋体" w:hAnsi="宋体" w:cs="宋体"/>
          <w:color w:val="auto"/>
          <w:kern w:val="0"/>
          <w:szCs w:val="21"/>
          <w:highlight w:val="none"/>
        </w:rPr>
      </w:pP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招标人（以下简称甲方）：____________________                                    </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中标人（以下简称乙方）：____________________                             </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项目名称： ____________________                             </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项目地点：____________________                              </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为了切实加强实施项目管理，双方本着平等、自愿的原则，签订本协议书。甲方和乙方均严格遵守本协议书规定的权力、责任和义务，确保实施人员现场作业的安全。</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乙方负责将货物安全运载、装卸到甲方指定的地点（位置）。</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乙方必须保证所使用的运输车辆符合国家及行业的相关规定，驾驶员具有相应资质且适合驾驶工作，装卸工人具有一定的安全操作知识，身体健康。</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乙方运载货物的车辆应符合甲方货物运输的要求，随车所使用的警示标牌、警示灯、路障及货物绑扎绳索等器械，数量应当满足需要并符合安全要求。应当根据货物尺寸及具体情况，科学装卸、合理绑扎固定，对货物的绑扎固定是否安全可靠，货物装卸是否符合道路运输标准负全部责任。</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乙方雇佣车辆、驾驶人员、装卸工人有下列情形之一的，甲方有权通知乙方让其强行解雇车辆和人员：</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1.运输车辆不是公路运输正规车辆，雇请非法营运“黑车”。</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2.不服甲方管理人员的管理，在运输过程中安全防护及安全标志装设不齐全或没有甲方许可就随意拆除的。</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3.运输过程中，不严格遵守安全规章制度，如违章作业、违章蛮干，不听从甲方及装卸场地现场管理人员指挥的。</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4.运输车辆已达到报废年限的。</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5.车辆、驾驶员等未取得合法证照、资质的。</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6.不按照甲方指定的工作进度、作业时间、工作面、运输起止地和运输数量完成各项运输任务的。</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7.运输过程中发生事故造成人员伤亡、财产损失的。</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五、乙方在履行合同过程中，必须确保运输和装卸安全，运输车辆、人员如发生各类人身、财产安全事故，均由乙方自行负责。</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六、乙方运输车辆在运输作业中造成周边环境扬尘污染、路面污染或噪声污染，被有关部门处以行政罚款的，由乙方承担违规处罚费用及相应责任。</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七、甲方的权利、责任和义务：</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1.贯彻落实国家有关招标项目的法规和管理规定，对乙方作业人员服务现场和区域进行全面的安全管理和监督检查进行安全检查与指导。</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2.及时纠正乙方作业人员违章指挥和违章作业行为，并按照有关规定予以查处。</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3.对乙方的安全作业培训和危险预知工作提出指导意见，并监督落实情况。</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4.对乙方提出的安全作业要求积极提供帮助。</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八、乙方的权利、责任和义务：</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1.遵守国家有关服务现场安全作业的法规和管理制度，建立健全安全作业责任制度。</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2.服从甲方安全作业管理。 </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3.乙方必须为作业实施人员参加人身意外保险。</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4.乙方造成的安全事故，由乙方承担事故责任和经济责任。</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本协议作为____________________项目承包合同的附件，与项目承包合同具有同等的法律效力，经合同双方签署立即生效。</w:t>
      </w:r>
    </w:p>
    <w:p>
      <w:pPr>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p>
    <w:p>
      <w:pPr>
        <w:spacing w:line="440" w:lineRule="exact"/>
        <w:ind w:firstLine="840" w:firstLineChars="4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甲方单位：（公章）                          乙方单位：（公章）          </w:t>
      </w:r>
    </w:p>
    <w:p>
      <w:pPr>
        <w:spacing w:line="440" w:lineRule="exact"/>
        <w:ind w:firstLine="1050" w:firstLineChars="500"/>
        <w:jc w:val="left"/>
        <w:rPr>
          <w:rFonts w:ascii="宋体" w:hAnsi="宋体" w:cs="宋体"/>
          <w:color w:val="auto"/>
          <w:kern w:val="0"/>
          <w:szCs w:val="21"/>
          <w:highlight w:val="none"/>
        </w:rPr>
      </w:pPr>
    </w:p>
    <w:p>
      <w:pPr>
        <w:snapToGrid w:val="0"/>
        <w:spacing w:line="440" w:lineRule="exact"/>
        <w:ind w:firstLine="840" w:firstLineChars="400"/>
        <w:jc w:val="left"/>
        <w:rPr>
          <w:rFonts w:ascii="宋体" w:hAnsi="宋体" w:cs="宋体"/>
          <w:color w:val="auto"/>
          <w:szCs w:val="21"/>
          <w:highlight w:val="none"/>
        </w:rPr>
      </w:pPr>
      <w:r>
        <w:rPr>
          <w:rFonts w:hint="eastAsia" w:ascii="宋体" w:hAnsi="宋体" w:cs="宋体"/>
          <w:color w:val="auto"/>
          <w:szCs w:val="21"/>
          <w:highlight w:val="none"/>
        </w:rPr>
        <w:t>法定代表人或</w:t>
      </w:r>
      <w:r>
        <w:rPr>
          <w:rFonts w:hint="eastAsia" w:ascii="宋体" w:hAnsi="宋体" w:cs="宋体"/>
          <w:color w:val="auto"/>
          <w:szCs w:val="21"/>
          <w:highlight w:val="none"/>
          <w:lang w:eastAsia="zh-CN"/>
        </w:rPr>
        <w:t>其</w:t>
      </w:r>
      <w:r>
        <w:rPr>
          <w:rFonts w:hint="eastAsia" w:ascii="宋体" w:hAnsi="宋体" w:cs="宋体"/>
          <w:color w:val="auto"/>
          <w:szCs w:val="21"/>
          <w:highlight w:val="none"/>
        </w:rPr>
        <w:t>授权代表</w:t>
      </w:r>
      <w:r>
        <w:rPr>
          <w:rFonts w:hint="eastAsia" w:ascii="宋体" w:hAnsi="宋体" w:cs="宋体"/>
          <w:color w:val="auto"/>
          <w:szCs w:val="21"/>
          <w:highlight w:val="none"/>
          <w:lang w:eastAsia="zh-CN"/>
        </w:rPr>
        <w:t>（签字或盖章）</w:t>
      </w:r>
      <w:r>
        <w:rPr>
          <w:rFonts w:hint="eastAsia" w:ascii="宋体" w:hAnsi="宋体" w:cs="宋体"/>
          <w:color w:val="auto"/>
          <w:szCs w:val="21"/>
          <w:highlight w:val="none"/>
        </w:rPr>
        <w:t>：     法定代表人或</w:t>
      </w:r>
      <w:r>
        <w:rPr>
          <w:rFonts w:hint="eastAsia" w:ascii="宋体" w:hAnsi="宋体" w:cs="宋体"/>
          <w:color w:val="auto"/>
          <w:szCs w:val="21"/>
          <w:highlight w:val="none"/>
          <w:lang w:eastAsia="zh-CN"/>
        </w:rPr>
        <w:t>其</w:t>
      </w:r>
      <w:r>
        <w:rPr>
          <w:rFonts w:hint="eastAsia" w:ascii="宋体" w:hAnsi="宋体" w:cs="宋体"/>
          <w:color w:val="auto"/>
          <w:szCs w:val="21"/>
          <w:highlight w:val="none"/>
        </w:rPr>
        <w:t>授权代表</w:t>
      </w:r>
      <w:r>
        <w:rPr>
          <w:rFonts w:hint="eastAsia" w:ascii="宋体" w:hAnsi="宋体" w:cs="宋体"/>
          <w:color w:val="auto"/>
          <w:szCs w:val="21"/>
          <w:highlight w:val="none"/>
          <w:lang w:eastAsia="zh-CN"/>
        </w:rPr>
        <w:t>（签字或盖章）：</w:t>
      </w:r>
    </w:p>
    <w:p>
      <w:pPr>
        <w:spacing w:line="440" w:lineRule="exact"/>
        <w:ind w:firstLine="840" w:firstLineChars="4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p>
    <w:p>
      <w:pPr>
        <w:spacing w:line="440" w:lineRule="exact"/>
        <w:ind w:firstLine="6090" w:firstLineChars="29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年   月   日</w:t>
      </w:r>
    </w:p>
    <w:p>
      <w:pPr>
        <w:pStyle w:val="33"/>
        <w:rPr>
          <w:color w:val="auto"/>
          <w:highlight w:val="none"/>
        </w:rPr>
      </w:pPr>
    </w:p>
    <w:p>
      <w:pPr>
        <w:shd w:val="clear" w:color="auto" w:fill="FFFFFF"/>
        <w:spacing w:line="440" w:lineRule="exact"/>
        <w:jc w:val="left"/>
        <w:rPr>
          <w:rFonts w:ascii="宋体" w:hAnsi="宋体" w:cs="宋体"/>
          <w:color w:val="auto"/>
          <w:szCs w:val="21"/>
          <w:highlight w:val="none"/>
        </w:rPr>
      </w:pPr>
    </w:p>
    <w:bookmarkEnd w:id="237"/>
    <w:p>
      <w:pPr>
        <w:keepNext/>
        <w:keepLines/>
        <w:spacing w:line="576" w:lineRule="auto"/>
        <w:jc w:val="center"/>
        <w:outlineLvl w:val="0"/>
        <w:rPr>
          <w:rFonts w:ascii="宋体" w:hAnsi="宋体" w:cs="宋体"/>
          <w:b/>
          <w:bCs/>
          <w:color w:val="auto"/>
          <w:kern w:val="44"/>
          <w:sz w:val="40"/>
          <w:szCs w:val="40"/>
          <w:highlight w:val="none"/>
        </w:rPr>
      </w:pPr>
      <w:r>
        <w:rPr>
          <w:rFonts w:hint="eastAsia" w:ascii="宋体" w:hAnsi="宋体" w:cs="宋体"/>
          <w:b/>
          <w:bCs/>
          <w:color w:val="auto"/>
          <w:kern w:val="44"/>
          <w:sz w:val="44"/>
          <w:szCs w:val="44"/>
          <w:highlight w:val="none"/>
        </w:rPr>
        <w:br w:type="page"/>
      </w:r>
      <w:r>
        <w:rPr>
          <w:rFonts w:hint="eastAsia" w:ascii="宋体" w:hAnsi="宋体" w:cs="宋体"/>
          <w:b/>
          <w:bCs/>
          <w:color w:val="auto"/>
          <w:kern w:val="44"/>
          <w:sz w:val="40"/>
          <w:szCs w:val="40"/>
          <w:highlight w:val="none"/>
        </w:rPr>
        <w:t>第五章  工程量清单</w:t>
      </w:r>
    </w:p>
    <w:p>
      <w:pPr>
        <w:pStyle w:val="4"/>
        <w:spacing w:line="312" w:lineRule="auto"/>
        <w:rPr>
          <w:rStyle w:val="44"/>
          <w:rFonts w:ascii="宋体" w:hAnsi="宋体" w:cs="宋体"/>
          <w:bCs/>
          <w:color w:val="auto"/>
          <w:sz w:val="21"/>
          <w:szCs w:val="21"/>
          <w:highlight w:val="none"/>
        </w:rPr>
      </w:pPr>
      <w:bookmarkStart w:id="286" w:name="_Toc430164850"/>
      <w:bookmarkStart w:id="287" w:name="_Toc424818603"/>
      <w:bookmarkStart w:id="288" w:name="_Toc424818511"/>
      <w:r>
        <w:rPr>
          <w:rStyle w:val="44"/>
          <w:rFonts w:hint="eastAsia" w:ascii="宋体" w:hAnsi="宋体" w:cs="宋体"/>
          <w:bCs/>
          <w:color w:val="auto"/>
          <w:sz w:val="21"/>
          <w:szCs w:val="21"/>
          <w:highlight w:val="none"/>
        </w:rPr>
        <w:t>1.投标报价说明</w:t>
      </w:r>
      <w:bookmarkEnd w:id="286"/>
      <w:bookmarkEnd w:id="287"/>
      <w:bookmarkEnd w:id="288"/>
    </w:p>
    <w:p>
      <w:pPr>
        <w:tabs>
          <w:tab w:val="left" w:pos="0"/>
        </w:tabs>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1.1工程量清单中的每一子目须填入单价或价格，且只允许有一个报价。 </w:t>
      </w:r>
    </w:p>
    <w:p>
      <w:pPr>
        <w:tabs>
          <w:tab w:val="left" w:pos="0"/>
        </w:tabs>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1.2工程量清单中标价的单价或金额，应包括材料设备价款、附件、配件、备件、钢管防腐（含施工现场管材接口的防腐和正常修补等与本项目相关的一切防腐内容）、包装费、途中运输费、途中损耗、劳务费、保险费、利润、税费、配合费、技术培训费、特殊工具及检测仪器费、售后服务以及指导安装、调试、试运行配合费用及政策性文件规定及合同中明示或暗示的所有风险、责任和义务等一切应由投标人支付的全部费用，即为按招标人要求材料设备送至指定工地现场或招标人指定的地点、指导安装、调试完毕后投入运行并达到相应验收标准的价格。 </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1.3投标人投标报价只能精确到元。</w:t>
      </w:r>
    </w:p>
    <w:p>
      <w:pPr>
        <w:pStyle w:val="4"/>
        <w:spacing w:line="312" w:lineRule="auto"/>
        <w:rPr>
          <w:rStyle w:val="44"/>
          <w:rFonts w:ascii="宋体" w:hAnsi="宋体" w:cs="宋体"/>
          <w:bCs/>
          <w:color w:val="auto"/>
          <w:sz w:val="21"/>
          <w:szCs w:val="21"/>
          <w:highlight w:val="none"/>
        </w:rPr>
      </w:pPr>
      <w:bookmarkStart w:id="289" w:name="_Toc424818512"/>
      <w:bookmarkStart w:id="290" w:name="_Toc424818604"/>
      <w:bookmarkStart w:id="291" w:name="_Toc430164851"/>
      <w:r>
        <w:rPr>
          <w:rStyle w:val="44"/>
          <w:rFonts w:hint="eastAsia" w:ascii="宋体" w:hAnsi="宋体" w:cs="宋体"/>
          <w:bCs/>
          <w:color w:val="auto"/>
          <w:sz w:val="21"/>
          <w:szCs w:val="21"/>
          <w:highlight w:val="none"/>
        </w:rPr>
        <w:t>2.</w:t>
      </w:r>
      <w:bookmarkEnd w:id="289"/>
      <w:bookmarkEnd w:id="290"/>
      <w:bookmarkEnd w:id="291"/>
      <w:r>
        <w:rPr>
          <w:rStyle w:val="44"/>
          <w:rFonts w:hint="eastAsia" w:ascii="宋体" w:hAnsi="宋体" w:cs="宋体"/>
          <w:bCs/>
          <w:color w:val="auto"/>
          <w:sz w:val="21"/>
          <w:szCs w:val="21"/>
          <w:highlight w:val="none"/>
        </w:rPr>
        <w:t>主要设备材料清单</w:t>
      </w:r>
    </w:p>
    <w:tbl>
      <w:tblPr>
        <w:tblStyle w:val="28"/>
        <w:tblW w:w="9165" w:type="dxa"/>
        <w:tblInd w:w="93" w:type="dxa"/>
        <w:tblLayout w:type="fixed"/>
        <w:tblCellMar>
          <w:top w:w="0" w:type="dxa"/>
          <w:left w:w="108" w:type="dxa"/>
          <w:bottom w:w="0" w:type="dxa"/>
          <w:right w:w="108" w:type="dxa"/>
        </w:tblCellMar>
      </w:tblPr>
      <w:tblGrid>
        <w:gridCol w:w="560"/>
        <w:gridCol w:w="1884"/>
        <w:gridCol w:w="1495"/>
        <w:gridCol w:w="613"/>
        <w:gridCol w:w="613"/>
        <w:gridCol w:w="1348"/>
        <w:gridCol w:w="2085"/>
        <w:gridCol w:w="567"/>
      </w:tblGrid>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序号</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名</w:t>
            </w:r>
            <w:r>
              <w:rPr>
                <w:rFonts w:ascii="Times New Roman" w:hAnsi="Times New Roman"/>
                <w:b/>
                <w:bCs/>
                <w:color w:val="auto"/>
                <w:kern w:val="0"/>
                <w:szCs w:val="21"/>
                <w:highlight w:val="none"/>
                <w:lang w:bidi="ar"/>
              </w:rPr>
              <w:t xml:space="preserve">  </w:t>
            </w:r>
            <w:r>
              <w:rPr>
                <w:rFonts w:hint="eastAsia" w:ascii="宋体" w:hAnsi="宋体" w:cs="宋体"/>
                <w:b/>
                <w:bCs/>
                <w:color w:val="auto"/>
                <w:kern w:val="0"/>
                <w:szCs w:val="21"/>
                <w:highlight w:val="none"/>
                <w:lang w:bidi="ar"/>
              </w:rPr>
              <w:t>称</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型号及规格</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单</w:t>
            </w:r>
            <w:r>
              <w:rPr>
                <w:rFonts w:ascii="Times New Roman" w:hAnsi="Times New Roman"/>
                <w:b/>
                <w:bCs/>
                <w:color w:val="auto"/>
                <w:kern w:val="0"/>
                <w:szCs w:val="21"/>
                <w:highlight w:val="none"/>
                <w:lang w:bidi="ar"/>
              </w:rPr>
              <w:t xml:space="preserve"> </w:t>
            </w:r>
            <w:r>
              <w:rPr>
                <w:rFonts w:hint="eastAsia" w:ascii="宋体" w:hAnsi="宋体" w:cs="宋体"/>
                <w:b/>
                <w:bCs/>
                <w:color w:val="auto"/>
                <w:kern w:val="0"/>
                <w:szCs w:val="21"/>
                <w:highlight w:val="none"/>
                <w:lang w:bidi="ar"/>
              </w:rPr>
              <w:t>位</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数</w:t>
            </w:r>
            <w:r>
              <w:rPr>
                <w:rFonts w:ascii="Times New Roman" w:hAnsi="Times New Roman"/>
                <w:b/>
                <w:bCs/>
                <w:color w:val="auto"/>
                <w:kern w:val="0"/>
                <w:szCs w:val="21"/>
                <w:highlight w:val="none"/>
                <w:lang w:bidi="ar"/>
              </w:rPr>
              <w:t xml:space="preserve"> </w:t>
            </w:r>
            <w:r>
              <w:rPr>
                <w:rFonts w:hint="eastAsia" w:ascii="宋体" w:hAnsi="宋体" w:cs="宋体"/>
                <w:b/>
                <w:bCs/>
                <w:color w:val="auto"/>
                <w:kern w:val="0"/>
                <w:szCs w:val="21"/>
                <w:highlight w:val="none"/>
                <w:lang w:bidi="ar"/>
              </w:rPr>
              <w:t>量</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推荐品牌</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备</w:t>
            </w:r>
            <w:r>
              <w:rPr>
                <w:rFonts w:ascii="Times New Roman" w:hAnsi="Times New Roman"/>
                <w:b/>
                <w:bCs/>
                <w:color w:val="auto"/>
                <w:kern w:val="0"/>
                <w:szCs w:val="21"/>
                <w:highlight w:val="none"/>
                <w:lang w:bidi="ar"/>
              </w:rPr>
              <w:t xml:space="preserve">  </w:t>
            </w:r>
            <w:r>
              <w:rPr>
                <w:rFonts w:hint="eastAsia" w:ascii="宋体" w:hAnsi="宋体" w:cs="宋体"/>
                <w:b/>
                <w:bCs/>
                <w:color w:val="auto"/>
                <w:kern w:val="0"/>
                <w:szCs w:val="21"/>
                <w:highlight w:val="none"/>
                <w:lang w:bidi="ar"/>
              </w:rPr>
              <w:t>注</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材料</w:t>
            </w: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jc w:val="center"/>
              <w:rPr>
                <w:rFonts w:ascii="宋体" w:hAnsi="宋体" w:cs="宋体"/>
                <w:color w:val="auto"/>
                <w:szCs w:val="21"/>
                <w:highlight w:val="none"/>
              </w:rPr>
            </w:pP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场外工程</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双壁波纹管（含胶圈）</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SN8</w:t>
            </w:r>
            <w:r>
              <w:rPr>
                <w:rFonts w:hint="eastAsia" w:ascii="宋体" w:hAnsi="宋体" w:cs="宋体"/>
                <w:color w:val="auto"/>
                <w:kern w:val="0"/>
                <w:szCs w:val="21"/>
                <w:highlight w:val="none"/>
                <w:lang w:bidi="ar"/>
              </w:rPr>
              <w:t>，</w:t>
            </w:r>
            <w:r>
              <w:rPr>
                <w:rFonts w:ascii="Times New Roman" w:hAnsi="Times New Roman"/>
                <w:color w:val="auto"/>
                <w:kern w:val="0"/>
                <w:szCs w:val="21"/>
                <w:highlight w:val="none"/>
                <w:lang w:bidi="ar"/>
              </w:rPr>
              <w:t>ID225</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75</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枫叶、伟星、中财</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内径系列</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最小平均内径</w:t>
            </w:r>
            <w:r>
              <w:rPr>
                <w:rFonts w:ascii="Times New Roman" w:hAnsi="Times New Roman"/>
                <w:color w:val="auto"/>
                <w:kern w:val="0"/>
                <w:szCs w:val="21"/>
                <w:highlight w:val="none"/>
                <w:lang w:bidi="ar"/>
              </w:rPr>
              <w:t>220</w:t>
            </w:r>
            <w:r>
              <w:rPr>
                <w:rFonts w:hint="eastAsia" w:ascii="宋体" w:hAnsi="宋体" w:cs="宋体"/>
                <w:color w:val="auto"/>
                <w:kern w:val="0"/>
                <w:szCs w:val="21"/>
                <w:highlight w:val="none"/>
                <w:lang w:bidi="ar"/>
              </w:rPr>
              <w:t>，污水重力管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具体数量按实</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84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球墨铸铁管（含管件、防腐、胶圈）</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DN1200(K9</w:t>
            </w:r>
            <w:r>
              <w:rPr>
                <w:rFonts w:hint="eastAsia" w:ascii="宋体" w:hAnsi="宋体" w:cs="宋体"/>
                <w:color w:val="auto"/>
                <w:kern w:val="0"/>
                <w:szCs w:val="21"/>
                <w:highlight w:val="none"/>
                <w:lang w:bidi="ar"/>
              </w:rPr>
              <w:t>级</w:t>
            </w:r>
            <w:r>
              <w:rPr>
                <w:rFonts w:ascii="Times New Roman" w:hAnsi="Times New Roman"/>
                <w:color w:val="auto"/>
                <w:kern w:val="0"/>
                <w:szCs w:val="21"/>
                <w:highlight w:val="none"/>
                <w:lang w:bidi="ar"/>
              </w:rPr>
              <w:t>)</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46</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新兴、</w:t>
            </w:r>
            <w:r>
              <w:rPr>
                <w:rFonts w:hint="eastAsia" w:ascii="宋体" w:hAnsi="宋体" w:cs="宋体"/>
                <w:color w:val="auto"/>
                <w:kern w:val="0"/>
                <w:szCs w:val="21"/>
                <w:highlight w:val="none"/>
                <w:lang w:eastAsia="zh-CN" w:bidi="ar"/>
              </w:rPr>
              <w:t>穆松桥</w:t>
            </w:r>
            <w:r>
              <w:rPr>
                <w:rFonts w:hint="eastAsia" w:ascii="宋体" w:hAnsi="宋体" w:cs="宋体"/>
                <w:color w:val="auto"/>
                <w:kern w:val="0"/>
                <w:szCs w:val="21"/>
                <w:highlight w:val="none"/>
                <w:lang w:bidi="ar"/>
              </w:rPr>
              <w:t>、泫氏</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污水重力管，防腐要求详图纸，具体数量按实</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螺旋钢管（管件单列、含防腐）</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D1020x14</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135</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江苏玉龙、浙江金洲、华油钢管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污水压力管，防腐要求详图纸（内外双层环氧粉末），具体数量按实</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螺旋钢管（含管件、防腐）</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D1220x16</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5</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江苏玉龙、浙江金洲、华油钢管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污水重力管，防腐要求详图纸（内外双层环氧粉末），具体数量按实</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5</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双壁波纹管（含胶圈）</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SN8</w:t>
            </w:r>
            <w:r>
              <w:rPr>
                <w:rFonts w:hint="eastAsia" w:ascii="宋体" w:hAnsi="宋体" w:cs="宋体"/>
                <w:color w:val="auto"/>
                <w:kern w:val="0"/>
                <w:szCs w:val="21"/>
                <w:highlight w:val="none"/>
                <w:lang w:bidi="ar"/>
              </w:rPr>
              <w:t>，</w:t>
            </w:r>
            <w:r>
              <w:rPr>
                <w:rFonts w:ascii="Times New Roman" w:hAnsi="Times New Roman"/>
                <w:color w:val="auto"/>
                <w:kern w:val="0"/>
                <w:szCs w:val="21"/>
                <w:highlight w:val="none"/>
                <w:lang w:bidi="ar"/>
              </w:rPr>
              <w:t>ID300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135</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枫叶、伟星、中财</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内径系列</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最小平均内径</w:t>
            </w:r>
            <w:r>
              <w:rPr>
                <w:rFonts w:ascii="Times New Roman" w:hAnsi="Times New Roman"/>
                <w:color w:val="auto"/>
                <w:kern w:val="0"/>
                <w:szCs w:val="21"/>
                <w:highlight w:val="none"/>
                <w:lang w:bidi="ar"/>
              </w:rPr>
              <w:t>296</w:t>
            </w:r>
            <w:r>
              <w:rPr>
                <w:rFonts w:hint="eastAsia" w:ascii="宋体" w:hAnsi="宋体" w:cs="宋体"/>
                <w:color w:val="auto"/>
                <w:kern w:val="0"/>
                <w:szCs w:val="21"/>
                <w:highlight w:val="none"/>
                <w:lang w:bidi="ar"/>
              </w:rPr>
              <w:t>，雨水重力管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具体数量按实</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6</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双壁波纹管（含胶圈）</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SN8</w:t>
            </w:r>
            <w:r>
              <w:rPr>
                <w:rFonts w:hint="eastAsia" w:ascii="宋体" w:hAnsi="宋体" w:cs="宋体"/>
                <w:color w:val="auto"/>
                <w:kern w:val="0"/>
                <w:szCs w:val="21"/>
                <w:highlight w:val="none"/>
                <w:lang w:bidi="ar"/>
              </w:rPr>
              <w:t>，</w:t>
            </w:r>
            <w:r>
              <w:rPr>
                <w:rFonts w:ascii="Times New Roman" w:hAnsi="Times New Roman"/>
                <w:color w:val="auto"/>
                <w:kern w:val="0"/>
                <w:szCs w:val="21"/>
                <w:highlight w:val="none"/>
                <w:lang w:bidi="ar"/>
              </w:rPr>
              <w:t>ID400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195</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枫叶、伟星、中财</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内径系列</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最小平均内径</w:t>
            </w:r>
            <w:r>
              <w:rPr>
                <w:rFonts w:ascii="Times New Roman" w:hAnsi="Times New Roman"/>
                <w:color w:val="auto"/>
                <w:kern w:val="0"/>
                <w:szCs w:val="21"/>
                <w:highlight w:val="none"/>
                <w:lang w:bidi="ar"/>
              </w:rPr>
              <w:t>394</w:t>
            </w:r>
            <w:r>
              <w:rPr>
                <w:rFonts w:hint="eastAsia" w:ascii="宋体" w:hAnsi="宋体" w:cs="宋体"/>
                <w:color w:val="auto"/>
                <w:kern w:val="0"/>
                <w:szCs w:val="21"/>
                <w:highlight w:val="none"/>
                <w:lang w:bidi="ar"/>
              </w:rPr>
              <w:t>，雨水重力管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具体数量按实</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7</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双壁波纹管（含胶圈）</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SN8</w:t>
            </w:r>
            <w:r>
              <w:rPr>
                <w:rFonts w:hint="eastAsia" w:ascii="宋体" w:hAnsi="宋体" w:cs="宋体"/>
                <w:color w:val="auto"/>
                <w:kern w:val="0"/>
                <w:szCs w:val="21"/>
                <w:highlight w:val="none"/>
                <w:lang w:bidi="ar"/>
              </w:rPr>
              <w:t>，</w:t>
            </w:r>
            <w:r>
              <w:rPr>
                <w:rFonts w:ascii="Times New Roman" w:hAnsi="Times New Roman"/>
                <w:color w:val="auto"/>
                <w:kern w:val="0"/>
                <w:szCs w:val="21"/>
                <w:highlight w:val="none"/>
                <w:lang w:bidi="ar"/>
              </w:rPr>
              <w:t>ID600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10</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枫叶、伟星、中财</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HDPE</w:t>
            </w:r>
            <w:r>
              <w:rPr>
                <w:rFonts w:hint="eastAsia" w:ascii="宋体" w:hAnsi="宋体" w:cs="宋体"/>
                <w:color w:val="auto"/>
                <w:kern w:val="0"/>
                <w:szCs w:val="21"/>
                <w:highlight w:val="none"/>
                <w:lang w:bidi="ar"/>
              </w:rPr>
              <w:t>双壁波纹管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内径系列</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最小平均内径</w:t>
            </w:r>
            <w:r>
              <w:rPr>
                <w:rFonts w:ascii="Times New Roman" w:hAnsi="Times New Roman"/>
                <w:color w:val="auto"/>
                <w:kern w:val="0"/>
                <w:szCs w:val="21"/>
                <w:highlight w:val="none"/>
                <w:lang w:bidi="ar"/>
              </w:rPr>
              <w:t>590</w:t>
            </w:r>
            <w:r>
              <w:rPr>
                <w:rFonts w:hint="eastAsia" w:ascii="宋体" w:hAnsi="宋体" w:cs="宋体"/>
                <w:color w:val="auto"/>
                <w:kern w:val="0"/>
                <w:szCs w:val="21"/>
                <w:highlight w:val="none"/>
                <w:lang w:bidi="ar"/>
              </w:rPr>
              <w:t>，雨水重力管</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具体数量按实</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8</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给水管（含管件、防腐、胶圈）</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260</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新兴、</w:t>
            </w:r>
            <w:r>
              <w:rPr>
                <w:rFonts w:hint="eastAsia" w:ascii="宋体" w:hAnsi="宋体" w:cs="宋体"/>
                <w:color w:val="auto"/>
                <w:kern w:val="0"/>
                <w:szCs w:val="21"/>
                <w:highlight w:val="none"/>
                <w:lang w:eastAsia="zh-CN" w:bidi="ar"/>
              </w:rPr>
              <w:t>穆松桥</w:t>
            </w:r>
            <w:r>
              <w:rPr>
                <w:rFonts w:hint="eastAsia" w:ascii="宋体" w:hAnsi="宋体" w:cs="宋体"/>
                <w:color w:val="auto"/>
                <w:kern w:val="0"/>
                <w:szCs w:val="21"/>
                <w:highlight w:val="none"/>
                <w:lang w:bidi="ar"/>
              </w:rPr>
              <w:t>、泫氏</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球墨铸铁管，承插连接，防腐要求详图纸，具体按实计算</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9</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给水管（含管件、防腐、胶圈）</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30</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新兴、</w:t>
            </w:r>
            <w:r>
              <w:rPr>
                <w:rFonts w:hint="eastAsia" w:ascii="宋体" w:hAnsi="宋体" w:cs="宋体"/>
                <w:color w:val="auto"/>
                <w:kern w:val="0"/>
                <w:szCs w:val="21"/>
                <w:highlight w:val="none"/>
                <w:lang w:eastAsia="zh-CN" w:bidi="ar"/>
              </w:rPr>
              <w:t>穆松桥</w:t>
            </w:r>
            <w:r>
              <w:rPr>
                <w:rFonts w:hint="eastAsia" w:ascii="宋体" w:hAnsi="宋体" w:cs="宋体"/>
                <w:color w:val="auto"/>
                <w:kern w:val="0"/>
                <w:szCs w:val="21"/>
                <w:highlight w:val="none"/>
                <w:lang w:bidi="ar"/>
              </w:rPr>
              <w:t>、泫氏</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球墨铸铁管，承插连接，防腐要求详图纸，具体按实计算</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10</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DN150/Z15T-10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DN100/Z15T-10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场外消火栓</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上海冠龙、龙威、管威</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参见</w:t>
            </w:r>
            <w:r>
              <w:rPr>
                <w:rFonts w:ascii="Times New Roman" w:hAnsi="Times New Roman"/>
                <w:color w:val="auto"/>
                <w:kern w:val="0"/>
                <w:szCs w:val="21"/>
                <w:highlight w:val="none"/>
                <w:lang w:bidi="ar"/>
              </w:rPr>
              <w:t>10S201</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成品90°钢制弯头</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9</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ascii="宋体" w:hAnsi="宋体" w:cs="宋体"/>
                <w:color w:val="auto"/>
                <w:kern w:val="0"/>
                <w:szCs w:val="21"/>
                <w:highlight w:val="none"/>
                <w:lang w:bidi="ar"/>
              </w:rPr>
              <w:t>防腐要求详图纸（内外双层环氧粉末）</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jc w:val="center"/>
              <w:rPr>
                <w:rFonts w:ascii="宋体" w:hAnsi="宋体" w:cs="宋体"/>
                <w:color w:val="auto"/>
                <w:szCs w:val="21"/>
                <w:highlight w:val="none"/>
              </w:rPr>
            </w:pP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DN1000阀门井</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电动暗杆弹性座封闸阀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w:t>
            </w:r>
            <w:r>
              <w:rPr>
                <w:rFonts w:ascii="Times New Roman" w:hAnsi="Times New Roman"/>
                <w:color w:val="auto"/>
                <w:kern w:val="0"/>
                <w:szCs w:val="21"/>
                <w:highlight w:val="none"/>
                <w:lang w:bidi="ar"/>
              </w:rPr>
              <w:t>(KARON)</w:t>
            </w:r>
            <w:r>
              <w:rPr>
                <w:rFonts w:hint="eastAsia" w:ascii="宋体" w:hAnsi="宋体" w:cs="宋体"/>
                <w:color w:val="auto"/>
                <w:kern w:val="0"/>
                <w:szCs w:val="21"/>
                <w:highlight w:val="none"/>
                <w:lang w:bidi="ar"/>
              </w:rPr>
              <w:t>、阀安格（</w:t>
            </w:r>
            <w:r>
              <w:rPr>
                <w:rFonts w:ascii="Times New Roman" w:hAnsi="Times New Roman"/>
                <w:color w:val="auto"/>
                <w:kern w:val="0"/>
                <w:szCs w:val="21"/>
                <w:highlight w:val="none"/>
                <w:lang w:bidi="ar"/>
              </w:rPr>
              <w:t>VAG</w:t>
            </w:r>
            <w:r>
              <w:rPr>
                <w:rFonts w:hint="eastAsia" w:ascii="宋体" w:hAnsi="宋体" w:cs="宋体"/>
                <w:color w:val="auto"/>
                <w:kern w:val="0"/>
                <w:szCs w:val="21"/>
                <w:highlight w:val="none"/>
                <w:lang w:bidi="ar"/>
              </w:rPr>
              <w:t>）、凯士比</w:t>
            </w:r>
            <w:r>
              <w:rPr>
                <w:rFonts w:ascii="Times New Roman" w:hAnsi="Times New Roman"/>
                <w:color w:val="auto"/>
                <w:kern w:val="0"/>
                <w:szCs w:val="21"/>
                <w:highlight w:val="none"/>
                <w:lang w:bidi="ar"/>
              </w:rPr>
              <w:t>(KSB)</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带电动头，带相序保护、力矩保护</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球墨</w:t>
            </w: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双法兰传力伸缩接头</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上海冠龙、无锡苏羊、无锡金羊</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钢</w:t>
            </w: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钢制法兰</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  PN1.0MPa</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做法参见</w:t>
            </w:r>
            <w:r>
              <w:rPr>
                <w:rFonts w:ascii="Times New Roman" w:hAnsi="Times New Roman"/>
                <w:color w:val="auto"/>
                <w:kern w:val="0"/>
                <w:szCs w:val="21"/>
                <w:highlight w:val="none"/>
                <w:lang w:bidi="ar"/>
              </w:rPr>
              <w:t>02S403/78-79</w:t>
            </w:r>
            <w:r>
              <w:rPr>
                <w:rFonts w:hint="eastAsia" w:ascii="宋体" w:hAnsi="宋体" w:cs="宋体"/>
                <w:color w:val="auto"/>
                <w:kern w:val="0"/>
                <w:szCs w:val="21"/>
                <w:highlight w:val="none"/>
                <w:lang w:bidi="ar"/>
              </w:rPr>
              <w:t>页，配2套不锈钢螺栓、螺帽</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钢</w:t>
            </w: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移动式潜污泵（带自控柜）</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Q=7.0m/h,H=7.0M,P=0.55KW,D=50mm</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蓝深、丰球、亚太</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由集水坑内水位自动控制泵机开停</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5</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止回阀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H44J-6,DN50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6</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内螺纹暗杆楔式铜闸阀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做法参见</w:t>
            </w:r>
            <w:r>
              <w:rPr>
                <w:rFonts w:ascii="Times New Roman" w:hAnsi="Times New Roman"/>
                <w:color w:val="auto"/>
                <w:kern w:val="0"/>
                <w:szCs w:val="21"/>
                <w:highlight w:val="none"/>
                <w:lang w:bidi="ar"/>
              </w:rPr>
              <w:t>02S403/78-79</w:t>
            </w:r>
            <w:r>
              <w:rPr>
                <w:rFonts w:hint="eastAsia" w:ascii="宋体" w:hAnsi="宋体" w:cs="宋体"/>
                <w:color w:val="auto"/>
                <w:kern w:val="0"/>
                <w:szCs w:val="21"/>
                <w:highlight w:val="none"/>
                <w:lang w:bidi="ar"/>
              </w:rPr>
              <w:t>页</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7</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弹性座封闸阀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RVHX暗杆型 DN80 PN1.0MPa</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w:t>
            </w:r>
            <w:r>
              <w:rPr>
                <w:rFonts w:ascii="Times New Roman" w:hAnsi="Times New Roman"/>
                <w:color w:val="auto"/>
                <w:kern w:val="0"/>
                <w:szCs w:val="21"/>
                <w:highlight w:val="none"/>
                <w:lang w:bidi="ar"/>
              </w:rPr>
              <w:t>(KARON)</w:t>
            </w:r>
            <w:r>
              <w:rPr>
                <w:rFonts w:hint="eastAsia" w:ascii="宋体" w:hAnsi="宋体" w:cs="宋体"/>
                <w:color w:val="auto"/>
                <w:kern w:val="0"/>
                <w:szCs w:val="21"/>
                <w:highlight w:val="none"/>
                <w:lang w:bidi="ar"/>
              </w:rPr>
              <w:t>、阀安格（</w:t>
            </w:r>
            <w:r>
              <w:rPr>
                <w:rFonts w:ascii="Times New Roman" w:hAnsi="Times New Roman"/>
                <w:color w:val="auto"/>
                <w:kern w:val="0"/>
                <w:szCs w:val="21"/>
                <w:highlight w:val="none"/>
                <w:lang w:bidi="ar"/>
              </w:rPr>
              <w:t>VAG</w:t>
            </w:r>
            <w:r>
              <w:rPr>
                <w:rFonts w:hint="eastAsia" w:ascii="宋体" w:hAnsi="宋体" w:cs="宋体"/>
                <w:color w:val="auto"/>
                <w:kern w:val="0"/>
                <w:szCs w:val="21"/>
                <w:highlight w:val="none"/>
                <w:lang w:bidi="ar"/>
              </w:rPr>
              <w:t>）、凯士比</w:t>
            </w:r>
            <w:r>
              <w:rPr>
                <w:rFonts w:ascii="Times New Roman" w:hAnsi="Times New Roman"/>
                <w:color w:val="auto"/>
                <w:kern w:val="0"/>
                <w:szCs w:val="21"/>
                <w:highlight w:val="none"/>
                <w:lang w:bidi="ar"/>
              </w:rPr>
              <w:t>(KSB)</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8</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排气阀配套用缓冲塞阀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SCKV-0080,DN80 PN1.0MPa</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w:t>
            </w:r>
            <w:r>
              <w:rPr>
                <w:rFonts w:ascii="Times New Roman" w:hAnsi="Times New Roman"/>
                <w:color w:val="auto"/>
                <w:kern w:val="0"/>
                <w:szCs w:val="21"/>
                <w:highlight w:val="none"/>
                <w:lang w:bidi="ar"/>
              </w:rPr>
              <w:t>(KARON)</w:t>
            </w:r>
            <w:r>
              <w:rPr>
                <w:rFonts w:hint="eastAsia" w:ascii="宋体" w:hAnsi="宋体" w:cs="宋体"/>
                <w:color w:val="auto"/>
                <w:kern w:val="0"/>
                <w:szCs w:val="21"/>
                <w:highlight w:val="none"/>
                <w:lang w:bidi="ar"/>
              </w:rPr>
              <w:t>、阀安格（</w:t>
            </w:r>
            <w:r>
              <w:rPr>
                <w:rFonts w:ascii="Times New Roman" w:hAnsi="Times New Roman"/>
                <w:color w:val="auto"/>
                <w:kern w:val="0"/>
                <w:szCs w:val="21"/>
                <w:highlight w:val="none"/>
                <w:lang w:bidi="ar"/>
              </w:rPr>
              <w:t>VAG</w:t>
            </w:r>
            <w:r>
              <w:rPr>
                <w:rFonts w:hint="eastAsia" w:ascii="宋体" w:hAnsi="宋体" w:cs="宋体"/>
                <w:color w:val="auto"/>
                <w:kern w:val="0"/>
                <w:szCs w:val="21"/>
                <w:highlight w:val="none"/>
                <w:lang w:bidi="ar"/>
              </w:rPr>
              <w:t>）、凯士比</w:t>
            </w:r>
            <w:r>
              <w:rPr>
                <w:rFonts w:ascii="Times New Roman" w:hAnsi="Times New Roman"/>
                <w:color w:val="auto"/>
                <w:kern w:val="0"/>
                <w:szCs w:val="21"/>
                <w:highlight w:val="none"/>
                <w:lang w:bidi="ar"/>
              </w:rPr>
              <w:t>(KSB)</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9</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排气阀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SCAR-10型污水复合式排气阀,DN80 PN1.0MPa</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w:t>
            </w:r>
            <w:r>
              <w:rPr>
                <w:rFonts w:ascii="Times New Roman" w:hAnsi="Times New Roman"/>
                <w:color w:val="auto"/>
                <w:kern w:val="0"/>
                <w:szCs w:val="21"/>
                <w:highlight w:val="none"/>
                <w:lang w:bidi="ar"/>
              </w:rPr>
              <w:t>(KARON)</w:t>
            </w:r>
            <w:r>
              <w:rPr>
                <w:rFonts w:hint="eastAsia" w:ascii="宋体" w:hAnsi="宋体" w:cs="宋体"/>
                <w:color w:val="auto"/>
                <w:kern w:val="0"/>
                <w:szCs w:val="21"/>
                <w:highlight w:val="none"/>
                <w:lang w:bidi="ar"/>
              </w:rPr>
              <w:t>、阀安格（</w:t>
            </w:r>
            <w:r>
              <w:rPr>
                <w:rFonts w:ascii="Times New Roman" w:hAnsi="Times New Roman"/>
                <w:color w:val="auto"/>
                <w:kern w:val="0"/>
                <w:szCs w:val="21"/>
                <w:highlight w:val="none"/>
                <w:lang w:bidi="ar"/>
              </w:rPr>
              <w:t>VAG</w:t>
            </w:r>
            <w:r>
              <w:rPr>
                <w:rFonts w:hint="eastAsia" w:ascii="宋体" w:hAnsi="宋体" w:cs="宋体"/>
                <w:color w:val="auto"/>
                <w:kern w:val="0"/>
                <w:szCs w:val="21"/>
                <w:highlight w:val="none"/>
                <w:lang w:bidi="ar"/>
              </w:rPr>
              <w:t>）、凯士比</w:t>
            </w:r>
            <w:r>
              <w:rPr>
                <w:rFonts w:ascii="Times New Roman" w:hAnsi="Times New Roman"/>
                <w:color w:val="auto"/>
                <w:kern w:val="0"/>
                <w:szCs w:val="21"/>
                <w:highlight w:val="none"/>
                <w:lang w:bidi="ar"/>
              </w:rPr>
              <w:t>(KSB)</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jc w:val="center"/>
              <w:rPr>
                <w:rFonts w:ascii="宋体" w:hAnsi="宋体" w:cs="宋体"/>
                <w:color w:val="auto"/>
                <w:szCs w:val="21"/>
                <w:highlight w:val="none"/>
              </w:rPr>
            </w:pP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DN1000流量计井</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管道式电磁流量计（带二次仪表）</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LD-J010000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金田、科隆、西门子</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正常配套电缆线、信号线</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双法兰传力伸缩接头</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上海冠龙、无锡苏羊、无锡金羊</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钢制法兰</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  PN1.0MPa</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做法参见</w:t>
            </w:r>
            <w:r>
              <w:rPr>
                <w:rFonts w:ascii="Times New Roman" w:hAnsi="Times New Roman"/>
                <w:color w:val="auto"/>
                <w:kern w:val="0"/>
                <w:szCs w:val="21"/>
                <w:highlight w:val="none"/>
                <w:lang w:bidi="ar"/>
              </w:rPr>
              <w:t>02S403/78-79</w:t>
            </w:r>
            <w:r>
              <w:rPr>
                <w:rFonts w:hint="eastAsia" w:ascii="宋体" w:hAnsi="宋体" w:cs="宋体"/>
                <w:color w:val="auto"/>
                <w:kern w:val="0"/>
                <w:szCs w:val="21"/>
                <w:highlight w:val="none"/>
                <w:lang w:bidi="ar"/>
              </w:rPr>
              <w:t>页，配2套不锈钢螺栓、螺帽</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移动式潜污泵（带自控柜）</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Q=7.0m/h,H=7.0M,P=0.55KW</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蓝深、丰球、亚太</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由集水坑内水位自动控制泵机开停</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5</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止回阀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H44J-6,DN50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6</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内螺纹暗杆楔式铜闸阀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做法参见</w:t>
            </w:r>
            <w:r>
              <w:rPr>
                <w:rFonts w:ascii="Times New Roman" w:hAnsi="Times New Roman"/>
                <w:color w:val="auto"/>
                <w:kern w:val="0"/>
                <w:szCs w:val="21"/>
                <w:highlight w:val="none"/>
                <w:lang w:bidi="ar"/>
              </w:rPr>
              <w:t>02S403/78-79</w:t>
            </w:r>
            <w:r>
              <w:rPr>
                <w:rFonts w:hint="eastAsia" w:ascii="宋体" w:hAnsi="宋体" w:cs="宋体"/>
                <w:color w:val="auto"/>
                <w:kern w:val="0"/>
                <w:szCs w:val="21"/>
                <w:highlight w:val="none"/>
                <w:lang w:bidi="ar"/>
              </w:rPr>
              <w:t>页</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9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7</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KYB</w:t>
            </w:r>
            <w:r>
              <w:rPr>
                <w:rFonts w:hint="eastAsia" w:ascii="宋体" w:hAnsi="宋体" w:cs="宋体"/>
                <w:color w:val="auto"/>
                <w:kern w:val="0"/>
                <w:szCs w:val="21"/>
                <w:highlight w:val="none"/>
                <w:lang w:bidi="ar"/>
              </w:rPr>
              <w:t>型智能压力变送器</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压力表直径</w:t>
            </w:r>
            <w:r>
              <w:rPr>
                <w:rFonts w:ascii="Times New Roman" w:hAnsi="Times New Roman"/>
                <w:color w:val="auto"/>
                <w:kern w:val="0"/>
                <w:szCs w:val="21"/>
                <w:highlight w:val="none"/>
                <w:lang w:bidi="ar"/>
              </w:rPr>
              <w:t>100mm,</w:t>
            </w:r>
            <w:r>
              <w:rPr>
                <w:rFonts w:hint="eastAsia" w:ascii="宋体" w:hAnsi="宋体" w:cs="宋体"/>
                <w:color w:val="auto"/>
                <w:kern w:val="0"/>
                <w:szCs w:val="21"/>
                <w:highlight w:val="none"/>
                <w:lang w:bidi="ar"/>
              </w:rPr>
              <w:t>测量范围</w:t>
            </w:r>
            <w:r>
              <w:rPr>
                <w:rFonts w:ascii="Times New Roman" w:hAnsi="Times New Roman"/>
                <w:color w:val="auto"/>
                <w:kern w:val="0"/>
                <w:szCs w:val="21"/>
                <w:highlight w:val="none"/>
                <w:lang w:bidi="ar"/>
              </w:rPr>
              <w:t>:0~1.0MPa,</w:t>
            </w:r>
            <w:r>
              <w:rPr>
                <w:rFonts w:hint="eastAsia" w:ascii="宋体" w:hAnsi="宋体" w:cs="宋体"/>
                <w:color w:val="auto"/>
                <w:kern w:val="0"/>
                <w:szCs w:val="21"/>
                <w:highlight w:val="none"/>
                <w:lang w:bidi="ar"/>
              </w:rPr>
              <w:t>配</w:t>
            </w:r>
            <w:r>
              <w:rPr>
                <w:rFonts w:ascii="Times New Roman" w:hAnsi="Times New Roman"/>
                <w:color w:val="auto"/>
                <w:kern w:val="0"/>
                <w:szCs w:val="21"/>
                <w:highlight w:val="none"/>
                <w:lang w:bidi="ar"/>
              </w:rPr>
              <w:t>Z15T</w:t>
            </w:r>
            <w:r>
              <w:rPr>
                <w:rFonts w:hint="eastAsia" w:ascii="宋体" w:hAnsi="宋体" w:cs="宋体"/>
                <w:color w:val="auto"/>
                <w:kern w:val="0"/>
                <w:szCs w:val="21"/>
                <w:highlight w:val="none"/>
                <w:lang w:bidi="ar"/>
              </w:rPr>
              <w:t>丝扣闸阀</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康宇、</w:t>
            </w:r>
            <w:r>
              <w:rPr>
                <w:rFonts w:ascii="Times New Roman" w:hAnsi="Times New Roman"/>
                <w:color w:val="auto"/>
                <w:kern w:val="0"/>
                <w:szCs w:val="21"/>
                <w:highlight w:val="none"/>
                <w:lang w:bidi="ar"/>
              </w:rPr>
              <w:t>E+H</w:t>
            </w:r>
            <w:r>
              <w:rPr>
                <w:rFonts w:hint="eastAsia" w:ascii="宋体" w:hAnsi="宋体" w:cs="宋体"/>
                <w:color w:val="auto"/>
                <w:kern w:val="0"/>
                <w:szCs w:val="21"/>
                <w:highlight w:val="none"/>
                <w:lang w:bidi="ar"/>
              </w:rPr>
              <w:t>、西门子</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132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8</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（增加）监测点设施</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双开门：1300*1200*400不锈钢电箱，计量电表，UPS，插座，停电记录仪，中间继电器，蓄电池，断路器，直流电源避雷器，流量采用485通讯的信号避雷器，24V开关电源，V88通讯模块，门磁开关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亚大、兴联、和达</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jc w:val="center"/>
              <w:rPr>
                <w:rFonts w:ascii="宋体" w:hAnsi="宋体" w:cs="宋体"/>
                <w:color w:val="auto"/>
                <w:szCs w:val="21"/>
                <w:highlight w:val="none"/>
              </w:rPr>
            </w:pP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泵站工艺</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8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潜水排污泵</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进口</w:t>
            </w:r>
            <w:r>
              <w:rPr>
                <w:rFonts w:ascii="Times New Roman" w:hAnsi="Times New Roman"/>
                <w:color w:val="auto"/>
                <w:kern w:val="0"/>
                <w:szCs w:val="21"/>
                <w:highlight w:val="none"/>
                <w:lang w:bidi="ar"/>
              </w:rPr>
              <w:t>)</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kern w:val="0"/>
                <w:szCs w:val="21"/>
                <w:highlight w:val="none"/>
                <w:lang w:bidi="ar"/>
              </w:rPr>
            </w:pPr>
            <w:r>
              <w:rPr>
                <w:rFonts w:ascii="Times New Roman" w:hAnsi="Times New Roman"/>
                <w:color w:val="auto"/>
                <w:kern w:val="0"/>
                <w:szCs w:val="21"/>
                <w:highlight w:val="none"/>
                <w:lang w:bidi="ar"/>
              </w:rPr>
              <w:t>Q=1100m</w:t>
            </w:r>
            <w:r>
              <w:rPr>
                <w:rFonts w:hint="eastAsia" w:ascii="Times New Roman" w:hAnsi="Times New Roman"/>
                <w:color w:val="auto"/>
                <w:kern w:val="0"/>
                <w:szCs w:val="21"/>
                <w:highlight w:val="none"/>
                <w:vertAlign w:val="superscript"/>
                <w:lang w:bidi="ar"/>
              </w:rPr>
              <w:t>3</w:t>
            </w:r>
            <w:r>
              <w:rPr>
                <w:rFonts w:ascii="Times New Roman" w:hAnsi="Times New Roman"/>
                <w:color w:val="auto"/>
                <w:kern w:val="0"/>
                <w:szCs w:val="21"/>
                <w:highlight w:val="none"/>
                <w:lang w:bidi="ar"/>
              </w:rPr>
              <w:t xml:space="preserve"> /h,</w:t>
            </w:r>
          </w:p>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H=16m,P=75KW</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ITT(</w:t>
            </w:r>
            <w:r>
              <w:rPr>
                <w:rFonts w:hint="eastAsia" w:ascii="宋体" w:hAnsi="宋体" w:cs="宋体"/>
                <w:color w:val="auto"/>
                <w:kern w:val="0"/>
                <w:szCs w:val="21"/>
                <w:highlight w:val="none"/>
                <w:lang w:bidi="ar"/>
              </w:rPr>
              <w:t>飞力</w:t>
            </w:r>
            <w:r>
              <w:rPr>
                <w:rFonts w:ascii="Times New Roman" w:hAnsi="Times New Roman"/>
                <w:color w:val="auto"/>
                <w:kern w:val="0"/>
                <w:szCs w:val="21"/>
                <w:highlight w:val="none"/>
                <w:lang w:bidi="ar"/>
              </w:rPr>
              <w:t>)</w:t>
            </w:r>
            <w:r>
              <w:rPr>
                <w:rFonts w:hint="eastAsia" w:ascii="Times New Roman" w:hAnsi="Times New Roman"/>
                <w:color w:val="auto"/>
                <w:kern w:val="0"/>
                <w:szCs w:val="21"/>
                <w:highlight w:val="none"/>
                <w:lang w:bidi="ar"/>
              </w:rPr>
              <w:t>、</w:t>
            </w:r>
            <w:r>
              <w:rPr>
                <w:rFonts w:ascii="Times New Roman" w:hAnsi="Times New Roman"/>
                <w:color w:val="auto"/>
                <w:kern w:val="0"/>
                <w:szCs w:val="21"/>
                <w:highlight w:val="none"/>
                <w:lang w:bidi="ar"/>
              </w:rPr>
              <w:t>KSB</w:t>
            </w:r>
            <w:r>
              <w:rPr>
                <w:rFonts w:hint="eastAsia" w:ascii="Times New Roman" w:hAnsi="Times New Roman"/>
                <w:color w:val="auto"/>
                <w:kern w:val="0"/>
                <w:szCs w:val="21"/>
                <w:highlight w:val="none"/>
                <w:lang w:bidi="ar"/>
              </w:rPr>
              <w:t>、</w:t>
            </w:r>
            <w:r>
              <w:rPr>
                <w:rFonts w:ascii="Times New Roman" w:hAnsi="Times New Roman"/>
                <w:color w:val="auto"/>
                <w:kern w:val="0"/>
                <w:szCs w:val="21"/>
                <w:highlight w:val="none"/>
                <w:lang w:bidi="ar"/>
              </w:rPr>
              <w:t>SULZER</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三用一备，每台含不锈钢链、配专用起吊环等配件，每台带备件包及保护板</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循环式齿耙格栅机（带控制柜）</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 xml:space="preserve">B=1580 N=1.5KW </w:t>
            </w:r>
            <w:r>
              <w:rPr>
                <w:rFonts w:hint="eastAsia" w:ascii="宋体" w:hAnsi="宋体" w:cs="宋体"/>
                <w:color w:val="auto"/>
                <w:kern w:val="0"/>
                <w:szCs w:val="21"/>
                <w:highlight w:val="none"/>
                <w:lang w:bidi="ar"/>
              </w:rPr>
              <w:t>齿耙间隙</w:t>
            </w:r>
            <w:r>
              <w:rPr>
                <w:rFonts w:ascii="Times New Roman" w:hAnsi="Times New Roman"/>
                <w:color w:val="auto"/>
                <w:kern w:val="0"/>
                <w:szCs w:val="21"/>
                <w:highlight w:val="none"/>
                <w:lang w:bidi="ar"/>
              </w:rPr>
              <w:t>15mm</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江苏河海、余姚浙东、南通华新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r>
              <w:rPr>
                <w:rFonts w:hint="eastAsia" w:ascii="Times New Roman" w:hAnsi="Times New Roman"/>
                <w:color w:val="auto"/>
                <w:szCs w:val="21"/>
                <w:highlight w:val="none"/>
              </w:rPr>
              <w:t>带不锈钢垃圾斗2只</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闸门</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SFZ-1500</w:t>
            </w:r>
            <w:r>
              <w:rPr>
                <w:rFonts w:hint="eastAsia" w:ascii="宋体" w:hAnsi="宋体" w:cs="宋体"/>
                <w:color w:val="auto"/>
                <w:kern w:val="0"/>
                <w:szCs w:val="21"/>
                <w:highlight w:val="none"/>
                <w:lang w:bidi="ar"/>
              </w:rPr>
              <w:t>型铸铁镶方闸门</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江苏河海、余姚浙东、南通华新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附壁式安装</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闸门</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SYZ-1500</w:t>
            </w:r>
            <w:r>
              <w:rPr>
                <w:rFonts w:hint="eastAsia" w:ascii="宋体" w:hAnsi="宋体" w:cs="宋体"/>
                <w:color w:val="auto"/>
                <w:kern w:val="0"/>
                <w:szCs w:val="21"/>
                <w:highlight w:val="none"/>
                <w:lang w:bidi="ar"/>
              </w:rPr>
              <w:t>型铸铁镶方闸门</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江苏河海、余姚浙东、南通华新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附壁式安装</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5</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启闭机（带控制柜）</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QDA-45</w:t>
            </w:r>
            <w:r>
              <w:rPr>
                <w:rFonts w:hint="eastAsia" w:ascii="宋体" w:hAnsi="宋体" w:cs="宋体"/>
                <w:color w:val="auto"/>
                <w:kern w:val="0"/>
                <w:szCs w:val="21"/>
                <w:highlight w:val="none"/>
                <w:lang w:bidi="ar"/>
              </w:rPr>
              <w:t>型手电两用启闭机</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5</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闸门配套</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电机功率</w:t>
            </w:r>
            <w:r>
              <w:rPr>
                <w:rFonts w:ascii="Times New Roman" w:hAnsi="Times New Roman"/>
                <w:color w:val="auto"/>
                <w:kern w:val="0"/>
                <w:szCs w:val="21"/>
                <w:highlight w:val="none"/>
                <w:lang w:bidi="ar"/>
              </w:rPr>
              <w:t>:1.5kW</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6</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单轨电动葫芦</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MD1-3-18D</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奇瑞、中原矿山、卫华</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起重量</w:t>
            </w:r>
            <w:r>
              <w:rPr>
                <w:rFonts w:ascii="Times New Roman" w:hAnsi="Times New Roman"/>
                <w:color w:val="auto"/>
                <w:kern w:val="0"/>
                <w:szCs w:val="21"/>
                <w:highlight w:val="none"/>
                <w:lang w:bidi="ar"/>
              </w:rPr>
              <w:t>3t,</w:t>
            </w:r>
            <w:r>
              <w:rPr>
                <w:rFonts w:hint="eastAsia" w:ascii="宋体" w:hAnsi="宋体" w:cs="宋体"/>
                <w:color w:val="auto"/>
                <w:kern w:val="0"/>
                <w:szCs w:val="21"/>
                <w:highlight w:val="none"/>
                <w:lang w:bidi="ar"/>
              </w:rPr>
              <w:t>起升高度</w:t>
            </w:r>
            <w:r>
              <w:rPr>
                <w:rFonts w:ascii="Times New Roman" w:hAnsi="Times New Roman"/>
                <w:color w:val="auto"/>
                <w:kern w:val="0"/>
                <w:szCs w:val="21"/>
                <w:highlight w:val="none"/>
                <w:lang w:bidi="ar"/>
              </w:rPr>
              <w:t>18m</w:t>
            </w:r>
            <w:r>
              <w:rPr>
                <w:rFonts w:hint="eastAsia" w:ascii="宋体" w:hAnsi="宋体" w:cs="宋体"/>
                <w:color w:val="auto"/>
                <w:kern w:val="0"/>
                <w:szCs w:val="21"/>
                <w:highlight w:val="none"/>
                <w:lang w:bidi="ar"/>
              </w:rPr>
              <w:t>。</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7</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双盘偏心异径管</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DN350x500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02S403/52-54,</w:t>
            </w:r>
            <w:r>
              <w:rPr>
                <w:rFonts w:hint="eastAsia" w:ascii="宋体" w:hAnsi="宋体" w:cs="宋体"/>
                <w:color w:val="auto"/>
                <w:kern w:val="0"/>
                <w:szCs w:val="21"/>
                <w:highlight w:val="none"/>
                <w:lang w:bidi="ar"/>
              </w:rPr>
              <w:t>法兰为</w:t>
            </w:r>
            <w:r>
              <w:rPr>
                <w:rFonts w:ascii="Times New Roman" w:hAnsi="Times New Roman"/>
                <w:color w:val="auto"/>
                <w:kern w:val="0"/>
                <w:szCs w:val="21"/>
                <w:highlight w:val="none"/>
                <w:lang w:bidi="ar"/>
              </w:rPr>
              <w:t>1.0Mpa</w:t>
            </w:r>
            <w:r>
              <w:rPr>
                <w:rFonts w:hint="eastAsia" w:ascii="宋体" w:hAnsi="宋体" w:cs="宋体"/>
                <w:color w:val="auto"/>
                <w:kern w:val="0"/>
                <w:szCs w:val="21"/>
                <w:highlight w:val="none"/>
                <w:lang w:bidi="ar"/>
              </w:rPr>
              <w:t>，法兰配套螺栓螺帽，余同</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8</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双盘直管</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DN500,L=5440mm</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壁厚</w:t>
            </w:r>
            <w:r>
              <w:rPr>
                <w:rFonts w:ascii="Times New Roman" w:hAnsi="Times New Roman"/>
                <w:color w:val="auto"/>
                <w:kern w:val="0"/>
                <w:szCs w:val="21"/>
                <w:highlight w:val="none"/>
                <w:lang w:bidi="ar"/>
              </w:rPr>
              <w:t>10mm</w:t>
            </w:r>
            <w:r>
              <w:rPr>
                <w:rFonts w:hint="eastAsia" w:ascii="宋体" w:hAnsi="宋体" w:cs="宋体"/>
                <w:color w:val="auto"/>
                <w:kern w:val="0"/>
                <w:szCs w:val="21"/>
                <w:highlight w:val="none"/>
                <w:lang w:bidi="ar"/>
              </w:rPr>
              <w:t>钢管</w:t>
            </w:r>
            <w:r>
              <w:rPr>
                <w:rFonts w:ascii="Times New Roman" w:hAnsi="Times New Roman"/>
                <w:color w:val="auto"/>
                <w:kern w:val="0"/>
                <w:szCs w:val="21"/>
                <w:highlight w:val="none"/>
                <w:lang w:bidi="ar"/>
              </w:rPr>
              <w:t>,DN500(PN1.0Mpa)</w:t>
            </w:r>
            <w:r>
              <w:rPr>
                <w:rFonts w:hint="eastAsia" w:ascii="宋体" w:hAnsi="宋体" w:cs="宋体"/>
                <w:color w:val="auto"/>
                <w:kern w:val="0"/>
                <w:szCs w:val="21"/>
                <w:highlight w:val="none"/>
                <w:lang w:bidi="ar"/>
              </w:rPr>
              <w:t>法兰</w:t>
            </w:r>
            <w:r>
              <w:rPr>
                <w:rFonts w:ascii="Times New Roman" w:hAnsi="Times New Roman"/>
                <w:color w:val="auto"/>
                <w:kern w:val="0"/>
                <w:szCs w:val="21"/>
                <w:highlight w:val="none"/>
                <w:lang w:bidi="ar"/>
              </w:rPr>
              <w:t>2</w:t>
            </w:r>
            <w:r>
              <w:rPr>
                <w:rFonts w:hint="eastAsia" w:ascii="宋体" w:hAnsi="宋体" w:cs="宋体"/>
                <w:color w:val="auto"/>
                <w:kern w:val="0"/>
                <w:szCs w:val="21"/>
                <w:highlight w:val="none"/>
                <w:lang w:bidi="ar"/>
              </w:rPr>
              <w:t>件</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9</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90°</w:t>
            </w:r>
            <w:r>
              <w:rPr>
                <w:rFonts w:hint="eastAsia" w:ascii="宋体" w:hAnsi="宋体" w:cs="宋体"/>
                <w:color w:val="auto"/>
                <w:kern w:val="0"/>
                <w:szCs w:val="21"/>
                <w:highlight w:val="none"/>
                <w:lang w:bidi="ar"/>
              </w:rPr>
              <w:t>弯管</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02S403/</w:t>
            </w:r>
            <w:r>
              <w:rPr>
                <w:rFonts w:hint="eastAsia" w:ascii="宋体" w:hAnsi="宋体" w:cs="宋体"/>
                <w:color w:val="auto"/>
                <w:kern w:val="0"/>
                <w:szCs w:val="21"/>
                <w:highlight w:val="none"/>
                <w:lang w:bidi="ar"/>
              </w:rPr>
              <w:t>页</w:t>
            </w:r>
            <w:r>
              <w:rPr>
                <w:rFonts w:ascii="Times New Roman" w:hAnsi="Times New Roman"/>
                <w:color w:val="auto"/>
                <w:kern w:val="0"/>
                <w:szCs w:val="21"/>
                <w:highlight w:val="none"/>
                <w:lang w:bidi="ar"/>
              </w:rPr>
              <w:t>8-9</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10</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双盘直管</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DN500,L=1200mm</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壁厚</w:t>
            </w:r>
            <w:r>
              <w:rPr>
                <w:rFonts w:ascii="Times New Roman" w:hAnsi="Times New Roman"/>
                <w:color w:val="auto"/>
                <w:kern w:val="0"/>
                <w:szCs w:val="21"/>
                <w:highlight w:val="none"/>
                <w:lang w:bidi="ar"/>
              </w:rPr>
              <w:t>10mm</w:t>
            </w:r>
            <w:r>
              <w:rPr>
                <w:rFonts w:hint="eastAsia" w:ascii="宋体" w:hAnsi="宋体" w:cs="宋体"/>
                <w:color w:val="auto"/>
                <w:kern w:val="0"/>
                <w:szCs w:val="21"/>
                <w:highlight w:val="none"/>
                <w:lang w:bidi="ar"/>
              </w:rPr>
              <w:t>钢管</w:t>
            </w:r>
            <w:r>
              <w:rPr>
                <w:rFonts w:ascii="Times New Roman" w:hAnsi="Times New Roman"/>
                <w:color w:val="auto"/>
                <w:kern w:val="0"/>
                <w:szCs w:val="21"/>
                <w:highlight w:val="none"/>
                <w:lang w:bidi="ar"/>
              </w:rPr>
              <w:t>,DN500(PN1.0Mpa)</w:t>
            </w:r>
            <w:r>
              <w:rPr>
                <w:rFonts w:hint="eastAsia" w:ascii="宋体" w:hAnsi="宋体" w:cs="宋体"/>
                <w:color w:val="auto"/>
                <w:kern w:val="0"/>
                <w:szCs w:val="21"/>
                <w:highlight w:val="none"/>
                <w:lang w:bidi="ar"/>
              </w:rPr>
              <w:t>法兰</w:t>
            </w:r>
            <w:r>
              <w:rPr>
                <w:rFonts w:ascii="Times New Roman" w:hAnsi="Times New Roman"/>
                <w:color w:val="auto"/>
                <w:kern w:val="0"/>
                <w:szCs w:val="21"/>
                <w:highlight w:val="none"/>
                <w:lang w:bidi="ar"/>
              </w:rPr>
              <w:t>2</w:t>
            </w:r>
            <w:r>
              <w:rPr>
                <w:rFonts w:hint="eastAsia" w:ascii="宋体" w:hAnsi="宋体" w:cs="宋体"/>
                <w:color w:val="auto"/>
                <w:kern w:val="0"/>
                <w:szCs w:val="21"/>
                <w:highlight w:val="none"/>
                <w:lang w:bidi="ar"/>
              </w:rPr>
              <w:t>件</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橡胶瓣逆止阀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SFCV-0500-B(</w:t>
            </w:r>
            <w:r>
              <w:rPr>
                <w:rFonts w:hint="eastAsia" w:ascii="宋体" w:hAnsi="宋体" w:cs="宋体"/>
                <w:color w:val="auto"/>
                <w:kern w:val="0"/>
                <w:szCs w:val="21"/>
                <w:highlight w:val="none"/>
                <w:lang w:bidi="ar"/>
              </w:rPr>
              <w:t>带油压缓闭装置</w:t>
            </w:r>
            <w:r>
              <w:rPr>
                <w:rFonts w:ascii="Times New Roman" w:hAnsi="Times New Roman"/>
                <w:color w:val="auto"/>
                <w:kern w:val="0"/>
                <w:szCs w:val="21"/>
                <w:highlight w:val="none"/>
                <w:lang w:bidi="ar"/>
              </w:rPr>
              <w:t>)</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w:t>
            </w:r>
            <w:r>
              <w:rPr>
                <w:rFonts w:ascii="Times New Roman" w:hAnsi="Times New Roman"/>
                <w:color w:val="auto"/>
                <w:kern w:val="0"/>
                <w:szCs w:val="21"/>
                <w:highlight w:val="none"/>
                <w:lang w:bidi="ar"/>
              </w:rPr>
              <w:t>(KARON)</w:t>
            </w:r>
            <w:r>
              <w:rPr>
                <w:rFonts w:hint="eastAsia" w:ascii="宋体" w:hAnsi="宋体" w:cs="宋体"/>
                <w:color w:val="auto"/>
                <w:kern w:val="0"/>
                <w:szCs w:val="21"/>
                <w:highlight w:val="none"/>
                <w:lang w:bidi="ar"/>
              </w:rPr>
              <w:t>、阀安格（</w:t>
            </w:r>
            <w:r>
              <w:rPr>
                <w:rFonts w:ascii="Times New Roman" w:hAnsi="Times New Roman"/>
                <w:color w:val="auto"/>
                <w:kern w:val="0"/>
                <w:szCs w:val="21"/>
                <w:highlight w:val="none"/>
                <w:lang w:bidi="ar"/>
              </w:rPr>
              <w:t>VAG</w:t>
            </w:r>
            <w:r>
              <w:rPr>
                <w:rFonts w:hint="eastAsia" w:ascii="宋体" w:hAnsi="宋体" w:cs="宋体"/>
                <w:color w:val="auto"/>
                <w:kern w:val="0"/>
                <w:szCs w:val="21"/>
                <w:highlight w:val="none"/>
                <w:lang w:bidi="ar"/>
              </w:rPr>
              <w:t>）、凯士比</w:t>
            </w:r>
            <w:r>
              <w:rPr>
                <w:rFonts w:ascii="Times New Roman" w:hAnsi="Times New Roman"/>
                <w:color w:val="auto"/>
                <w:kern w:val="0"/>
                <w:szCs w:val="21"/>
                <w:highlight w:val="none"/>
                <w:lang w:bidi="ar"/>
              </w:rPr>
              <w:t>(KSB)</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橡胶伸缩器</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GJQ-10 DN500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上海九峰、无锡金羊、上海冠龙</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手动弹性座封闸阀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RVHX-0500-10Q(DN500)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w:t>
            </w:r>
            <w:r>
              <w:rPr>
                <w:rFonts w:ascii="Times New Roman" w:hAnsi="Times New Roman"/>
                <w:color w:val="auto"/>
                <w:kern w:val="0"/>
                <w:szCs w:val="21"/>
                <w:highlight w:val="none"/>
                <w:lang w:bidi="ar"/>
              </w:rPr>
              <w:t>(KARON)</w:t>
            </w:r>
            <w:r>
              <w:rPr>
                <w:rFonts w:hint="eastAsia" w:ascii="宋体" w:hAnsi="宋体" w:cs="宋体"/>
                <w:color w:val="auto"/>
                <w:kern w:val="0"/>
                <w:szCs w:val="21"/>
                <w:highlight w:val="none"/>
                <w:lang w:bidi="ar"/>
              </w:rPr>
              <w:t>、阀安格（</w:t>
            </w:r>
            <w:r>
              <w:rPr>
                <w:rFonts w:ascii="Times New Roman" w:hAnsi="Times New Roman"/>
                <w:color w:val="auto"/>
                <w:kern w:val="0"/>
                <w:szCs w:val="21"/>
                <w:highlight w:val="none"/>
                <w:lang w:bidi="ar"/>
              </w:rPr>
              <w:t>VAG</w:t>
            </w:r>
            <w:r>
              <w:rPr>
                <w:rFonts w:hint="eastAsia" w:ascii="宋体" w:hAnsi="宋体" w:cs="宋体"/>
                <w:color w:val="auto"/>
                <w:kern w:val="0"/>
                <w:szCs w:val="21"/>
                <w:highlight w:val="none"/>
                <w:lang w:bidi="ar"/>
              </w:rPr>
              <w:t>）、凯士比</w:t>
            </w:r>
            <w:r>
              <w:rPr>
                <w:rFonts w:ascii="Times New Roman" w:hAnsi="Times New Roman"/>
                <w:color w:val="auto"/>
                <w:kern w:val="0"/>
                <w:szCs w:val="21"/>
                <w:highlight w:val="none"/>
                <w:lang w:bidi="ar"/>
              </w:rPr>
              <w:t>(KSB)</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14</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单盘直管</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DN500,L=380mm</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壁厚</w:t>
            </w:r>
            <w:r>
              <w:rPr>
                <w:rFonts w:ascii="Times New Roman" w:hAnsi="Times New Roman"/>
                <w:color w:val="auto"/>
                <w:kern w:val="0"/>
                <w:szCs w:val="21"/>
                <w:highlight w:val="none"/>
                <w:lang w:bidi="ar"/>
              </w:rPr>
              <w:t>10mm</w:t>
            </w:r>
            <w:r>
              <w:rPr>
                <w:rFonts w:hint="eastAsia" w:ascii="宋体" w:hAnsi="宋体" w:cs="宋体"/>
                <w:color w:val="auto"/>
                <w:kern w:val="0"/>
                <w:szCs w:val="21"/>
                <w:highlight w:val="none"/>
                <w:lang w:bidi="ar"/>
              </w:rPr>
              <w:t>钢管</w:t>
            </w:r>
            <w:r>
              <w:rPr>
                <w:rFonts w:ascii="Times New Roman" w:hAnsi="Times New Roman"/>
                <w:color w:val="auto"/>
                <w:kern w:val="0"/>
                <w:szCs w:val="21"/>
                <w:highlight w:val="none"/>
                <w:lang w:bidi="ar"/>
              </w:rPr>
              <w:t>,DN500(PN1.0Mpa)</w:t>
            </w:r>
            <w:r>
              <w:rPr>
                <w:rFonts w:hint="eastAsia" w:ascii="宋体" w:hAnsi="宋体" w:cs="宋体"/>
                <w:color w:val="auto"/>
                <w:kern w:val="0"/>
                <w:szCs w:val="21"/>
                <w:highlight w:val="none"/>
                <w:lang w:bidi="ar"/>
              </w:rPr>
              <w:t>法兰</w:t>
            </w:r>
            <w:r>
              <w:rPr>
                <w:rFonts w:ascii="Times New Roman" w:hAnsi="Times New Roman"/>
                <w:color w:val="auto"/>
                <w:kern w:val="0"/>
                <w:szCs w:val="21"/>
                <w:highlight w:val="none"/>
                <w:lang w:bidi="ar"/>
              </w:rPr>
              <w:t>2</w:t>
            </w:r>
            <w:r>
              <w:rPr>
                <w:rFonts w:hint="eastAsia" w:ascii="宋体" w:hAnsi="宋体" w:cs="宋体"/>
                <w:color w:val="auto"/>
                <w:kern w:val="0"/>
                <w:szCs w:val="21"/>
                <w:highlight w:val="none"/>
                <w:lang w:bidi="ar"/>
              </w:rPr>
              <w:t>件</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15</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钢制盲板</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DN1000,PN1.0Mpa</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向专业厂家订购</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配套采用不锈钢螺栓、螺帽</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16</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KYB</w:t>
            </w:r>
            <w:r>
              <w:rPr>
                <w:rFonts w:hint="eastAsia" w:ascii="宋体" w:hAnsi="宋体" w:cs="宋体"/>
                <w:color w:val="auto"/>
                <w:kern w:val="0"/>
                <w:szCs w:val="21"/>
                <w:highlight w:val="none"/>
                <w:lang w:bidi="ar"/>
              </w:rPr>
              <w:t>型智能压力变送器</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DN1000,PN1.0Mpa</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康宇、</w:t>
            </w:r>
            <w:r>
              <w:rPr>
                <w:rFonts w:ascii="Times New Roman" w:hAnsi="Times New Roman"/>
                <w:color w:val="auto"/>
                <w:kern w:val="0"/>
                <w:szCs w:val="21"/>
                <w:highlight w:val="none"/>
                <w:lang w:bidi="ar"/>
              </w:rPr>
              <w:t>E+H</w:t>
            </w:r>
            <w:r>
              <w:rPr>
                <w:rFonts w:hint="eastAsia" w:ascii="宋体" w:hAnsi="宋体" w:cs="宋体"/>
                <w:color w:val="auto"/>
                <w:kern w:val="0"/>
                <w:szCs w:val="21"/>
                <w:highlight w:val="none"/>
                <w:lang w:bidi="ar"/>
              </w:rPr>
              <w:t>、西门子</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压力表直径</w:t>
            </w:r>
            <w:r>
              <w:rPr>
                <w:rFonts w:ascii="Times New Roman" w:hAnsi="Times New Roman"/>
                <w:color w:val="auto"/>
                <w:kern w:val="0"/>
                <w:szCs w:val="21"/>
                <w:highlight w:val="none"/>
                <w:lang w:bidi="ar"/>
              </w:rPr>
              <w:t>100mm,</w:t>
            </w:r>
            <w:r>
              <w:rPr>
                <w:rFonts w:hint="eastAsia" w:ascii="宋体" w:hAnsi="宋体" w:cs="宋体"/>
                <w:color w:val="auto"/>
                <w:kern w:val="0"/>
                <w:szCs w:val="21"/>
                <w:highlight w:val="none"/>
                <w:lang w:bidi="ar"/>
              </w:rPr>
              <w:t>测量范围</w:t>
            </w:r>
            <w:r>
              <w:rPr>
                <w:rFonts w:ascii="Times New Roman" w:hAnsi="Times New Roman"/>
                <w:color w:val="auto"/>
                <w:kern w:val="0"/>
                <w:szCs w:val="21"/>
                <w:highlight w:val="none"/>
                <w:lang w:bidi="ar"/>
              </w:rPr>
              <w:t>:0~0.6MPa,</w:t>
            </w:r>
            <w:r>
              <w:rPr>
                <w:rFonts w:hint="eastAsia" w:ascii="宋体" w:hAnsi="宋体" w:cs="宋体"/>
                <w:color w:val="auto"/>
                <w:kern w:val="0"/>
                <w:szCs w:val="21"/>
                <w:highlight w:val="none"/>
                <w:lang w:bidi="ar"/>
              </w:rPr>
              <w:t>配</w:t>
            </w:r>
            <w:r>
              <w:rPr>
                <w:rFonts w:ascii="Times New Roman" w:hAnsi="Times New Roman"/>
                <w:color w:val="auto"/>
                <w:kern w:val="0"/>
                <w:szCs w:val="21"/>
                <w:highlight w:val="none"/>
                <w:lang w:bidi="ar"/>
              </w:rPr>
              <w:t>Z15T</w:t>
            </w:r>
            <w:r>
              <w:rPr>
                <w:rFonts w:hint="eastAsia" w:ascii="宋体" w:hAnsi="宋体" w:cs="宋体"/>
                <w:color w:val="auto"/>
                <w:kern w:val="0"/>
                <w:szCs w:val="21"/>
                <w:highlight w:val="none"/>
                <w:lang w:bidi="ar"/>
              </w:rPr>
              <w:t>丝扣闸阀</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17</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进水管（含管件、防腐）</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 xml:space="preserve">DN1220*14 </w:t>
            </w:r>
            <w:r>
              <w:rPr>
                <w:rFonts w:hint="eastAsia" w:ascii="宋体" w:hAnsi="宋体" w:cs="宋体"/>
                <w:color w:val="auto"/>
                <w:kern w:val="0"/>
                <w:szCs w:val="21"/>
                <w:highlight w:val="none"/>
                <w:lang w:bidi="ar"/>
              </w:rPr>
              <w:t>螺旋钢管</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8</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江苏玉龙、浙江金洲、华油钢管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防腐要求详图纸</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18</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出水管（管件单列、含防腐）</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 xml:space="preserve">DN1000*12 </w:t>
            </w:r>
            <w:r>
              <w:rPr>
                <w:rFonts w:hint="eastAsia" w:ascii="宋体" w:hAnsi="宋体" w:cs="宋体"/>
                <w:color w:val="auto"/>
                <w:kern w:val="0"/>
                <w:szCs w:val="21"/>
                <w:highlight w:val="none"/>
                <w:lang w:bidi="ar"/>
              </w:rPr>
              <w:t>螺旋钢管</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江苏玉龙、浙江金洲、华油钢管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计算至池壁外</w:t>
            </w:r>
            <w:r>
              <w:rPr>
                <w:rFonts w:ascii="Times New Roman" w:hAnsi="Times New Roman"/>
                <w:color w:val="auto"/>
                <w:kern w:val="0"/>
                <w:szCs w:val="21"/>
                <w:highlight w:val="none"/>
                <w:lang w:bidi="ar"/>
              </w:rPr>
              <w:t>2</w:t>
            </w:r>
            <w:r>
              <w:rPr>
                <w:rFonts w:hint="eastAsia" w:ascii="宋体" w:hAnsi="宋体" w:cs="宋体"/>
                <w:color w:val="auto"/>
                <w:kern w:val="0"/>
                <w:szCs w:val="21"/>
                <w:highlight w:val="none"/>
                <w:lang w:bidi="ar"/>
              </w:rPr>
              <w:t>米</w:t>
            </w:r>
            <w:r>
              <w:rPr>
                <w:rFonts w:ascii="Times New Roman" w:hAnsi="Times New Roman"/>
                <w:color w:val="auto"/>
                <w:kern w:val="0"/>
                <w:szCs w:val="21"/>
                <w:highlight w:val="none"/>
                <w:lang w:bidi="ar"/>
              </w:rPr>
              <w:t>,</w:t>
            </w:r>
            <w:r>
              <w:rPr>
                <w:rFonts w:hint="eastAsia" w:ascii="宋体" w:hAnsi="宋体" w:cs="宋体"/>
                <w:color w:val="auto"/>
                <w:kern w:val="0"/>
                <w:szCs w:val="21"/>
                <w:highlight w:val="none"/>
                <w:lang w:bidi="ar"/>
              </w:rPr>
              <w:t>其余计入场外工程内，防腐要求详图纸</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19</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移动式潜污泵（带自控柜）</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Q=7.0m/h,H=7.0M,P=0.55KW,D=50mm</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蓝深、丰球、亚太</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由集水坑内水位自动控制泵机开停</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20</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止回阀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内螺纹暗杆楔式铜闸阀</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上海冠龙、盾安、春江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成品</w:t>
            </w:r>
            <w:r>
              <w:rPr>
                <w:rFonts w:ascii="Times New Roman" w:hAnsi="Times New Roman"/>
                <w:color w:val="auto"/>
                <w:kern w:val="0"/>
                <w:szCs w:val="21"/>
                <w:highlight w:val="none"/>
                <w:lang w:bidi="ar"/>
              </w:rPr>
              <w:t>90°</w:t>
            </w:r>
            <w:r>
              <w:rPr>
                <w:rFonts w:hint="eastAsia" w:ascii="宋体" w:hAnsi="宋体" w:cs="宋体"/>
                <w:color w:val="auto"/>
                <w:kern w:val="0"/>
                <w:szCs w:val="21"/>
                <w:highlight w:val="none"/>
                <w:lang w:bidi="ar"/>
              </w:rPr>
              <w:t>弯头</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DN400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钢制三通</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DN500*1000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浙正、一峰、华安</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DN500(PN1.0Mpa)</w:t>
            </w:r>
            <w:r>
              <w:rPr>
                <w:rFonts w:hint="eastAsia" w:ascii="宋体" w:hAnsi="宋体" w:cs="宋体"/>
                <w:color w:val="auto"/>
                <w:kern w:val="0"/>
                <w:szCs w:val="21"/>
                <w:highlight w:val="none"/>
                <w:lang w:bidi="ar"/>
              </w:rPr>
              <w:t>法兰</w:t>
            </w:r>
            <w:r>
              <w:rPr>
                <w:rFonts w:ascii="Times New Roman" w:hAnsi="Times New Roman"/>
                <w:color w:val="auto"/>
                <w:kern w:val="0"/>
                <w:szCs w:val="21"/>
                <w:highlight w:val="none"/>
                <w:lang w:bidi="ar"/>
              </w:rPr>
              <w:t>1</w:t>
            </w:r>
            <w:r>
              <w:rPr>
                <w:rFonts w:hint="eastAsia" w:ascii="宋体" w:hAnsi="宋体" w:cs="宋体"/>
                <w:color w:val="auto"/>
                <w:kern w:val="0"/>
                <w:szCs w:val="21"/>
                <w:highlight w:val="none"/>
                <w:lang w:bidi="ar"/>
              </w:rPr>
              <w:t>件</w:t>
            </w:r>
            <w:r>
              <w:rPr>
                <w:rFonts w:ascii="Times New Roman" w:hAnsi="Times New Roman"/>
                <w:color w:val="auto"/>
                <w:kern w:val="0"/>
                <w:szCs w:val="21"/>
                <w:highlight w:val="none"/>
                <w:lang w:bidi="ar"/>
              </w:rPr>
              <w:t xml:space="preserve"> ,DN1000(PN1.0Mpa)</w:t>
            </w:r>
            <w:r>
              <w:rPr>
                <w:rFonts w:hint="eastAsia" w:ascii="宋体" w:hAnsi="宋体" w:cs="宋体"/>
                <w:color w:val="auto"/>
                <w:kern w:val="0"/>
                <w:szCs w:val="21"/>
                <w:highlight w:val="none"/>
                <w:lang w:bidi="ar"/>
              </w:rPr>
              <w:t>法兰</w:t>
            </w:r>
            <w:r>
              <w:rPr>
                <w:rFonts w:ascii="Times New Roman" w:hAnsi="Times New Roman"/>
                <w:color w:val="auto"/>
                <w:kern w:val="0"/>
                <w:szCs w:val="21"/>
                <w:highlight w:val="none"/>
                <w:lang w:bidi="ar"/>
              </w:rPr>
              <w:t>2</w:t>
            </w:r>
            <w:r>
              <w:rPr>
                <w:rFonts w:hint="eastAsia" w:ascii="宋体" w:hAnsi="宋体" w:cs="宋体"/>
                <w:color w:val="auto"/>
                <w:kern w:val="0"/>
                <w:szCs w:val="21"/>
                <w:highlight w:val="none"/>
                <w:lang w:bidi="ar"/>
              </w:rPr>
              <w:t>件</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24</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超声波水位仪</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康宇、</w:t>
            </w:r>
            <w:r>
              <w:rPr>
                <w:rFonts w:ascii="Times New Roman" w:hAnsi="Times New Roman"/>
                <w:color w:val="auto"/>
                <w:kern w:val="0"/>
                <w:szCs w:val="21"/>
                <w:highlight w:val="none"/>
                <w:lang w:bidi="ar"/>
              </w:rPr>
              <w:t>E+H</w:t>
            </w:r>
            <w:r>
              <w:rPr>
                <w:rFonts w:hint="eastAsia" w:ascii="宋体" w:hAnsi="宋体" w:cs="宋体"/>
                <w:color w:val="auto"/>
                <w:kern w:val="0"/>
                <w:szCs w:val="21"/>
                <w:highlight w:val="none"/>
                <w:lang w:bidi="ar"/>
              </w:rPr>
              <w:t>、西门子</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0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25</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螺旋输送压榨机</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WLY  -300 II</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江苏河海、余姚浙东、南通华新</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885"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26</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除臭设备</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生物除臭，风量</w:t>
            </w:r>
            <w:r>
              <w:rPr>
                <w:rFonts w:ascii="Times New Roman" w:hAnsi="Times New Roman"/>
                <w:color w:val="auto"/>
                <w:kern w:val="0"/>
                <w:szCs w:val="21"/>
                <w:highlight w:val="none"/>
                <w:lang w:bidi="ar"/>
              </w:rPr>
              <w:t>Q=30000m3</w:t>
            </w:r>
            <w:r>
              <w:rPr>
                <w:rFonts w:hint="eastAsia" w:ascii="宋体" w:hAnsi="宋体" w:cs="宋体"/>
                <w:color w:val="auto"/>
                <w:kern w:val="0"/>
                <w:szCs w:val="21"/>
                <w:highlight w:val="none"/>
                <w:lang w:bidi="ar"/>
              </w:rPr>
              <w:t>，包含管道、泵等配套辅件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金鹏、爱科乐、西原</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由厂家深化设计</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r>
      <w:tr>
        <w:tblPrEx>
          <w:tblCellMar>
            <w:top w:w="0" w:type="dxa"/>
            <w:left w:w="108" w:type="dxa"/>
            <w:bottom w:w="0" w:type="dxa"/>
            <w:right w:w="108" w:type="dxa"/>
          </w:tblCellMar>
        </w:tblPrEx>
        <w:trPr>
          <w:trHeight w:val="44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27</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投入式水位仪</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件</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2</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康宇、</w:t>
            </w:r>
            <w:r>
              <w:rPr>
                <w:rFonts w:ascii="Times New Roman" w:hAnsi="Times New Roman"/>
                <w:color w:val="auto"/>
                <w:kern w:val="0"/>
                <w:szCs w:val="21"/>
                <w:highlight w:val="none"/>
                <w:lang w:bidi="ar"/>
              </w:rPr>
              <w:t>E+H</w:t>
            </w:r>
            <w:r>
              <w:rPr>
                <w:rFonts w:hint="eastAsia" w:ascii="宋体" w:hAnsi="宋体" w:cs="宋体"/>
                <w:color w:val="auto"/>
                <w:kern w:val="0"/>
                <w:szCs w:val="21"/>
                <w:highlight w:val="none"/>
                <w:lang w:bidi="ar"/>
              </w:rPr>
              <w:t>、西门子</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440" w:hRule="atLeast"/>
        </w:trPr>
        <w:tc>
          <w:tcPr>
            <w:tcW w:w="560" w:type="dxa"/>
            <w:tcBorders>
              <w:top w:val="single" w:color="000000" w:sz="4" w:space="0"/>
              <w:left w:val="single" w:color="000000" w:sz="4" w:space="0"/>
              <w:bottom w:val="single" w:color="000000" w:sz="4" w:space="0"/>
              <w:right w:val="nil"/>
            </w:tcBorders>
            <w:shd w:val="clear" w:color="auto" w:fill="auto"/>
            <w:noWrap/>
            <w:vAlign w:val="center"/>
          </w:tcPr>
          <w:p>
            <w:pPr>
              <w:rPr>
                <w:rFonts w:ascii="Times New Roman" w:hAnsi="Times New Roman"/>
                <w:color w:val="auto"/>
                <w:szCs w:val="21"/>
                <w:highlight w:val="none"/>
              </w:rPr>
            </w:pPr>
          </w:p>
        </w:tc>
        <w:tc>
          <w:tcPr>
            <w:tcW w:w="18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电气自控及安防</w:t>
            </w: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color w:val="auto"/>
                <w:szCs w:val="21"/>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color w:val="auto"/>
                <w:szCs w:val="21"/>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4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潜水排污泵控制柜（含安装）</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工/变频柜一控一，GGD:800×1200×2200</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hint="eastAsia"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亚大、兴联、和达</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配套75KW潜水排污泵，柜体碳钢喷塑，详见技术要求主要配置清单</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4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2</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泵机接线端子箱</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亚大、兴联、和达</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olor w:val="auto"/>
                <w:szCs w:val="21"/>
                <w:highlight w:val="none"/>
              </w:rPr>
            </w:pPr>
          </w:p>
        </w:tc>
      </w:tr>
      <w:tr>
        <w:tblPrEx>
          <w:tblCellMar>
            <w:top w:w="0" w:type="dxa"/>
            <w:left w:w="108" w:type="dxa"/>
            <w:bottom w:w="0" w:type="dxa"/>
            <w:right w:w="108" w:type="dxa"/>
          </w:tblCellMar>
        </w:tblPrEx>
        <w:trPr>
          <w:trHeight w:val="440"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3</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RTU</w:t>
            </w:r>
            <w:r>
              <w:rPr>
                <w:rFonts w:hint="eastAsia" w:ascii="宋体" w:hAnsi="宋体" w:cs="宋体"/>
                <w:color w:val="auto"/>
                <w:kern w:val="0"/>
                <w:szCs w:val="21"/>
                <w:highlight w:val="none"/>
                <w:lang w:bidi="ar"/>
              </w:rPr>
              <w:t>柜</w:t>
            </w: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含柜内设备</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亚大、兴联、和达</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3"/>
              <w:spacing w:before="0" w:after="0" w:line="288" w:lineRule="auto"/>
              <w:jc w:val="center"/>
              <w:rPr>
                <w:color w:val="auto"/>
                <w:highlight w:val="none"/>
              </w:rPr>
            </w:pPr>
            <w:r>
              <w:rPr>
                <w:rFonts w:hint="eastAsia" w:ascii="宋体" w:hAnsi="宋体" w:cs="宋体"/>
                <w:color w:val="auto"/>
                <w:kern w:val="0"/>
                <w:sz w:val="21"/>
                <w:szCs w:val="21"/>
                <w:highlight w:val="none"/>
                <w:lang w:bidi="ar"/>
              </w:rPr>
              <w:t>委托专业单位设计、安装、调试</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855" w:hRule="atLeast"/>
        </w:trPr>
        <w:tc>
          <w:tcPr>
            <w:tcW w:w="56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自控、安防系统（含安装及辅材）</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亚大、兴联、和达</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3"/>
              <w:spacing w:before="0" w:after="0" w:line="288" w:lineRule="auto"/>
              <w:jc w:val="center"/>
              <w:rPr>
                <w:color w:val="auto"/>
                <w:highlight w:val="none"/>
              </w:rPr>
            </w:pPr>
            <w:r>
              <w:rPr>
                <w:rFonts w:hint="eastAsia" w:ascii="宋体" w:hAnsi="宋体" w:cs="宋体"/>
                <w:b w:val="0"/>
                <w:bCs w:val="0"/>
                <w:color w:val="auto"/>
                <w:kern w:val="0"/>
                <w:sz w:val="21"/>
                <w:szCs w:val="21"/>
                <w:highlight w:val="none"/>
                <w:lang w:bidi="ar"/>
              </w:rPr>
              <w:t>含电子围栏系统、烟感温感等内容，委托专业单位设计、安装、调试，详见技术要求主要配置清单</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440" w:hRule="atLeast"/>
        </w:trPr>
        <w:tc>
          <w:tcPr>
            <w:tcW w:w="560" w:type="dxa"/>
            <w:tcBorders>
              <w:top w:val="single" w:color="000000" w:sz="4" w:space="0"/>
              <w:left w:val="single" w:color="000000" w:sz="4" w:space="0"/>
              <w:bottom w:val="single" w:color="000000" w:sz="4" w:space="0"/>
              <w:right w:val="nil"/>
            </w:tcBorders>
            <w:shd w:val="clear" w:color="auto" w:fill="auto"/>
            <w:noWrap/>
            <w:vAlign w:val="center"/>
          </w:tcPr>
          <w:p>
            <w:pPr>
              <w:rPr>
                <w:rFonts w:ascii="Times New Roman" w:hAnsi="Times New Roman"/>
                <w:color w:val="auto"/>
                <w:szCs w:val="21"/>
                <w:highlight w:val="none"/>
              </w:rPr>
            </w:pPr>
          </w:p>
        </w:tc>
        <w:tc>
          <w:tcPr>
            <w:tcW w:w="18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lang w:bidi="ar"/>
              </w:rPr>
              <w:t>配电房</w:t>
            </w: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color w:val="auto"/>
                <w:szCs w:val="21"/>
                <w:highlight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color w:val="auto"/>
                <w:szCs w:val="21"/>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color w:val="auto"/>
                <w:szCs w:val="21"/>
                <w:highlight w:val="none"/>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r>
        <w:tblPrEx>
          <w:tblCellMar>
            <w:top w:w="0" w:type="dxa"/>
            <w:left w:w="108" w:type="dxa"/>
            <w:bottom w:w="0" w:type="dxa"/>
            <w:right w:w="108" w:type="dxa"/>
          </w:tblCellMar>
        </w:tblPrEx>
        <w:trPr>
          <w:trHeight w:val="440" w:hRule="atLeast"/>
        </w:trPr>
        <w:tc>
          <w:tcPr>
            <w:tcW w:w="560" w:type="dxa"/>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1</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空调</w:t>
            </w: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立式，5匹，含配套辅件</w:t>
            </w: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olor w:val="auto"/>
                <w:szCs w:val="21"/>
                <w:highlight w:val="none"/>
              </w:rPr>
            </w:pPr>
            <w:r>
              <w:rPr>
                <w:rFonts w:ascii="Times New Roman" w:hAnsi="Times New Roman"/>
                <w:color w:val="auto"/>
                <w:kern w:val="0"/>
                <w:szCs w:val="21"/>
                <w:highlight w:val="none"/>
                <w:lang w:bidi="ar"/>
              </w:rPr>
              <w:t>4</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格力、海尔、美的</w:t>
            </w:r>
          </w:p>
        </w:tc>
        <w:tc>
          <w:tcPr>
            <w:tcW w:w="2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Times New Roman" w:hAnsi="Times New Roman"/>
                <w:color w:val="auto"/>
                <w:szCs w:val="21"/>
                <w:highlight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Cs w:val="21"/>
                <w:highlight w:val="none"/>
              </w:rPr>
            </w:pPr>
          </w:p>
        </w:tc>
      </w:tr>
    </w:tbl>
    <w:p>
      <w:pPr>
        <w:autoSpaceDE w:val="0"/>
        <w:autoSpaceDN w:val="0"/>
        <w:spacing w:line="50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上述各类品牌、型号是结合实际现有情况的推荐性参考方案，投标方也可根据招标文件的要求推荐性能相当或高于、服务条款相等或高于、符合招标方实际业务需求其他同档次优质品牌的产品，进行方案优化。所投产品不在推荐品牌范围内的，需提供加盖原厂商公章的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rPr>
          <w:rFonts w:ascii="宋体" w:hAnsi="宋体" w:cs="宋体"/>
          <w:color w:val="auto"/>
          <w:highlight w:val="none"/>
        </w:rPr>
      </w:pPr>
    </w:p>
    <w:p>
      <w:pPr>
        <w:rPr>
          <w:rFonts w:ascii="宋体" w:hAnsi="宋体" w:cs="宋体"/>
          <w:b/>
          <w:bCs/>
          <w:color w:val="auto"/>
          <w:kern w:val="44"/>
          <w:sz w:val="44"/>
          <w:szCs w:val="44"/>
          <w:highlight w:val="none"/>
        </w:rPr>
      </w:pPr>
      <w:r>
        <w:rPr>
          <w:rFonts w:hint="eastAsia" w:ascii="宋体" w:hAnsi="宋体" w:cs="宋体"/>
          <w:b/>
          <w:bCs/>
          <w:color w:val="auto"/>
          <w:kern w:val="44"/>
          <w:sz w:val="44"/>
          <w:szCs w:val="44"/>
          <w:highlight w:val="none"/>
        </w:rPr>
        <w:br w:type="page"/>
      </w:r>
    </w:p>
    <w:p>
      <w:pPr>
        <w:keepNext/>
        <w:keepLines/>
        <w:spacing w:before="340" w:after="330" w:line="576" w:lineRule="auto"/>
        <w:jc w:val="center"/>
        <w:outlineLvl w:val="0"/>
        <w:rPr>
          <w:rFonts w:ascii="宋体" w:hAnsi="宋体" w:cs="宋体"/>
          <w:b/>
          <w:bCs/>
          <w:color w:val="auto"/>
          <w:kern w:val="44"/>
          <w:sz w:val="44"/>
          <w:szCs w:val="44"/>
          <w:highlight w:val="none"/>
        </w:rPr>
      </w:pPr>
      <w:r>
        <w:rPr>
          <w:rFonts w:hint="eastAsia" w:ascii="宋体" w:hAnsi="宋体" w:cs="宋体"/>
          <w:b/>
          <w:bCs/>
          <w:color w:val="auto"/>
          <w:kern w:val="44"/>
          <w:sz w:val="44"/>
          <w:szCs w:val="44"/>
          <w:highlight w:val="none"/>
        </w:rPr>
        <w:t>第六章  图  纸</w:t>
      </w:r>
    </w:p>
    <w:p>
      <w:pPr>
        <w:shd w:val="clear" w:color="auto" w:fill="FFFFFF"/>
        <w:ind w:firstLine="420" w:firstLineChars="200"/>
        <w:rPr>
          <w:rFonts w:ascii="宋体" w:hAnsi="宋体" w:cs="宋体"/>
          <w:color w:val="auto"/>
          <w:szCs w:val="21"/>
          <w:highlight w:val="none"/>
        </w:rPr>
      </w:pPr>
      <w:r>
        <w:rPr>
          <w:rFonts w:hint="eastAsia" w:ascii="宋体" w:hAnsi="宋体" w:cs="宋体"/>
          <w:color w:val="auto"/>
          <w:szCs w:val="21"/>
          <w:highlight w:val="none"/>
        </w:rPr>
        <w:t>（经施工图审查合格后的图纸。略）</w:t>
      </w:r>
    </w:p>
    <w:p>
      <w:pPr>
        <w:shd w:val="clear" w:color="auto" w:fill="FFFFFF"/>
        <w:ind w:firstLine="880" w:firstLineChars="200"/>
        <w:rPr>
          <w:rFonts w:ascii="宋体" w:hAnsi="宋体" w:cs="宋体"/>
          <w:color w:val="auto"/>
          <w:sz w:val="44"/>
          <w:szCs w:val="44"/>
          <w:highlight w:val="none"/>
        </w:rPr>
      </w:pPr>
    </w:p>
    <w:p>
      <w:pPr>
        <w:keepNext/>
        <w:keepLines/>
        <w:spacing w:line="312" w:lineRule="auto"/>
        <w:jc w:val="center"/>
        <w:outlineLvl w:val="0"/>
        <w:rPr>
          <w:rFonts w:ascii="宋体" w:hAnsi="宋体" w:cs="宋体"/>
          <w:b/>
          <w:bCs/>
          <w:color w:val="auto"/>
          <w:kern w:val="44"/>
          <w:sz w:val="32"/>
          <w:szCs w:val="32"/>
          <w:highlight w:val="none"/>
        </w:rPr>
      </w:pPr>
      <w:r>
        <w:rPr>
          <w:rFonts w:hint="eastAsia" w:ascii="宋体" w:hAnsi="宋体" w:cs="宋体"/>
          <w:b/>
          <w:bCs/>
          <w:color w:val="auto"/>
          <w:kern w:val="44"/>
          <w:sz w:val="44"/>
          <w:szCs w:val="44"/>
          <w:highlight w:val="none"/>
        </w:rPr>
        <w:br w:type="page"/>
      </w:r>
      <w:r>
        <w:rPr>
          <w:rFonts w:hint="eastAsia" w:ascii="宋体" w:hAnsi="宋体" w:cs="宋体"/>
          <w:b/>
          <w:bCs/>
          <w:color w:val="auto"/>
          <w:kern w:val="44"/>
          <w:sz w:val="32"/>
          <w:szCs w:val="32"/>
          <w:highlight w:val="none"/>
        </w:rPr>
        <w:t>第七章  技术标准和要求</w:t>
      </w:r>
    </w:p>
    <w:p>
      <w:pPr>
        <w:keepNext/>
        <w:keepLines/>
        <w:tabs>
          <w:tab w:val="left" w:pos="0"/>
        </w:tabs>
        <w:autoSpaceDE w:val="0"/>
        <w:autoSpaceDN w:val="0"/>
        <w:adjustRightInd w:val="0"/>
        <w:spacing w:line="312" w:lineRule="auto"/>
        <w:jc w:val="left"/>
        <w:rPr>
          <w:rFonts w:ascii="宋体" w:hAnsi="宋体" w:cs="宋体"/>
          <w:b/>
          <w:color w:val="auto"/>
          <w:szCs w:val="21"/>
          <w:highlight w:val="none"/>
          <w:lang w:val="zh-CN"/>
        </w:rPr>
      </w:pPr>
      <w:r>
        <w:rPr>
          <w:rFonts w:hint="eastAsia" w:ascii="宋体" w:hAnsi="宋体" w:cs="宋体"/>
          <w:b/>
          <w:bCs/>
          <w:color w:val="auto"/>
          <w:kern w:val="0"/>
          <w:szCs w:val="21"/>
          <w:highlight w:val="none"/>
        </w:rPr>
        <w:t>一）</w:t>
      </w:r>
      <w:r>
        <w:rPr>
          <w:rFonts w:hint="eastAsia" w:ascii="宋体" w:hAnsi="宋体" w:cs="宋体"/>
          <w:b/>
          <w:color w:val="auto"/>
          <w:szCs w:val="21"/>
          <w:highlight w:val="none"/>
          <w:lang w:val="zh-CN"/>
        </w:rPr>
        <w:t>潜水</w:t>
      </w:r>
      <w:r>
        <w:rPr>
          <w:rFonts w:hint="eastAsia" w:ascii="宋体" w:hAnsi="宋体" w:cs="宋体"/>
          <w:b/>
          <w:color w:val="auto"/>
          <w:szCs w:val="21"/>
          <w:highlight w:val="none"/>
        </w:rPr>
        <w:t>排污</w:t>
      </w:r>
      <w:r>
        <w:rPr>
          <w:rFonts w:hint="eastAsia" w:ascii="宋体" w:hAnsi="宋体" w:cs="宋体"/>
          <w:b/>
          <w:color w:val="auto"/>
          <w:szCs w:val="21"/>
          <w:highlight w:val="none"/>
          <w:lang w:val="zh-CN"/>
        </w:rPr>
        <w:t>泵</w:t>
      </w:r>
    </w:p>
    <w:p>
      <w:pPr>
        <w:pStyle w:val="8"/>
        <w:spacing w:line="312" w:lineRule="auto"/>
        <w:ind w:firstLine="0" w:firstLineChars="0"/>
        <w:rPr>
          <w:rFonts w:ascii="宋体" w:hAnsi="宋体" w:cs="宋体"/>
          <w:b/>
          <w:bCs/>
          <w:color w:val="auto"/>
          <w:szCs w:val="21"/>
          <w:highlight w:val="none"/>
        </w:rPr>
      </w:pPr>
      <w:r>
        <w:rPr>
          <w:rFonts w:hint="eastAsia" w:ascii="宋体" w:hAnsi="宋体" w:cs="宋体"/>
          <w:b/>
          <w:bCs/>
          <w:color w:val="auto"/>
          <w:szCs w:val="21"/>
          <w:highlight w:val="none"/>
        </w:rPr>
        <w:t>1.供货范围</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承包商提供的潜水排污泵为成套装置，并需配备出水弯座、导杆、提升链、潜水电缆（15m）、接线盒等有效和安全运行所必需的附件。</w:t>
      </w:r>
    </w:p>
    <w:p>
      <w:pPr>
        <w:pStyle w:val="8"/>
        <w:spacing w:line="312" w:lineRule="auto"/>
        <w:ind w:firstLine="0" w:firstLineChars="0"/>
        <w:rPr>
          <w:rFonts w:ascii="宋体" w:hAnsi="宋体" w:cs="宋体"/>
          <w:b/>
          <w:bCs/>
          <w:color w:val="auto"/>
          <w:szCs w:val="21"/>
          <w:highlight w:val="none"/>
        </w:rPr>
      </w:pPr>
      <w:r>
        <w:rPr>
          <w:rFonts w:hint="eastAsia" w:ascii="宋体" w:hAnsi="宋体" w:cs="宋体"/>
          <w:b/>
          <w:bCs/>
          <w:color w:val="auto"/>
          <w:szCs w:val="21"/>
          <w:highlight w:val="none"/>
        </w:rPr>
        <w:t>2.技术参数</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77"/>
        <w:gridCol w:w="2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b/>
                <w:bCs/>
                <w:color w:val="auto"/>
                <w:szCs w:val="21"/>
                <w:highlight w:val="none"/>
              </w:rPr>
              <w:t>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★设计流量 (m3/h)</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★设计扬程 (m)</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★水泵工况点效率 (%)</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★转速 (rpm)</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水泵蜗壳出水口径 (mm)</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300或350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叶轮过流</w:t>
            </w:r>
            <w:r>
              <w:rPr>
                <w:rFonts w:hint="eastAsia" w:ascii="宋体" w:hAnsi="宋体" w:cs="宋体"/>
                <w:color w:val="auto"/>
                <w:szCs w:val="21"/>
                <w:highlight w:val="none"/>
                <w:lang w:eastAsia="zh-CN"/>
              </w:rPr>
              <w:t>最大通过粒径</w:t>
            </w:r>
            <w:r>
              <w:rPr>
                <w:rFonts w:hint="eastAsia" w:ascii="宋体" w:hAnsi="宋体" w:cs="宋体"/>
                <w:color w:val="auto"/>
                <w:szCs w:val="21"/>
                <w:highlight w:val="none"/>
              </w:rPr>
              <w:t xml:space="preserve"> (mm)</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2" w:firstLineChars="200"/>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泵机轴功率 (KW)</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电缆长度 (m)</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cyan"/>
              </w:rPr>
              <w:t>≥</w:t>
            </w:r>
            <w:r>
              <w:rPr>
                <w:rFonts w:hint="eastAsia" w:ascii="宋体" w:hAnsi="宋体" w:cs="宋体"/>
                <w:color w:val="auto"/>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777"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启动方式</w:t>
            </w:r>
          </w:p>
        </w:tc>
        <w:tc>
          <w:tcPr>
            <w:tcW w:w="2961" w:type="dxa"/>
            <w:vAlign w:val="center"/>
          </w:tcPr>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工变频</w:t>
            </w:r>
          </w:p>
        </w:tc>
      </w:tr>
    </w:tbl>
    <w:p>
      <w:pPr>
        <w:pStyle w:val="8"/>
        <w:spacing w:line="312" w:lineRule="auto"/>
        <w:ind w:firstLine="0" w:firstLineChars="0"/>
        <w:rPr>
          <w:rFonts w:ascii="宋体" w:hAnsi="宋体" w:cs="宋体"/>
          <w:b/>
          <w:bCs/>
          <w:color w:val="auto"/>
          <w:szCs w:val="21"/>
          <w:highlight w:val="none"/>
        </w:rPr>
      </w:pPr>
      <w:r>
        <w:rPr>
          <w:rFonts w:hint="eastAsia" w:ascii="宋体" w:hAnsi="宋体" w:cs="宋体"/>
          <w:b/>
          <w:bCs/>
          <w:color w:val="auto"/>
          <w:szCs w:val="21"/>
          <w:highlight w:val="none"/>
        </w:rPr>
        <w:t>3.采用规范及标准</w:t>
      </w:r>
    </w:p>
    <w:p>
      <w:pPr>
        <w:pStyle w:val="79"/>
        <w:tabs>
          <w:tab w:val="left" w:pos="3150"/>
        </w:tabs>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ISO9906/2</w:t>
      </w:r>
      <w:r>
        <w:rPr>
          <w:rFonts w:hint="eastAsia" w:ascii="宋体" w:hAnsi="宋体" w:cs="宋体"/>
          <w:color w:val="auto"/>
          <w:szCs w:val="21"/>
          <w:highlight w:val="none"/>
        </w:rPr>
        <w:tab/>
      </w:r>
      <w:r>
        <w:rPr>
          <w:rFonts w:hint="eastAsia" w:ascii="宋体" w:hAnsi="宋体" w:cs="宋体"/>
          <w:color w:val="auto"/>
          <w:szCs w:val="21"/>
          <w:highlight w:val="none"/>
        </w:rPr>
        <w:t>《泵验收试验规程》</w:t>
      </w:r>
    </w:p>
    <w:p>
      <w:pPr>
        <w:pStyle w:val="79"/>
        <w:tabs>
          <w:tab w:val="left" w:pos="3150"/>
        </w:tabs>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ISO1940/1-73G6.3</w:t>
      </w:r>
      <w:r>
        <w:rPr>
          <w:rFonts w:hint="eastAsia" w:ascii="宋体" w:hAnsi="宋体" w:cs="宋体"/>
          <w:color w:val="auto"/>
          <w:szCs w:val="21"/>
          <w:highlight w:val="none"/>
        </w:rPr>
        <w:tab/>
      </w:r>
      <w:r>
        <w:rPr>
          <w:rFonts w:hint="eastAsia" w:ascii="宋体" w:hAnsi="宋体" w:cs="宋体"/>
          <w:color w:val="auto"/>
          <w:szCs w:val="21"/>
          <w:highlight w:val="none"/>
        </w:rPr>
        <w:t>《对刚性旋转机械的机械振动平衡要求》</w:t>
      </w:r>
    </w:p>
    <w:p>
      <w:pPr>
        <w:pStyle w:val="79"/>
        <w:tabs>
          <w:tab w:val="left" w:pos="3150"/>
        </w:tabs>
        <w:spacing w:line="312" w:lineRule="auto"/>
        <w:ind w:firstLine="420"/>
        <w:rPr>
          <w:rFonts w:ascii="宋体" w:hAnsi="宋体" w:cs="宋体"/>
          <w:strike/>
          <w:color w:val="auto"/>
          <w:szCs w:val="21"/>
          <w:highlight w:val="none"/>
        </w:rPr>
      </w:pPr>
      <w:r>
        <w:rPr>
          <w:rFonts w:hint="eastAsia" w:ascii="宋体" w:hAnsi="宋体" w:cs="宋体"/>
          <w:color w:val="auto"/>
          <w:szCs w:val="21"/>
          <w:highlight w:val="none"/>
        </w:rPr>
        <w:t>GB/T29529-2013</w:t>
      </w:r>
      <w:r>
        <w:rPr>
          <w:rFonts w:hint="eastAsia" w:ascii="宋体" w:hAnsi="宋体" w:cs="宋体"/>
          <w:color w:val="auto"/>
          <w:szCs w:val="21"/>
          <w:highlight w:val="none"/>
        </w:rPr>
        <w:tab/>
      </w:r>
      <w:r>
        <w:rPr>
          <w:rFonts w:hint="eastAsia" w:ascii="宋体" w:hAnsi="宋体" w:cs="宋体"/>
          <w:color w:val="auto"/>
          <w:szCs w:val="21"/>
          <w:highlight w:val="none"/>
        </w:rPr>
        <w:t>《泵的噪声测量与评价方法》</w:t>
      </w:r>
    </w:p>
    <w:p>
      <w:pPr>
        <w:pStyle w:val="79"/>
        <w:tabs>
          <w:tab w:val="left" w:pos="3150"/>
        </w:tabs>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GB/T4942-2021</w:t>
      </w:r>
      <w:r>
        <w:rPr>
          <w:rFonts w:hint="eastAsia" w:ascii="宋体" w:hAnsi="宋体" w:cs="宋体"/>
          <w:color w:val="auto"/>
          <w:szCs w:val="21"/>
          <w:highlight w:val="none"/>
        </w:rPr>
        <w:tab/>
      </w:r>
      <w:r>
        <w:rPr>
          <w:rFonts w:hint="eastAsia" w:ascii="宋体" w:hAnsi="宋体" w:cs="宋体"/>
          <w:color w:val="auto"/>
          <w:szCs w:val="21"/>
          <w:highlight w:val="none"/>
        </w:rPr>
        <w:t>《旋转电机整体结构的防护等级（IP代码） 分级》</w:t>
      </w:r>
    </w:p>
    <w:p>
      <w:pPr>
        <w:pStyle w:val="79"/>
        <w:tabs>
          <w:tab w:val="left" w:pos="3150"/>
        </w:tabs>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GB/T12785-2014</w:t>
      </w:r>
      <w:r>
        <w:rPr>
          <w:rFonts w:hint="eastAsia" w:ascii="宋体" w:hAnsi="宋体" w:cs="宋体"/>
          <w:color w:val="auto"/>
          <w:szCs w:val="21"/>
          <w:highlight w:val="none"/>
        </w:rPr>
        <w:tab/>
      </w:r>
      <w:r>
        <w:rPr>
          <w:rFonts w:hint="eastAsia" w:ascii="宋体" w:hAnsi="宋体" w:cs="宋体"/>
          <w:color w:val="auto"/>
          <w:szCs w:val="21"/>
          <w:highlight w:val="none"/>
        </w:rPr>
        <w:t>《潜水电泵试验方法》</w:t>
      </w:r>
    </w:p>
    <w:p>
      <w:pPr>
        <w:pStyle w:val="79"/>
        <w:tabs>
          <w:tab w:val="left" w:pos="3150"/>
        </w:tabs>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GB/T 24674-2021</w:t>
      </w:r>
      <w:r>
        <w:rPr>
          <w:rFonts w:hint="eastAsia" w:ascii="宋体" w:hAnsi="宋体" w:cs="宋体"/>
          <w:color w:val="auto"/>
          <w:szCs w:val="21"/>
          <w:highlight w:val="none"/>
        </w:rPr>
        <w:tab/>
      </w:r>
      <w:r>
        <w:rPr>
          <w:rFonts w:hint="eastAsia" w:ascii="宋体" w:hAnsi="宋体" w:cs="宋体"/>
          <w:color w:val="auto"/>
          <w:szCs w:val="21"/>
          <w:highlight w:val="none"/>
        </w:rPr>
        <w:t>《污水污物潜水电泵》</w:t>
      </w:r>
    </w:p>
    <w:p>
      <w:pPr>
        <w:pStyle w:val="79"/>
        <w:tabs>
          <w:tab w:val="left" w:pos="3150"/>
        </w:tabs>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HJ/T336-2006</w:t>
      </w:r>
      <w:r>
        <w:rPr>
          <w:rFonts w:hint="eastAsia" w:ascii="宋体" w:hAnsi="宋体" w:cs="宋体"/>
          <w:color w:val="auto"/>
          <w:szCs w:val="21"/>
          <w:highlight w:val="none"/>
        </w:rPr>
        <w:tab/>
      </w:r>
      <w:r>
        <w:rPr>
          <w:rFonts w:hint="eastAsia" w:ascii="宋体" w:hAnsi="宋体" w:cs="宋体"/>
          <w:color w:val="auto"/>
          <w:szCs w:val="21"/>
          <w:highlight w:val="none"/>
        </w:rPr>
        <w:t>《潜水排污泵》</w:t>
      </w:r>
    </w:p>
    <w:p>
      <w:pPr>
        <w:pStyle w:val="8"/>
        <w:spacing w:line="312" w:lineRule="auto"/>
        <w:ind w:firstLine="0" w:firstLineChars="0"/>
        <w:rPr>
          <w:rFonts w:ascii="宋体" w:hAnsi="宋体" w:cs="宋体"/>
          <w:b/>
          <w:bCs/>
          <w:color w:val="auto"/>
          <w:szCs w:val="21"/>
          <w:highlight w:val="none"/>
        </w:rPr>
      </w:pPr>
      <w:r>
        <w:rPr>
          <w:rFonts w:hint="eastAsia" w:ascii="宋体" w:hAnsi="宋体" w:cs="宋体"/>
          <w:b/>
          <w:bCs/>
          <w:color w:val="auto"/>
          <w:szCs w:val="21"/>
          <w:highlight w:val="none"/>
        </w:rPr>
        <w:t>4.型式及性能</w:t>
      </w:r>
    </w:p>
    <w:p>
      <w:pPr>
        <w:pStyle w:val="8"/>
        <w:spacing w:line="312" w:lineRule="auto"/>
        <w:ind w:firstLine="420" w:firstLineChars="0"/>
        <w:rPr>
          <w:rFonts w:ascii="宋体" w:hAnsi="宋体" w:cs="宋体"/>
          <w:b/>
          <w:bCs/>
          <w:color w:val="auto"/>
          <w:szCs w:val="21"/>
          <w:highlight w:val="none"/>
        </w:rPr>
      </w:pPr>
      <w:r>
        <w:rPr>
          <w:rFonts w:hint="eastAsia" w:ascii="宋体" w:hAnsi="宋体" w:cs="宋体"/>
          <w:color w:val="auto"/>
          <w:szCs w:val="21"/>
          <w:highlight w:val="none"/>
        </w:rPr>
        <w:t>本项目的潜水离心泵所在的制造工厂需要有</w:t>
      </w:r>
      <w:r>
        <w:rPr>
          <w:rFonts w:hint="eastAsia" w:ascii="宋体" w:hAnsi="宋体" w:cs="宋体"/>
          <w:color w:val="auto"/>
          <w:szCs w:val="21"/>
          <w:highlight w:val="none"/>
          <w:lang w:eastAsia="zh-CN"/>
        </w:rPr>
        <w:t>类似</w:t>
      </w:r>
      <w:r>
        <w:rPr>
          <w:rFonts w:hint="eastAsia" w:ascii="宋体" w:hAnsi="宋体" w:cs="宋体"/>
          <w:color w:val="auto"/>
          <w:szCs w:val="21"/>
          <w:highlight w:val="none"/>
        </w:rPr>
        <w:t>的潜水离心泵的生产经验，不接受无成熟类似产品生产经验的工厂的产品，提供相应证明文件。</w:t>
      </w:r>
    </w:p>
    <w:p>
      <w:pPr>
        <w:pStyle w:val="8"/>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潜水排污泵应是立式、单级和可脱卸的具无阻塞性潜水泵，能够在10m水深下持续长期运行，安全运行时间至少为10,000h。</w:t>
      </w:r>
    </w:p>
    <w:p>
      <w:pPr>
        <w:pStyle w:val="8"/>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潜水电机直接与泵叶轮同轴相连，水力部件由水泵壳体、叶轮和耐磨环组成。水泵壳体的出水口应为径向出水口，出水口中心线应与电机中心线在同一平面内。为了确保流量稳定且没有过多涡旋，水力部件应设计和制造成没有锐利的棱角。泵出水配管法兰应按ISO标准，公称压力1MPa为准。</w:t>
      </w:r>
    </w:p>
    <w:p>
      <w:pPr>
        <w:pStyle w:val="8"/>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水泵能自动稳固地与排水连接座联接，并且水泵能够在双导杆引导下从泵坑顶部到排水连接座之间自由滑动。不需工人下污水井检查和安装。</w:t>
      </w:r>
    </w:p>
    <w:p>
      <w:pPr>
        <w:pStyle w:val="8"/>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潜水电机应能连续运行、间歇运行和长期停止状态后恢复运行。</w:t>
      </w:r>
    </w:p>
    <w:p>
      <w:pPr>
        <w:pStyle w:val="8"/>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泵的性能试验规程应以ISO9906-2B(2011)为准。</w:t>
      </w:r>
    </w:p>
    <w:p>
      <w:pPr>
        <w:pStyle w:val="8"/>
        <w:spacing w:line="312" w:lineRule="auto"/>
        <w:ind w:firstLine="0" w:firstLineChars="0"/>
        <w:rPr>
          <w:rFonts w:ascii="宋体" w:hAnsi="宋体" w:cs="宋体"/>
          <w:b/>
          <w:bCs/>
          <w:color w:val="auto"/>
          <w:szCs w:val="21"/>
          <w:highlight w:val="none"/>
        </w:rPr>
      </w:pPr>
      <w:r>
        <w:rPr>
          <w:rFonts w:hint="eastAsia" w:ascii="宋体" w:hAnsi="宋体" w:cs="宋体"/>
          <w:b/>
          <w:bCs/>
          <w:color w:val="auto"/>
          <w:szCs w:val="21"/>
          <w:highlight w:val="none"/>
        </w:rPr>
        <w:t>5.设计、结构与主要材料及要求</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5.1泵壳</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泵壳采用灰铸铁整体浇铸，其材料牌号应至少为GG25(HT250)铸铁或以上，泵壳内表面经喷砂、打磨后应光滑、无疵瑕，所有水流通过部分应设计成无锐角形式，以使流速和流态变化趋于平稳。流道的断面应足够大，以使相应粒径的杂物能通过。泵壳要有足够的厚度来承受所有的载荷。</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泵壳设计时要考虑到能够把叶轮从顶部或底部抽出。 </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每台泵壳都必须在制造车间进行静压试验，试验压力不得小于关闭水头的2倍（如特性曲线所示），试验时间应至少持续10min。在这一试验压力下，泵的任一部分均不得有变形、渗漏等缺陷。</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除有其它说明外，所有要求水密封的接触面都必须作机械加工和设置Ｏ型圈，靠金属加工面之间的接触，使Ｏ型圈受压达到密封的装配，而不需要施加特殊的外力。</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5.2泵叶轮</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叶轮须采用整体铸造无堵塞离心叶轮型式。叶轮和泵轴之间采用双键固定在轴的端部，并采用保护橡皮帽进行密封。叶轮和轴须采用内部锁定装置，以防叶轮在反转时发生松动现象。 </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叶轮材质为双相不锈钢1.4517(CD 4MCu)或更优。</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叶轮应进行动平衡试验，动平衡精度应不低于ISO1940 G6.3级。</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5.3泵轴</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泵轴和电机轴必须为整体结构，并与泵送的液体完全分开。轴材料采用高强度耐腐蚀不锈钢1.4021(420)制造。</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5.4泵轴承</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上部轴承为圆柱滚子轴承，下部轴承组包括一对单列向心推力球轴承和一只单列圆柱滚子轴承，轴承的设计使用寿命应不小于100,000小时。设计的轴承必须能够承受所有轴向和径向负荷。轴承采用：SKF或同等品牌。</w:t>
      </w:r>
    </w:p>
    <w:p>
      <w:pPr>
        <w:spacing w:line="312" w:lineRule="auto"/>
        <w:ind w:firstLine="422" w:firstLineChars="200"/>
        <w:rPr>
          <w:rFonts w:ascii="宋体" w:hAnsi="宋体" w:cs="宋体"/>
          <w:color w:val="auto"/>
          <w:szCs w:val="21"/>
          <w:highlight w:val="none"/>
        </w:rPr>
      </w:pPr>
      <w:r>
        <w:rPr>
          <w:rFonts w:hint="eastAsia" w:ascii="宋体" w:hAnsi="宋体" w:cs="宋体"/>
          <w:b/>
          <w:bCs/>
          <w:color w:val="auto"/>
          <w:szCs w:val="21"/>
          <w:highlight w:val="none"/>
        </w:rPr>
        <w:t>5.5耐磨环</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为了在蜗壳和叶轮间能有效密封，应安装耐磨环。耐磨环必须可靠地紧固在泵壳上，在正常运行条件下或泵逆向运转时都不会发生松动。</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耐磨环的结构形式应考虑到容易拆除和更换。</w:t>
      </w:r>
    </w:p>
    <w:p>
      <w:pPr>
        <w:spacing w:line="312" w:lineRule="auto"/>
        <w:ind w:firstLine="422" w:firstLineChars="200"/>
        <w:rPr>
          <w:rFonts w:ascii="宋体" w:hAnsi="宋体" w:cs="宋体"/>
          <w:color w:val="auto"/>
          <w:szCs w:val="21"/>
          <w:highlight w:val="none"/>
        </w:rPr>
      </w:pPr>
      <w:r>
        <w:rPr>
          <w:rFonts w:hint="eastAsia" w:ascii="宋体" w:hAnsi="宋体" w:cs="宋体"/>
          <w:b/>
          <w:bCs/>
          <w:color w:val="auto"/>
          <w:szCs w:val="21"/>
          <w:highlight w:val="none"/>
        </w:rPr>
        <w:t>5.6泵的机械密封</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采用两个上下双重独立的高质量机械密封系统，可以顺时针或逆时针转动，而不会带来不良后果。机械密封均采用碳化钨/碳化钨或碳化硅/碳化硅，介质酸碱度范围为pH6～10。</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机械密封应该是免维护的，润滑与被输送液体相隔开，应能抵抗热冲击，并具有良好紧急运行的特点。</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两机械密封间应有一油室，油室内充有符合卫生标准要求的石蜡油，用石蜡油润滑和冷却机械密封，并作为输送介质和电机腔间的缓冲，作为进一步的保护措施。</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制造厂应保证机械密封的设计使用寿命不低于25,000小时。</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5.7冷却系统</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潜水电机应带一内部自循环冷却系统，冷却液应为水和乙二醇或油水的混合液，依靠泵送污水作为冷却介质的设计有堵塞的风险将不被接受，冷却夹套应采用不锈钢316或碳钢材质。其余潜水电机的冷却通过定子向壳体周围搅拌介质的热传导来完成，不需要额外的冷却系统。</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5.8电机</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机应为鼠笼潜水电机，3相、380V、50HZ，防护等级IP68及以上，绝缘等级H及以上。电机功率的选配应保证在工作范围内任一点运行时，都不会出现过载，在设计流量时的安全余量应不少于10％，在变频运行下的电机安全余量应不少于15%。电机能每小时启动10次。能连接泵送温度最高为40°C的介质，并且定子绕组的平均温升不超过105°C。定子应热压嵌入定子室，并与转子保持合适的间隙。</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5.9电缆和电缆密封</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机应配有控制和动力水下电缆，每根电缆都有一个单独的进口，并进行可靠的密封，如果动力电缆是多芯电缆，则每根电缆还要进行单独密封。电缆应伸进接线室，并用可重复使用的橡胶密封件密封或使用树脂或其他罐装密封材料密封。</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5.10水泵保护系统</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泵应设有一套保护系统，用于阻塞、过载、故障、漏水等发出指示，应该在电机或主轴出现严重损坏前发出相关信号。</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电机过载保护：</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电机的每一绕组均由PTC型温度传感器保护，三个传感器应串联连接，这些传感器都应在摄氏150℃时动作。</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泄漏保护：</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在定子室和接线室中分别提供一个探测液体泄漏的传感器。电机功率大于50kW时需配套监测机械密封泄露传感器。</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轴承温度保护：</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为了指示轴承的温度，电机功率大于50kW时在水泵轴承处各设有一PT100型温度传感器，在主轴或电机的其他部件出现严重损坏前监测轴承温度。</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5.11安装附件</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一台泵应配有固定在池底的出水弯管，泵应能顺利沿导杆（承受2倍水泵重量）向下滑行并通过卡爪自动与弯座耦合。耦合必须牢固可靠，密封面不会有漏水现象，采用刚性面密封是不允许的，同时必须易于维护时提升、起吊水泵。</w:t>
      </w:r>
    </w:p>
    <w:p>
      <w:pPr>
        <w:spacing w:line="312" w:lineRule="auto"/>
        <w:ind w:firstLine="420" w:firstLineChars="200"/>
        <w:rPr>
          <w:rFonts w:ascii="宋体" w:hAnsi="宋体" w:cs="宋体"/>
          <w:b/>
          <w:bCs/>
          <w:color w:val="auto"/>
          <w:szCs w:val="21"/>
          <w:highlight w:val="red"/>
        </w:rPr>
      </w:pPr>
      <w:bookmarkStart w:id="292" w:name="_Toc330797227"/>
      <w:r>
        <w:rPr>
          <w:rFonts w:hint="eastAsia" w:ascii="宋体" w:hAnsi="宋体" w:cs="宋体"/>
          <w:bCs/>
          <w:color w:val="auto"/>
          <w:szCs w:val="21"/>
          <w:highlight w:val="red"/>
        </w:rPr>
        <w:t>▲</w:t>
      </w:r>
      <w:r>
        <w:rPr>
          <w:rFonts w:hint="eastAsia" w:ascii="宋体" w:hAnsi="宋体" w:cs="宋体"/>
          <w:b/>
          <w:bCs/>
          <w:color w:val="auto"/>
          <w:szCs w:val="21"/>
          <w:highlight w:val="red"/>
        </w:rPr>
        <w:t xml:space="preserve"> 主要材料</w:t>
      </w:r>
      <w:bookmarkEnd w:id="292"/>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叶轮</w:t>
      </w:r>
      <w:r>
        <w:rPr>
          <w:rFonts w:hint="eastAsia" w:ascii="宋体" w:hAnsi="宋体" w:cs="宋体"/>
          <w:color w:val="auto"/>
          <w:szCs w:val="21"/>
          <w:highlight w:val="red"/>
        </w:rPr>
        <w:tab/>
      </w:r>
      <w:r>
        <w:rPr>
          <w:rFonts w:hint="eastAsia" w:ascii="宋体" w:hAnsi="宋体" w:cs="宋体"/>
          <w:color w:val="auto"/>
          <w:szCs w:val="21"/>
          <w:highlight w:val="red"/>
        </w:rPr>
        <w:t xml:space="preserve"> 双相不锈钢1.4517(CD 4MCu)及以上的不锈钢</w:t>
      </w:r>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泵壳</w:t>
      </w:r>
      <w:r>
        <w:rPr>
          <w:rFonts w:hint="eastAsia" w:ascii="宋体" w:hAnsi="宋体" w:cs="宋体"/>
          <w:color w:val="auto"/>
          <w:szCs w:val="21"/>
          <w:highlight w:val="red"/>
        </w:rPr>
        <w:tab/>
      </w:r>
      <w:r>
        <w:rPr>
          <w:rFonts w:hint="eastAsia" w:ascii="宋体" w:hAnsi="宋体" w:cs="宋体"/>
          <w:color w:val="auto"/>
          <w:szCs w:val="21"/>
          <w:highlight w:val="red"/>
        </w:rPr>
        <w:t xml:space="preserve">  GG25或以上铸铁</w:t>
      </w:r>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主轴</w:t>
      </w:r>
      <w:r>
        <w:rPr>
          <w:rFonts w:hint="eastAsia" w:ascii="宋体" w:hAnsi="宋体" w:cs="宋体"/>
          <w:color w:val="auto"/>
          <w:szCs w:val="21"/>
          <w:highlight w:val="red"/>
        </w:rPr>
        <w:tab/>
      </w:r>
      <w:r>
        <w:rPr>
          <w:rFonts w:hint="eastAsia" w:ascii="宋体" w:hAnsi="宋体" w:cs="宋体"/>
          <w:color w:val="auto"/>
          <w:szCs w:val="21"/>
          <w:highlight w:val="red"/>
        </w:rPr>
        <w:t xml:space="preserve">  不锈钢1.4021(420)及以上</w:t>
      </w:r>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冷却夹套  不锈钢316及以上或碳钢材质</w:t>
      </w:r>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提升链</w:t>
      </w:r>
      <w:r>
        <w:rPr>
          <w:rFonts w:hint="eastAsia" w:ascii="宋体" w:hAnsi="宋体" w:cs="宋体"/>
          <w:color w:val="auto"/>
          <w:szCs w:val="21"/>
          <w:highlight w:val="red"/>
        </w:rPr>
        <w:tab/>
      </w:r>
      <w:r>
        <w:rPr>
          <w:rFonts w:hint="eastAsia" w:ascii="宋体" w:hAnsi="宋体" w:cs="宋体"/>
          <w:color w:val="auto"/>
          <w:szCs w:val="21"/>
          <w:highlight w:val="red"/>
        </w:rPr>
        <w:t xml:space="preserve">  不锈钢316及以上</w:t>
      </w:r>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 xml:space="preserve">导杆 </w:t>
      </w:r>
      <w:r>
        <w:rPr>
          <w:rFonts w:hint="eastAsia" w:ascii="宋体" w:hAnsi="宋体" w:cs="宋体"/>
          <w:color w:val="auto"/>
          <w:szCs w:val="21"/>
          <w:highlight w:val="red"/>
        </w:rPr>
        <w:tab/>
      </w:r>
      <w:r>
        <w:rPr>
          <w:rFonts w:hint="eastAsia" w:ascii="宋体" w:hAnsi="宋体" w:cs="宋体"/>
          <w:color w:val="auto"/>
          <w:szCs w:val="21"/>
          <w:highlight w:val="red"/>
        </w:rPr>
        <w:t xml:space="preserve">  不锈钢304及以上</w:t>
      </w:r>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机械密封</w:t>
      </w:r>
      <w:r>
        <w:rPr>
          <w:rFonts w:hint="eastAsia" w:ascii="宋体" w:hAnsi="宋体" w:cs="宋体"/>
          <w:color w:val="auto"/>
          <w:szCs w:val="21"/>
          <w:highlight w:val="red"/>
        </w:rPr>
        <w:tab/>
      </w:r>
      <w:r>
        <w:rPr>
          <w:rFonts w:hint="eastAsia" w:ascii="宋体" w:hAnsi="宋体" w:cs="宋体"/>
          <w:color w:val="auto"/>
          <w:szCs w:val="21"/>
          <w:highlight w:val="red"/>
        </w:rPr>
        <w:t>碳化钨/碳化钨或碳化硅/碳化硅</w:t>
      </w:r>
    </w:p>
    <w:p>
      <w:pPr>
        <w:spacing w:line="312" w:lineRule="auto"/>
        <w:ind w:firstLine="420" w:firstLineChars="200"/>
        <w:rPr>
          <w:rFonts w:ascii="宋体" w:hAnsi="宋体" w:cs="宋体"/>
          <w:color w:val="auto"/>
          <w:szCs w:val="21"/>
          <w:highlight w:val="red"/>
        </w:rPr>
      </w:pPr>
      <w:r>
        <w:rPr>
          <w:rFonts w:hint="eastAsia" w:ascii="宋体" w:hAnsi="宋体" w:cs="宋体"/>
          <w:color w:val="auto"/>
          <w:szCs w:val="21"/>
          <w:highlight w:val="red"/>
        </w:rPr>
        <w:t>与介质接触紧固件</w:t>
      </w:r>
      <w:r>
        <w:rPr>
          <w:rFonts w:hint="eastAsia" w:ascii="宋体" w:hAnsi="宋体" w:cs="宋体"/>
          <w:color w:val="auto"/>
          <w:szCs w:val="21"/>
          <w:highlight w:val="red"/>
        </w:rPr>
        <w:tab/>
      </w:r>
      <w:r>
        <w:rPr>
          <w:rFonts w:hint="eastAsia" w:ascii="宋体" w:hAnsi="宋体" w:cs="宋体"/>
          <w:color w:val="auto"/>
          <w:szCs w:val="21"/>
          <w:highlight w:val="red"/>
        </w:rPr>
        <w:t xml:space="preserve">  不锈钢316及以上</w:t>
      </w:r>
    </w:p>
    <w:p>
      <w:pPr>
        <w:spacing w:line="312"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抗腐蚀措施</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对所有接触污水的金属表面（除不锈钢外）均采用铁红底漆两层保护。表面是环氧树脂漆，厚度为0.3mm～0.5mm。</w:t>
      </w:r>
    </w:p>
    <w:p>
      <w:pPr>
        <w:tabs>
          <w:tab w:val="center" w:pos="4621"/>
        </w:tabs>
        <w:snapToGrid w:val="0"/>
        <w:spacing w:line="312" w:lineRule="auto"/>
        <w:jc w:val="left"/>
        <w:rPr>
          <w:rFonts w:ascii="宋体" w:hAnsi="宋体"/>
          <w:b/>
          <w:color w:val="auto"/>
          <w:szCs w:val="21"/>
          <w:highlight w:val="none"/>
        </w:rPr>
      </w:pPr>
    </w:p>
    <w:p>
      <w:pPr>
        <w:tabs>
          <w:tab w:val="center" w:pos="4621"/>
        </w:tabs>
        <w:snapToGrid w:val="0"/>
        <w:spacing w:line="312" w:lineRule="auto"/>
        <w:jc w:val="left"/>
        <w:rPr>
          <w:rFonts w:ascii="宋体" w:hAnsi="宋体"/>
          <w:b/>
          <w:color w:val="auto"/>
          <w:szCs w:val="21"/>
          <w:highlight w:val="none"/>
        </w:rPr>
      </w:pPr>
      <w:r>
        <w:rPr>
          <w:rFonts w:hint="eastAsia" w:ascii="宋体" w:hAnsi="宋体"/>
          <w:b/>
          <w:color w:val="auto"/>
          <w:szCs w:val="21"/>
          <w:highlight w:val="none"/>
        </w:rPr>
        <w:t>二）循环式齿耙格栅机</w:t>
      </w:r>
    </w:p>
    <w:p>
      <w:pPr>
        <w:pStyle w:val="8"/>
        <w:spacing w:line="312" w:lineRule="auto"/>
        <w:ind w:firstLine="0" w:firstLineChars="0"/>
        <w:rPr>
          <w:rFonts w:ascii="宋体" w:hAnsi="宋体" w:cs="宋体"/>
          <w:b/>
          <w:bCs/>
          <w:color w:val="auto"/>
          <w:szCs w:val="21"/>
          <w:highlight w:val="none"/>
        </w:rPr>
      </w:pPr>
      <w:r>
        <w:rPr>
          <w:rFonts w:hint="eastAsia" w:ascii="宋体" w:hAnsi="宋体" w:cs="宋体"/>
          <w:b/>
          <w:bCs/>
          <w:color w:val="auto"/>
          <w:szCs w:val="21"/>
          <w:highlight w:val="none"/>
        </w:rPr>
        <w:t>1.供货范围</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承包商提供的循环式齿耙格栅机为成套装置，并需配备控制箱等有效和安全运行所必需的附件。</w:t>
      </w:r>
    </w:p>
    <w:p>
      <w:pPr>
        <w:spacing w:line="312" w:lineRule="auto"/>
        <w:jc w:val="left"/>
        <w:rPr>
          <w:rFonts w:ascii="宋体" w:hAnsi="宋体"/>
          <w:b/>
          <w:color w:val="auto"/>
          <w:szCs w:val="21"/>
          <w:highlight w:val="none"/>
        </w:rPr>
      </w:pPr>
      <w:r>
        <w:rPr>
          <w:rFonts w:hint="eastAsia" w:ascii="宋体" w:hAnsi="宋体"/>
          <w:b/>
          <w:color w:val="auto"/>
          <w:szCs w:val="21"/>
          <w:highlight w:val="none"/>
        </w:rPr>
        <w:t>2.主要部件</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回转式格栅固液分离机主要由机架、耙齿链板、驱动装置、牵引链、清扫转刷机构、导向装置、水底拦栅等部件组成。</w:t>
      </w:r>
    </w:p>
    <w:p>
      <w:pPr>
        <w:spacing w:line="312" w:lineRule="auto"/>
        <w:rPr>
          <w:rFonts w:ascii="宋体" w:hAnsi="宋体"/>
          <w:b/>
          <w:bCs/>
          <w:color w:val="auto"/>
          <w:szCs w:val="21"/>
          <w:highlight w:val="none"/>
        </w:rPr>
      </w:pPr>
      <w:r>
        <w:rPr>
          <w:rFonts w:hint="eastAsia" w:ascii="宋体" w:hAnsi="宋体"/>
          <w:b/>
          <w:bCs/>
          <w:color w:val="auto"/>
          <w:szCs w:val="21"/>
          <w:highlight w:val="none"/>
        </w:rPr>
        <w:t>（1）机架</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机架材质为304不锈钢</w:t>
      </w:r>
      <w:r>
        <w:rPr>
          <w:rFonts w:hint="eastAsia" w:ascii="宋体" w:hAnsi="宋体" w:cs="宋体"/>
          <w:color w:val="auto"/>
          <w:szCs w:val="21"/>
          <w:highlight w:val="none"/>
        </w:rPr>
        <w:t>及以上</w:t>
      </w:r>
      <w:r>
        <w:rPr>
          <w:rFonts w:hint="eastAsia" w:ascii="宋体" w:hAnsi="宋体"/>
          <w:color w:val="auto"/>
          <w:szCs w:val="21"/>
          <w:highlight w:val="none"/>
        </w:rPr>
        <w:t>，其两侧墙板采用不锈钢板与型钢焊接制作而成，两侧板间隔一定距离设置槽钢横撑，焊接后的格栅机架形成一个整体，在考虑最不利情况下，前后水位差很大时（≥1m）不会造成机架结构件变形。设备机架设计时采用板式框架，内侧设置牵引链回转运动轨导，机架用钢板和槽钢等焊接而成，其断面尺寸足够满足最大工作截荷的要求。</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机架两侧与格栅井间留有间隙，通过机架的两侧橡胶密封板防止垃圾通过。机架平台处的两侧设置安全连接支座，与基础平台之间通过安装连接板联接。安装时连接板的上端与机架用螺栓连接，下端在调整机架两侧与格栅井之间间隙相等后，与基础预埋钢板进行焊接，当起吊格栅时，只须拆下连接板与机架间的螺栓即可。</w:t>
      </w:r>
    </w:p>
    <w:p>
      <w:pPr>
        <w:spacing w:line="312" w:lineRule="auto"/>
        <w:rPr>
          <w:rFonts w:ascii="宋体" w:hAnsi="宋体"/>
          <w:b/>
          <w:bCs/>
          <w:color w:val="auto"/>
          <w:szCs w:val="21"/>
          <w:highlight w:val="none"/>
        </w:rPr>
      </w:pPr>
      <w:r>
        <w:rPr>
          <w:rFonts w:hint="eastAsia" w:ascii="宋体" w:hAnsi="宋体"/>
          <w:b/>
          <w:bCs/>
          <w:color w:val="auto"/>
          <w:szCs w:val="21"/>
          <w:highlight w:val="none"/>
        </w:rPr>
        <w:t>（2）驱动装置</w:t>
      </w:r>
    </w:p>
    <w:p>
      <w:pPr>
        <w:spacing w:line="312" w:lineRule="auto"/>
        <w:ind w:firstLine="210" w:firstLineChars="100"/>
        <w:rPr>
          <w:rFonts w:ascii="宋体" w:hAnsi="宋体"/>
          <w:bCs/>
          <w:color w:val="auto"/>
          <w:szCs w:val="21"/>
          <w:highlight w:val="none"/>
        </w:rPr>
      </w:pPr>
      <w:r>
        <w:rPr>
          <w:rFonts w:hint="eastAsia" w:ascii="宋体" w:hAnsi="宋体"/>
          <w:bCs/>
          <w:color w:val="auto"/>
          <w:szCs w:val="21"/>
          <w:highlight w:val="none"/>
        </w:rPr>
        <w:t xml:space="preserve">  驱动装置包括电机、减速机、传动链条、链轮；电机采用异步感应电机，它采用斜齿轮式减速机。电机防护等级为IP65及以上，绝缘等级为F级及以上；通过传动链条及链轮满足牵引链回转速度为2.1m/min及以上的要求。</w:t>
      </w:r>
    </w:p>
    <w:p>
      <w:pPr>
        <w:spacing w:line="312" w:lineRule="auto"/>
        <w:ind w:firstLine="420" w:firstLineChars="200"/>
        <w:rPr>
          <w:rFonts w:ascii="宋体" w:hAnsi="宋体"/>
          <w:bCs/>
          <w:color w:val="auto"/>
          <w:szCs w:val="21"/>
          <w:highlight w:val="none"/>
        </w:rPr>
      </w:pPr>
      <w:r>
        <w:rPr>
          <w:rFonts w:hint="eastAsia" w:ascii="宋体" w:hAnsi="宋体"/>
          <w:bCs/>
          <w:color w:val="auto"/>
          <w:szCs w:val="21"/>
          <w:highlight w:val="none"/>
        </w:rPr>
        <w:t>驱动装置安装在机架上部，并设有304不锈钢</w:t>
      </w:r>
      <w:r>
        <w:rPr>
          <w:rFonts w:hint="eastAsia" w:ascii="宋体" w:hAnsi="宋体" w:cs="宋体"/>
          <w:color w:val="auto"/>
          <w:szCs w:val="21"/>
          <w:highlight w:val="none"/>
        </w:rPr>
        <w:t>及以上</w:t>
      </w:r>
      <w:r>
        <w:rPr>
          <w:rFonts w:hint="eastAsia" w:ascii="宋体" w:hAnsi="宋体"/>
          <w:bCs/>
          <w:color w:val="auto"/>
          <w:szCs w:val="21"/>
          <w:highlight w:val="none"/>
        </w:rPr>
        <w:t>防护罩，并采用螺栓固定在机架上部，防止电机日晒雨淋。</w:t>
      </w:r>
    </w:p>
    <w:p>
      <w:pPr>
        <w:pStyle w:val="15"/>
        <w:spacing w:line="312" w:lineRule="auto"/>
        <w:ind w:right="0" w:rightChars="0" w:firstLine="417" w:firstLineChars="199"/>
        <w:rPr>
          <w:rFonts w:ascii="宋体" w:hAnsi="宋体"/>
          <w:color w:val="auto"/>
          <w:szCs w:val="21"/>
          <w:highlight w:val="none"/>
        </w:rPr>
      </w:pPr>
      <w:r>
        <w:rPr>
          <w:rFonts w:hint="eastAsia" w:ascii="宋体" w:hAnsi="宋体"/>
          <w:color w:val="auto"/>
          <w:szCs w:val="21"/>
          <w:highlight w:val="none"/>
        </w:rPr>
        <w:t>固液分离机在传动链轮上设置了机械过载保护装置，即机械剪切销。当工作载荷超过减速机额定输出扭矩时，剪切销瞬间切断，使牵引链条停止运动。及时对减速机、电机和齿耙进行保护。同时，应当设置过电流保护装置，当电流超出额定值时，电器元件自动切断电源并报警，此时及时排除故障方可继续工作。</w:t>
      </w:r>
    </w:p>
    <w:p>
      <w:pPr>
        <w:spacing w:line="312" w:lineRule="auto"/>
        <w:jc w:val="left"/>
        <w:rPr>
          <w:rFonts w:ascii="宋体" w:hAnsi="宋体"/>
          <w:b/>
          <w:bCs/>
          <w:color w:val="auto"/>
          <w:szCs w:val="21"/>
          <w:highlight w:val="none"/>
        </w:rPr>
      </w:pPr>
      <w:r>
        <w:rPr>
          <w:rFonts w:hint="eastAsia" w:ascii="宋体" w:hAnsi="宋体"/>
          <w:b/>
          <w:bCs/>
          <w:color w:val="auto"/>
          <w:szCs w:val="21"/>
          <w:highlight w:val="none"/>
        </w:rPr>
        <w:t>（3）耙齿及耙齿轴</w:t>
      </w:r>
    </w:p>
    <w:p>
      <w:pPr>
        <w:spacing w:line="312" w:lineRule="auto"/>
        <w:ind w:firstLine="480"/>
        <w:jc w:val="left"/>
        <w:rPr>
          <w:rFonts w:ascii="宋体" w:hAnsi="宋体"/>
          <w:color w:val="auto"/>
          <w:szCs w:val="21"/>
          <w:highlight w:val="none"/>
        </w:rPr>
      </w:pPr>
      <w:r>
        <w:rPr>
          <w:rFonts w:hint="eastAsia" w:ascii="宋体" w:hAnsi="宋体"/>
          <w:color w:val="auto"/>
          <w:szCs w:val="21"/>
          <w:highlight w:val="none"/>
        </w:rPr>
        <w:t>耙齿轴采用不锈钢圆钢，格栅耙齿采用耐磨性、耐腐蚀较强的尼龙；在驱动装置的带动下，牵引链在导轨上带动耙齿链带作回转运动，从而能有效地除去大于耙齿间隙的所有固体截留物。寿命要求10年以上。</w:t>
      </w:r>
    </w:p>
    <w:p>
      <w:pPr>
        <w:spacing w:line="312" w:lineRule="auto"/>
        <w:jc w:val="left"/>
        <w:rPr>
          <w:rFonts w:ascii="宋体" w:hAnsi="宋体"/>
          <w:b/>
          <w:bCs/>
          <w:color w:val="auto"/>
          <w:szCs w:val="21"/>
          <w:highlight w:val="none"/>
        </w:rPr>
      </w:pPr>
      <w:r>
        <w:rPr>
          <w:rFonts w:hint="eastAsia" w:ascii="宋体" w:hAnsi="宋体"/>
          <w:b/>
          <w:bCs/>
          <w:color w:val="auto"/>
          <w:szCs w:val="21"/>
          <w:highlight w:val="none"/>
        </w:rPr>
        <w:t>（4）导向装置</w:t>
      </w:r>
    </w:p>
    <w:p>
      <w:pPr>
        <w:spacing w:line="312" w:lineRule="auto"/>
        <w:ind w:firstLine="480"/>
        <w:jc w:val="left"/>
        <w:rPr>
          <w:rFonts w:ascii="宋体" w:hAnsi="宋体"/>
          <w:color w:val="auto"/>
          <w:szCs w:val="21"/>
          <w:highlight w:val="none"/>
        </w:rPr>
      </w:pPr>
      <w:r>
        <w:rPr>
          <w:rFonts w:hint="eastAsia" w:ascii="宋体" w:hAnsi="宋体"/>
          <w:color w:val="auto"/>
          <w:szCs w:val="21"/>
          <w:highlight w:val="none"/>
        </w:rPr>
        <w:t>格栅的导向装置由2组槽导轮组成，分别设置于机架两侧的上部，用于改变耙齿链排的运行方向；在机架的下方设有1组平导轮，以起到支承作用。</w:t>
      </w:r>
    </w:p>
    <w:p>
      <w:pPr>
        <w:spacing w:line="312" w:lineRule="auto"/>
        <w:jc w:val="left"/>
        <w:rPr>
          <w:rFonts w:ascii="宋体" w:hAnsi="宋体"/>
          <w:b/>
          <w:bCs/>
          <w:color w:val="auto"/>
          <w:szCs w:val="21"/>
          <w:highlight w:val="none"/>
        </w:rPr>
      </w:pPr>
      <w:r>
        <w:rPr>
          <w:rFonts w:hint="eastAsia" w:ascii="宋体" w:hAnsi="宋体"/>
          <w:b/>
          <w:bCs/>
          <w:color w:val="auto"/>
          <w:szCs w:val="21"/>
          <w:highlight w:val="none"/>
        </w:rPr>
        <w:t>（5）牵引链装置</w:t>
      </w:r>
    </w:p>
    <w:p>
      <w:pPr>
        <w:spacing w:line="312" w:lineRule="auto"/>
        <w:ind w:firstLine="480"/>
        <w:jc w:val="left"/>
        <w:rPr>
          <w:rFonts w:ascii="宋体" w:hAnsi="宋体"/>
          <w:color w:val="auto"/>
          <w:szCs w:val="21"/>
          <w:highlight w:val="none"/>
        </w:rPr>
      </w:pPr>
      <w:r>
        <w:rPr>
          <w:rFonts w:hint="eastAsia" w:ascii="宋体" w:hAnsi="宋体"/>
          <w:color w:val="auto"/>
          <w:szCs w:val="21"/>
          <w:highlight w:val="none"/>
        </w:rPr>
        <w:t>每台机均设有两条牵引链，分别位于耙齿轴的两端，它主要由大套、小套、卡簧、链板条及挡板等组成，其材质均为不锈钢；将它们依此串接在耙齿轴的一端，并由卡簧固定，从而形成一圈，即牵引链；它具有足够的强度和刚度，牵引链还设有可调节的张紧装置。</w:t>
      </w:r>
    </w:p>
    <w:p>
      <w:pPr>
        <w:spacing w:line="312" w:lineRule="auto"/>
        <w:ind w:firstLine="480"/>
        <w:jc w:val="left"/>
        <w:rPr>
          <w:rFonts w:ascii="宋体" w:hAnsi="宋体"/>
          <w:color w:val="auto"/>
          <w:szCs w:val="21"/>
          <w:highlight w:val="none"/>
        </w:rPr>
      </w:pPr>
      <w:r>
        <w:rPr>
          <w:rFonts w:hint="eastAsia" w:ascii="宋体" w:hAnsi="宋体"/>
          <w:color w:val="auto"/>
          <w:szCs w:val="21"/>
          <w:highlight w:val="none"/>
        </w:rPr>
        <w:t>导轨位于格栅两墙板的内侧，以作牵引链回转运行的轨道之用。</w:t>
      </w:r>
    </w:p>
    <w:p>
      <w:pPr>
        <w:spacing w:line="312" w:lineRule="auto"/>
        <w:ind w:firstLine="480"/>
        <w:jc w:val="left"/>
        <w:rPr>
          <w:rFonts w:ascii="宋体" w:hAnsi="宋体"/>
          <w:color w:val="auto"/>
          <w:szCs w:val="21"/>
          <w:highlight w:val="none"/>
        </w:rPr>
      </w:pPr>
      <w:r>
        <w:rPr>
          <w:rFonts w:hint="eastAsia" w:ascii="宋体" w:hAnsi="宋体"/>
          <w:color w:val="auto"/>
          <w:szCs w:val="21"/>
          <w:highlight w:val="none"/>
        </w:rPr>
        <w:t>牵引链条由于长时间在受拉条件下工作会产生变长现象，须可通过调整张紧轮来保证链条传动的正常啮合间隙和啮合精度，并在垂直方向上确保链传动的正常工作。</w:t>
      </w:r>
    </w:p>
    <w:p>
      <w:pPr>
        <w:spacing w:line="312" w:lineRule="auto"/>
        <w:rPr>
          <w:rFonts w:ascii="宋体" w:hAnsi="宋体"/>
          <w:b/>
          <w:color w:val="auto"/>
          <w:szCs w:val="21"/>
          <w:highlight w:val="none"/>
        </w:rPr>
      </w:pPr>
      <w:r>
        <w:rPr>
          <w:rFonts w:hint="eastAsia" w:ascii="宋体" w:hAnsi="宋体"/>
          <w:b/>
          <w:color w:val="auto"/>
          <w:szCs w:val="21"/>
          <w:highlight w:val="none"/>
        </w:rPr>
        <w:t>3.设备控制系统</w:t>
      </w:r>
    </w:p>
    <w:p>
      <w:pPr>
        <w:spacing w:line="312" w:lineRule="auto"/>
        <w:ind w:firstLine="420" w:firstLineChars="200"/>
        <w:jc w:val="left"/>
        <w:rPr>
          <w:rFonts w:ascii="宋体" w:hAnsi="宋体"/>
          <w:color w:val="auto"/>
          <w:szCs w:val="21"/>
          <w:highlight w:val="none"/>
        </w:rPr>
      </w:pPr>
      <w:r>
        <w:rPr>
          <w:rFonts w:hint="eastAsia" w:ascii="宋体" w:hAnsi="宋体"/>
          <w:color w:val="auto"/>
          <w:szCs w:val="21"/>
          <w:highlight w:val="none"/>
        </w:rPr>
        <w:t>格栅配套有户外型控制箱，采用不锈钢304材质</w:t>
      </w:r>
      <w:r>
        <w:rPr>
          <w:rFonts w:hint="eastAsia" w:ascii="宋体" w:hAnsi="宋体" w:cs="宋体"/>
          <w:color w:val="auto"/>
          <w:szCs w:val="21"/>
          <w:highlight w:val="none"/>
        </w:rPr>
        <w:t>及以上</w:t>
      </w:r>
      <w:r>
        <w:rPr>
          <w:rFonts w:hint="eastAsia" w:ascii="宋体" w:hAnsi="宋体"/>
          <w:color w:val="auto"/>
          <w:szCs w:val="21"/>
          <w:highlight w:val="none"/>
        </w:rPr>
        <w:t>，安装于格栅旁，控制格栅及输送机的运行；额定工作电压为220/380V，频率50Hz，相数3相，其防护等级IP65</w:t>
      </w:r>
      <w:r>
        <w:rPr>
          <w:rFonts w:hint="eastAsia" w:ascii="宋体" w:hAnsi="宋体" w:cs="宋体"/>
          <w:color w:val="auto"/>
          <w:szCs w:val="21"/>
          <w:highlight w:val="none"/>
        </w:rPr>
        <w:t>及以上</w:t>
      </w:r>
      <w:r>
        <w:rPr>
          <w:rFonts w:hint="eastAsia" w:ascii="宋体" w:hAnsi="宋体"/>
          <w:color w:val="auto"/>
          <w:szCs w:val="21"/>
          <w:highlight w:val="none"/>
        </w:rPr>
        <w:t>；控制箱采用厚度1.5mm的钢板制作而成，控制箱为两扇门结构，外层为一扇玻璃门，箱门装有密封垫，内层门上为显示仪表及控制开关，其所有仪表及开关均为防水型。控制箱门上都设有功能标签。每扇箱门都有一个可锁的手柄，当门关紧后，门上的衬垫能有效密封，所有的外部附件如门铰链、手柄和外壳固定螺栓都防腐及抛光处理，以保持外观整洁统一。</w:t>
      </w:r>
    </w:p>
    <w:p>
      <w:pPr>
        <w:spacing w:line="312" w:lineRule="auto"/>
        <w:jc w:val="left"/>
        <w:rPr>
          <w:rFonts w:ascii="宋体" w:hAnsi="宋体"/>
          <w:color w:val="auto"/>
          <w:szCs w:val="21"/>
          <w:highlight w:val="none"/>
        </w:rPr>
      </w:pPr>
      <w:r>
        <w:rPr>
          <w:rFonts w:hint="eastAsia" w:ascii="宋体" w:hAnsi="宋体"/>
          <w:b/>
          <w:bCs/>
          <w:color w:val="auto"/>
          <w:szCs w:val="21"/>
          <w:highlight w:val="none"/>
        </w:rPr>
        <w:t>4．电气控制</w:t>
      </w:r>
    </w:p>
    <w:p>
      <w:pPr>
        <w:spacing w:line="312" w:lineRule="auto"/>
        <w:jc w:val="left"/>
        <w:rPr>
          <w:rFonts w:ascii="宋体" w:hAnsi="宋体"/>
          <w:color w:val="auto"/>
          <w:szCs w:val="21"/>
          <w:highlight w:val="none"/>
        </w:rPr>
      </w:pPr>
      <w:r>
        <w:rPr>
          <w:rFonts w:hint="eastAsia" w:ascii="宋体" w:hAnsi="宋体"/>
          <w:color w:val="auto"/>
          <w:szCs w:val="21"/>
          <w:highlight w:val="none"/>
        </w:rPr>
        <w:t>（1）格栅手动-自动-远程控制选择开关，三档设置：</w:t>
      </w:r>
    </w:p>
    <w:p>
      <w:pPr>
        <w:spacing w:line="312" w:lineRule="auto"/>
        <w:jc w:val="left"/>
        <w:rPr>
          <w:rFonts w:ascii="宋体" w:hAnsi="宋体"/>
          <w:color w:val="auto"/>
          <w:szCs w:val="21"/>
          <w:highlight w:val="none"/>
        </w:rPr>
      </w:pPr>
      <w:r>
        <w:rPr>
          <w:rFonts w:hint="eastAsia" w:ascii="宋体" w:hAnsi="宋体"/>
          <w:color w:val="auto"/>
          <w:szCs w:val="21"/>
          <w:highlight w:val="none"/>
        </w:rPr>
        <w:t>① 手动控制档：由人工直接对格栅进行开、停操作；</w:t>
      </w:r>
    </w:p>
    <w:p>
      <w:pPr>
        <w:spacing w:line="312" w:lineRule="auto"/>
        <w:jc w:val="left"/>
        <w:rPr>
          <w:rFonts w:ascii="宋体" w:hAnsi="宋体"/>
          <w:color w:val="auto"/>
          <w:szCs w:val="21"/>
          <w:highlight w:val="none"/>
        </w:rPr>
      </w:pPr>
      <w:r>
        <w:rPr>
          <w:rFonts w:hint="eastAsia" w:ascii="宋体" w:hAnsi="宋体"/>
          <w:color w:val="auto"/>
          <w:szCs w:val="21"/>
          <w:highlight w:val="none"/>
        </w:rPr>
        <w:t>手动模式：控制面板上设有格栅启动、停止的手动按钮，人工只要将选择开关转至手动状态，直接按按钮即可操作格栅各个运行状态，并且控制面板上相应的指示灯会亮。</w:t>
      </w:r>
    </w:p>
    <w:p>
      <w:pPr>
        <w:spacing w:line="312" w:lineRule="auto"/>
        <w:jc w:val="left"/>
        <w:rPr>
          <w:rFonts w:ascii="宋体" w:hAnsi="宋体"/>
          <w:color w:val="auto"/>
          <w:szCs w:val="21"/>
          <w:highlight w:val="none"/>
        </w:rPr>
      </w:pPr>
      <w:r>
        <w:rPr>
          <w:rFonts w:hint="eastAsia" w:ascii="宋体" w:hAnsi="宋体"/>
          <w:color w:val="auto"/>
          <w:szCs w:val="21"/>
          <w:highlight w:val="none"/>
        </w:rPr>
        <w:t>② 自动控制档：通过时间继电器根据处理量的多少，预先设定每次开、停的间隔时间（可调），从而使格栅自动开停运行。</w:t>
      </w:r>
    </w:p>
    <w:p>
      <w:pPr>
        <w:spacing w:line="312" w:lineRule="auto"/>
        <w:jc w:val="left"/>
        <w:rPr>
          <w:rFonts w:ascii="宋体" w:hAnsi="宋体"/>
          <w:color w:val="auto"/>
          <w:szCs w:val="21"/>
          <w:highlight w:val="none"/>
        </w:rPr>
      </w:pPr>
      <w:r>
        <w:rPr>
          <w:rFonts w:hint="eastAsia" w:ascii="宋体" w:hAnsi="宋体"/>
          <w:color w:val="auto"/>
          <w:szCs w:val="21"/>
          <w:highlight w:val="none"/>
        </w:rPr>
        <w:t>自动模式：将控制面板上选择开关转换至自动状态，控制系统就获得对格栅控制权，自动按照预先设定的程序，对格栅进行控制。</w:t>
      </w:r>
    </w:p>
    <w:p>
      <w:pPr>
        <w:tabs>
          <w:tab w:val="left" w:pos="2340"/>
        </w:tabs>
        <w:spacing w:line="312" w:lineRule="auto"/>
        <w:jc w:val="left"/>
        <w:rPr>
          <w:rFonts w:ascii="宋体" w:hAnsi="宋体"/>
          <w:color w:val="auto"/>
          <w:szCs w:val="21"/>
          <w:highlight w:val="none"/>
        </w:rPr>
      </w:pPr>
      <w:r>
        <w:rPr>
          <w:rFonts w:hint="eastAsia" w:ascii="宋体" w:hAnsi="宋体"/>
          <w:color w:val="auto"/>
          <w:szCs w:val="21"/>
          <w:highlight w:val="none"/>
        </w:rPr>
        <w:t>③ 远程控制档：箱内留有PLC信号接口，可与总控室系统相连，将控制指令发送至现场，控制格栅的运行，从而实现中央集中控制，箱内还留有无源触点信号的备用接线端子，供总控室连接备用。</w:t>
      </w:r>
    </w:p>
    <w:p>
      <w:pPr>
        <w:tabs>
          <w:tab w:val="left" w:pos="2340"/>
        </w:tabs>
        <w:spacing w:line="312" w:lineRule="auto"/>
        <w:ind w:firstLine="210" w:firstLineChars="100"/>
        <w:jc w:val="left"/>
        <w:rPr>
          <w:rFonts w:ascii="宋体" w:hAnsi="宋体"/>
          <w:color w:val="auto"/>
          <w:szCs w:val="21"/>
          <w:highlight w:val="none"/>
        </w:rPr>
      </w:pPr>
      <w:r>
        <w:rPr>
          <w:rFonts w:hint="eastAsia" w:ascii="宋体" w:hAnsi="宋体"/>
          <w:color w:val="auto"/>
          <w:szCs w:val="21"/>
          <w:highlight w:val="none"/>
        </w:rPr>
        <w:t>（2）输送机手动-联动控制选择开关，两档设置：</w:t>
      </w:r>
    </w:p>
    <w:p>
      <w:pPr>
        <w:spacing w:line="312" w:lineRule="auto"/>
        <w:jc w:val="left"/>
        <w:rPr>
          <w:rFonts w:ascii="宋体" w:hAnsi="宋体"/>
          <w:color w:val="auto"/>
          <w:szCs w:val="21"/>
          <w:highlight w:val="none"/>
        </w:rPr>
      </w:pPr>
      <w:r>
        <w:rPr>
          <w:rFonts w:hint="eastAsia" w:ascii="宋体" w:hAnsi="宋体"/>
          <w:color w:val="auto"/>
          <w:szCs w:val="21"/>
          <w:highlight w:val="none"/>
        </w:rPr>
        <w:t>① 手动控制档：人工直接按操作面板上的手动按钮即可，操作输送机的运行状态，并且操作面板上相应指示灯会亮；</w:t>
      </w:r>
    </w:p>
    <w:p>
      <w:pPr>
        <w:tabs>
          <w:tab w:val="left" w:pos="3240"/>
        </w:tabs>
        <w:spacing w:line="312" w:lineRule="auto"/>
        <w:jc w:val="left"/>
        <w:rPr>
          <w:rFonts w:ascii="宋体" w:hAnsi="宋体"/>
          <w:color w:val="auto"/>
          <w:szCs w:val="21"/>
          <w:highlight w:val="none"/>
        </w:rPr>
      </w:pPr>
      <w:r>
        <w:rPr>
          <w:rFonts w:hint="eastAsia" w:ascii="宋体" w:hAnsi="宋体"/>
          <w:color w:val="auto"/>
          <w:szCs w:val="21"/>
          <w:highlight w:val="none"/>
        </w:rPr>
        <w:t>② 联动控制档：则按照“先开后停”和“后开先停”的原则，当开启时，输送机提前格栅1分钟先开；当停止时，格栅先停，延时3分钟后，再停输送机。</w:t>
      </w:r>
    </w:p>
    <w:p>
      <w:pPr>
        <w:spacing w:line="312" w:lineRule="auto"/>
        <w:rPr>
          <w:rFonts w:ascii="宋体" w:hAnsi="宋体"/>
          <w:b/>
          <w:color w:val="auto"/>
          <w:szCs w:val="21"/>
          <w:highlight w:val="red"/>
        </w:rPr>
      </w:pPr>
      <w:r>
        <w:rPr>
          <w:rFonts w:hint="eastAsia" w:ascii="宋体" w:hAnsi="宋体" w:cs="宋体"/>
          <w:bCs/>
          <w:color w:val="auto"/>
          <w:szCs w:val="21"/>
          <w:highlight w:val="red"/>
        </w:rPr>
        <w:t>▲</w:t>
      </w:r>
      <w:r>
        <w:rPr>
          <w:rFonts w:hint="eastAsia" w:ascii="宋体" w:hAnsi="宋体"/>
          <w:b/>
          <w:color w:val="auto"/>
          <w:szCs w:val="21"/>
          <w:highlight w:val="red"/>
        </w:rPr>
        <w:t>5.设备的材质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6"/>
        <w:gridCol w:w="4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b/>
                <w:color w:val="auto"/>
                <w:szCs w:val="21"/>
                <w:highlight w:val="red"/>
              </w:rPr>
            </w:pPr>
            <w:r>
              <w:rPr>
                <w:rFonts w:hint="eastAsia" w:ascii="宋体" w:hAnsi="宋体"/>
                <w:b/>
                <w:color w:val="auto"/>
                <w:szCs w:val="21"/>
                <w:highlight w:val="red"/>
              </w:rPr>
              <w:t>部件</w:t>
            </w:r>
          </w:p>
        </w:tc>
        <w:tc>
          <w:tcPr>
            <w:tcW w:w="4086" w:type="dxa"/>
            <w:vAlign w:val="center"/>
          </w:tcPr>
          <w:p>
            <w:pPr>
              <w:spacing w:line="312" w:lineRule="auto"/>
              <w:rPr>
                <w:rFonts w:ascii="宋体" w:hAnsi="宋体"/>
                <w:b/>
                <w:color w:val="auto"/>
                <w:szCs w:val="21"/>
                <w:highlight w:val="red"/>
              </w:rPr>
            </w:pPr>
            <w:r>
              <w:rPr>
                <w:rFonts w:hint="eastAsia" w:ascii="宋体" w:hAnsi="宋体"/>
                <w:b/>
                <w:color w:val="auto"/>
                <w:szCs w:val="21"/>
                <w:highlight w:val="red"/>
              </w:rPr>
              <w:t>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机架</w:t>
            </w:r>
          </w:p>
        </w:tc>
        <w:tc>
          <w:tcPr>
            <w:tcW w:w="408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不锈钢</w:t>
            </w:r>
            <w:r>
              <w:rPr>
                <w:rFonts w:ascii="宋体" w:hAnsi="宋体"/>
                <w:color w:val="auto"/>
                <w:szCs w:val="21"/>
                <w:highlight w:val="red"/>
              </w:rPr>
              <w:t>304</w:t>
            </w:r>
            <w:r>
              <w:rPr>
                <w:rFonts w:hint="eastAsia" w:ascii="宋体" w:hAnsi="宋体" w:cs="宋体"/>
                <w:color w:val="auto"/>
                <w:szCs w:val="21"/>
                <w:highlight w:val="red"/>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耙齿</w:t>
            </w:r>
          </w:p>
        </w:tc>
        <w:tc>
          <w:tcPr>
            <w:tcW w:w="408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尼龙1010</w:t>
            </w:r>
            <w:r>
              <w:rPr>
                <w:rFonts w:hint="eastAsia" w:ascii="宋体" w:hAnsi="宋体" w:cs="宋体"/>
                <w:color w:val="auto"/>
                <w:szCs w:val="21"/>
                <w:highlight w:val="red"/>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挡板</w:t>
            </w:r>
          </w:p>
        </w:tc>
        <w:tc>
          <w:tcPr>
            <w:tcW w:w="408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不锈钢</w:t>
            </w:r>
            <w:r>
              <w:rPr>
                <w:rFonts w:ascii="宋体" w:hAnsi="宋体"/>
                <w:color w:val="auto"/>
                <w:szCs w:val="21"/>
                <w:highlight w:val="red"/>
              </w:rPr>
              <w:t>304</w:t>
            </w:r>
            <w:r>
              <w:rPr>
                <w:rFonts w:hint="eastAsia" w:ascii="宋体" w:hAnsi="宋体" w:cs="宋体"/>
                <w:color w:val="auto"/>
                <w:szCs w:val="21"/>
                <w:highlight w:val="red"/>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链轮与导轮</w:t>
            </w:r>
          </w:p>
        </w:tc>
        <w:tc>
          <w:tcPr>
            <w:tcW w:w="408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不锈钢</w:t>
            </w:r>
            <w:r>
              <w:rPr>
                <w:rFonts w:ascii="宋体" w:hAnsi="宋体"/>
                <w:color w:val="auto"/>
                <w:szCs w:val="21"/>
                <w:highlight w:val="red"/>
              </w:rPr>
              <w:t>304</w:t>
            </w:r>
            <w:r>
              <w:rPr>
                <w:rFonts w:hint="eastAsia" w:ascii="宋体" w:hAnsi="宋体" w:cs="宋体"/>
                <w:color w:val="auto"/>
                <w:szCs w:val="21"/>
                <w:highlight w:val="red"/>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传动链</w:t>
            </w:r>
          </w:p>
        </w:tc>
        <w:tc>
          <w:tcPr>
            <w:tcW w:w="408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不锈钢</w:t>
            </w:r>
            <w:r>
              <w:rPr>
                <w:rFonts w:ascii="宋体" w:hAnsi="宋体"/>
                <w:color w:val="auto"/>
                <w:szCs w:val="21"/>
                <w:highlight w:val="red"/>
              </w:rPr>
              <w:t>304</w:t>
            </w:r>
            <w:r>
              <w:rPr>
                <w:rFonts w:hint="eastAsia" w:ascii="宋体" w:hAnsi="宋体" w:cs="宋体"/>
                <w:color w:val="auto"/>
                <w:szCs w:val="21"/>
                <w:highlight w:val="red"/>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传动轴</w:t>
            </w:r>
          </w:p>
        </w:tc>
        <w:tc>
          <w:tcPr>
            <w:tcW w:w="408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不锈钢</w:t>
            </w:r>
            <w:r>
              <w:rPr>
                <w:rFonts w:hint="eastAsia" w:ascii="宋体" w:hAnsi="宋体" w:cs="宋体"/>
                <w:color w:val="auto"/>
                <w:szCs w:val="21"/>
                <w:highlight w:val="red"/>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紧固件</w:t>
            </w:r>
          </w:p>
        </w:tc>
        <w:tc>
          <w:tcPr>
            <w:tcW w:w="4086" w:type="dxa"/>
            <w:vAlign w:val="center"/>
          </w:tcPr>
          <w:p>
            <w:pPr>
              <w:spacing w:line="312" w:lineRule="auto"/>
              <w:rPr>
                <w:rFonts w:ascii="宋体" w:hAnsi="宋体"/>
                <w:color w:val="auto"/>
                <w:szCs w:val="21"/>
                <w:highlight w:val="red"/>
              </w:rPr>
            </w:pPr>
            <w:r>
              <w:rPr>
                <w:rFonts w:hint="eastAsia" w:ascii="宋体" w:hAnsi="宋体"/>
                <w:color w:val="auto"/>
                <w:szCs w:val="21"/>
                <w:highlight w:val="red"/>
              </w:rPr>
              <w:t>不锈钢</w:t>
            </w:r>
            <w:r>
              <w:rPr>
                <w:rFonts w:ascii="宋体" w:hAnsi="宋体"/>
                <w:color w:val="auto"/>
                <w:szCs w:val="21"/>
                <w:highlight w:val="red"/>
              </w:rPr>
              <w:t>304</w:t>
            </w:r>
            <w:r>
              <w:rPr>
                <w:rFonts w:hint="eastAsia" w:ascii="宋体" w:hAnsi="宋体" w:cs="宋体"/>
                <w:color w:val="auto"/>
                <w:szCs w:val="21"/>
                <w:highlight w:val="red"/>
              </w:rPr>
              <w:t>及以上</w:t>
            </w:r>
          </w:p>
        </w:tc>
      </w:tr>
    </w:tbl>
    <w:p>
      <w:pPr>
        <w:spacing w:line="312" w:lineRule="auto"/>
        <w:jc w:val="left"/>
        <w:rPr>
          <w:rFonts w:ascii="宋体" w:hAnsi="宋体"/>
          <w:b/>
          <w:color w:val="auto"/>
          <w:szCs w:val="21"/>
          <w:highlight w:val="none"/>
        </w:rPr>
      </w:pPr>
    </w:p>
    <w:p>
      <w:pPr>
        <w:spacing w:line="312" w:lineRule="auto"/>
        <w:jc w:val="left"/>
        <w:rPr>
          <w:rFonts w:ascii="宋体" w:hAnsi="宋体"/>
          <w:b/>
          <w:color w:val="auto"/>
          <w:szCs w:val="21"/>
          <w:highlight w:val="none"/>
        </w:rPr>
      </w:pPr>
      <w:r>
        <w:rPr>
          <w:rFonts w:hint="eastAsia" w:ascii="宋体" w:hAnsi="宋体"/>
          <w:b/>
          <w:color w:val="auto"/>
          <w:szCs w:val="21"/>
          <w:highlight w:val="none"/>
        </w:rPr>
        <w:t>三）</w:t>
      </w:r>
      <w:r>
        <w:rPr>
          <w:rFonts w:ascii="宋体" w:hAnsi="宋体"/>
          <w:b/>
          <w:color w:val="auto"/>
          <w:szCs w:val="21"/>
          <w:highlight w:val="none"/>
        </w:rPr>
        <w:t>螺旋输送压榨机</w:t>
      </w:r>
      <w:r>
        <w:rPr>
          <w:rFonts w:hint="eastAsia" w:ascii="宋体" w:hAnsi="宋体"/>
          <w:b/>
          <w:color w:val="auto"/>
          <w:szCs w:val="21"/>
          <w:highlight w:val="none"/>
        </w:rPr>
        <w:t xml:space="preserve"> </w:t>
      </w:r>
    </w:p>
    <w:p>
      <w:pPr>
        <w:spacing w:line="312" w:lineRule="auto"/>
        <w:rPr>
          <w:rFonts w:ascii="宋体" w:hAnsi="宋体"/>
          <w:b/>
          <w:color w:val="auto"/>
          <w:szCs w:val="21"/>
          <w:highlight w:val="none"/>
        </w:rPr>
      </w:pPr>
      <w:r>
        <w:rPr>
          <w:rFonts w:hint="eastAsia" w:ascii="宋体" w:hAnsi="宋体"/>
          <w:b/>
          <w:color w:val="auto"/>
          <w:szCs w:val="21"/>
          <w:highlight w:val="none"/>
        </w:rPr>
        <w:t>1.</w:t>
      </w:r>
      <w:r>
        <w:rPr>
          <w:rFonts w:ascii="宋体" w:hAnsi="宋体"/>
          <w:b/>
          <w:color w:val="auto"/>
          <w:szCs w:val="21"/>
          <w:highlight w:val="none"/>
        </w:rPr>
        <w:t>供货范围</w:t>
      </w:r>
    </w:p>
    <w:p>
      <w:pPr>
        <w:adjustRightInd w:val="0"/>
        <w:spacing w:line="312" w:lineRule="auto"/>
        <w:ind w:firstLine="420" w:firstLineChars="200"/>
        <w:jc w:val="left"/>
        <w:rPr>
          <w:rFonts w:ascii="宋体" w:hAnsi="宋体"/>
          <w:color w:val="auto"/>
          <w:szCs w:val="21"/>
          <w:highlight w:val="none"/>
        </w:rPr>
      </w:pPr>
      <w:r>
        <w:rPr>
          <w:rFonts w:ascii="宋体" w:hAnsi="宋体"/>
          <w:color w:val="auto"/>
          <w:szCs w:val="21"/>
          <w:highlight w:val="none"/>
        </w:rPr>
        <w:t>无轴螺旋输送压榨机为成套设备，整套装置包括如下：驱动装置</w:t>
      </w:r>
      <w:r>
        <w:rPr>
          <w:rFonts w:hint="eastAsia" w:ascii="宋体" w:hAnsi="宋体"/>
          <w:color w:val="auto"/>
          <w:szCs w:val="21"/>
          <w:highlight w:val="none"/>
        </w:rPr>
        <w:t>；</w:t>
      </w:r>
      <w:r>
        <w:rPr>
          <w:rFonts w:ascii="宋体" w:hAnsi="宋体"/>
          <w:color w:val="auto"/>
          <w:szCs w:val="21"/>
          <w:highlight w:val="none"/>
        </w:rPr>
        <w:t>U型输送槽、盖板、进料斗及出料口、支架；螺旋叶片、耐磨衬圈等组合；压实管、压力门盖及冲洗装置系统；此外配备冲洗管接口及基础螺栓等安全和有效运行所必须的附件及工具。</w:t>
      </w:r>
    </w:p>
    <w:p>
      <w:pPr>
        <w:tabs>
          <w:tab w:val="left" w:pos="4080"/>
        </w:tabs>
        <w:snapToGrid w:val="0"/>
        <w:spacing w:line="312" w:lineRule="auto"/>
        <w:rPr>
          <w:rFonts w:ascii="宋体" w:hAnsi="宋体"/>
          <w:b/>
          <w:color w:val="auto"/>
          <w:szCs w:val="21"/>
          <w:highlight w:val="none"/>
        </w:rPr>
      </w:pPr>
      <w:r>
        <w:rPr>
          <w:rFonts w:hint="eastAsia" w:ascii="宋体" w:hAnsi="宋体"/>
          <w:b/>
          <w:color w:val="auto"/>
          <w:szCs w:val="21"/>
          <w:highlight w:val="none"/>
        </w:rPr>
        <w:t>2.</w:t>
      </w:r>
      <w:r>
        <w:rPr>
          <w:rFonts w:ascii="宋体" w:hAnsi="宋体"/>
          <w:b/>
          <w:color w:val="auto"/>
          <w:szCs w:val="21"/>
          <w:highlight w:val="none"/>
        </w:rPr>
        <w:t>工作原理</w:t>
      </w:r>
      <w:r>
        <w:rPr>
          <w:rFonts w:ascii="宋体" w:hAnsi="宋体"/>
          <w:b/>
          <w:color w:val="auto"/>
          <w:szCs w:val="21"/>
          <w:highlight w:val="none"/>
        </w:rPr>
        <w:tab/>
      </w:r>
    </w:p>
    <w:p>
      <w:pPr>
        <w:tabs>
          <w:tab w:val="left" w:pos="3840"/>
        </w:tabs>
        <w:adjustRightInd w:val="0"/>
        <w:spacing w:line="312" w:lineRule="auto"/>
        <w:ind w:firstLine="412"/>
        <w:jc w:val="left"/>
        <w:rPr>
          <w:rFonts w:ascii="宋体" w:hAnsi="宋体"/>
          <w:color w:val="auto"/>
          <w:szCs w:val="21"/>
          <w:highlight w:val="none"/>
        </w:rPr>
      </w:pPr>
      <w:r>
        <w:rPr>
          <w:rFonts w:ascii="宋体" w:hAnsi="宋体"/>
          <w:color w:val="auto"/>
          <w:szCs w:val="21"/>
          <w:highlight w:val="none"/>
        </w:rPr>
        <w:t>输送</w:t>
      </w:r>
      <w:r>
        <w:rPr>
          <w:rFonts w:hint="eastAsia" w:ascii="宋体" w:hAnsi="宋体"/>
          <w:color w:val="auto"/>
          <w:szCs w:val="21"/>
          <w:highlight w:val="none"/>
        </w:rPr>
        <w:t>压榨机</w:t>
      </w:r>
      <w:r>
        <w:rPr>
          <w:rFonts w:ascii="宋体" w:hAnsi="宋体"/>
          <w:color w:val="auto"/>
          <w:szCs w:val="21"/>
          <w:highlight w:val="none"/>
        </w:rPr>
        <w:t>采用无轴螺旋叶片及出口带压力式门板的结构形式，它集输送、压榨、脱水于一体并兼有连续和密封输送的优点，主要由进料区、螺旋输送区、压榨区、出料区和排水区构成。其主要原理是通过一个强度极高的特种钢螺旋体来完成，其长度将符合几台格栅除污机的卸渣口相连接，以保证栅渣能顺利进入输送压实机内，当栅渣进入进料斗，通过螺旋叶片将栅渣推移至压实区，整个输送区内设有耐磨衬圈，在压管内及出料门盖的反弹簧压力下，使栅渣脱水，压榨脱水后的栅渣强制打开压力板落至垃圾小车内外运，挤压的渗水则通过回水管路流入格栅井中。</w:t>
      </w:r>
    </w:p>
    <w:p>
      <w:pPr>
        <w:spacing w:line="312" w:lineRule="auto"/>
        <w:rPr>
          <w:rFonts w:ascii="宋体" w:hAnsi="宋体"/>
          <w:b/>
          <w:color w:val="auto"/>
          <w:szCs w:val="21"/>
          <w:highlight w:val="none"/>
        </w:rPr>
      </w:pPr>
      <w:r>
        <w:rPr>
          <w:rFonts w:hint="eastAsia" w:ascii="宋体" w:hAnsi="宋体"/>
          <w:b/>
          <w:bCs/>
          <w:color w:val="auto"/>
          <w:szCs w:val="21"/>
          <w:highlight w:val="none"/>
        </w:rPr>
        <w:t>3.</w:t>
      </w:r>
      <w:r>
        <w:rPr>
          <w:rFonts w:ascii="宋体" w:hAnsi="宋体"/>
          <w:b/>
          <w:color w:val="auto"/>
          <w:szCs w:val="21"/>
          <w:highlight w:val="none"/>
        </w:rPr>
        <w:t>技术参数表</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4"/>
        <w:gridCol w:w="1660"/>
        <w:gridCol w:w="3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center"/>
              <w:rPr>
                <w:rFonts w:ascii="宋体" w:hAnsi="宋体"/>
                <w:b/>
                <w:bCs/>
                <w:color w:val="auto"/>
                <w:szCs w:val="21"/>
                <w:highlight w:val="none"/>
              </w:rPr>
            </w:pPr>
            <w:r>
              <w:rPr>
                <w:rFonts w:ascii="宋体" w:hAnsi="宋体"/>
                <w:b/>
                <w:bCs/>
                <w:color w:val="auto"/>
                <w:szCs w:val="21"/>
                <w:highlight w:val="none"/>
              </w:rPr>
              <w:t>名称</w:t>
            </w:r>
          </w:p>
        </w:tc>
        <w:tc>
          <w:tcPr>
            <w:tcW w:w="1660" w:type="dxa"/>
          </w:tcPr>
          <w:p>
            <w:pPr>
              <w:spacing w:line="312" w:lineRule="auto"/>
              <w:jc w:val="center"/>
              <w:rPr>
                <w:rFonts w:ascii="宋体" w:hAnsi="宋体"/>
                <w:b/>
                <w:bCs/>
                <w:color w:val="auto"/>
                <w:szCs w:val="21"/>
                <w:highlight w:val="none"/>
              </w:rPr>
            </w:pPr>
            <w:r>
              <w:rPr>
                <w:rFonts w:ascii="宋体" w:hAnsi="宋体"/>
                <w:b/>
                <w:bCs/>
                <w:color w:val="auto"/>
                <w:szCs w:val="21"/>
                <w:highlight w:val="none"/>
              </w:rPr>
              <w:t>单位</w:t>
            </w:r>
          </w:p>
        </w:tc>
        <w:tc>
          <w:tcPr>
            <w:tcW w:w="3536" w:type="dxa"/>
          </w:tcPr>
          <w:p>
            <w:pPr>
              <w:spacing w:line="312" w:lineRule="auto"/>
              <w:jc w:val="center"/>
              <w:rPr>
                <w:rFonts w:ascii="宋体" w:hAnsi="宋体"/>
                <w:b/>
                <w:bCs/>
                <w:color w:val="auto"/>
                <w:szCs w:val="21"/>
                <w:highlight w:val="none"/>
              </w:rPr>
            </w:pPr>
            <w:r>
              <w:rPr>
                <w:rFonts w:ascii="宋体" w:hAnsi="宋体"/>
                <w:b/>
                <w:bCs/>
                <w:color w:val="auto"/>
                <w:szCs w:val="21"/>
                <w:highlight w:val="none"/>
              </w:rPr>
              <w:t>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rPr>
                <w:rFonts w:ascii="宋体" w:hAnsi="宋体"/>
                <w:bCs/>
                <w:color w:val="auto"/>
                <w:szCs w:val="21"/>
                <w:highlight w:val="none"/>
              </w:rPr>
            </w:pPr>
            <w:r>
              <w:rPr>
                <w:rFonts w:hint="eastAsia" w:ascii="宋体" w:hAnsi="宋体"/>
                <w:bCs/>
                <w:color w:val="auto"/>
                <w:szCs w:val="21"/>
                <w:highlight w:val="none"/>
              </w:rPr>
              <w:t xml:space="preserve">    安装位置</w:t>
            </w:r>
          </w:p>
        </w:tc>
        <w:tc>
          <w:tcPr>
            <w:tcW w:w="1660" w:type="dxa"/>
          </w:tcPr>
          <w:p>
            <w:pPr>
              <w:spacing w:line="312" w:lineRule="auto"/>
              <w:jc w:val="center"/>
              <w:rPr>
                <w:rFonts w:ascii="宋体" w:hAnsi="宋体"/>
                <w:bCs/>
                <w:color w:val="auto"/>
                <w:szCs w:val="21"/>
                <w:highlight w:val="none"/>
              </w:rPr>
            </w:pPr>
          </w:p>
        </w:tc>
        <w:tc>
          <w:tcPr>
            <w:tcW w:w="3536" w:type="dxa"/>
          </w:tcPr>
          <w:p>
            <w:pPr>
              <w:spacing w:line="312" w:lineRule="auto"/>
              <w:rPr>
                <w:rFonts w:ascii="宋体" w:hAnsi="宋体"/>
                <w:bCs/>
                <w:color w:val="auto"/>
                <w:szCs w:val="21"/>
                <w:highlight w:val="none"/>
              </w:rPr>
            </w:pPr>
            <w:r>
              <w:rPr>
                <w:rFonts w:hint="eastAsia" w:ascii="宋体" w:hAnsi="宋体"/>
                <w:bCs/>
                <w:color w:val="auto"/>
                <w:szCs w:val="21"/>
                <w:highlight w:val="none"/>
              </w:rPr>
              <w:t>泵房内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ascii="宋体" w:hAnsi="宋体"/>
                <w:color w:val="auto"/>
                <w:szCs w:val="21"/>
                <w:highlight w:val="none"/>
              </w:rPr>
              <w:t>数量</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台</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ascii="宋体" w:hAnsi="宋体"/>
                <w:color w:val="auto"/>
                <w:szCs w:val="21"/>
                <w:highlight w:val="none"/>
              </w:rPr>
              <w:t>结构形式</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无轴螺旋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ascii="宋体" w:hAnsi="宋体"/>
                <w:color w:val="auto"/>
                <w:szCs w:val="21"/>
                <w:highlight w:val="none"/>
              </w:rPr>
              <w:t>螺旋直径</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mm</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hint="eastAsia" w:ascii="宋体" w:hAnsi="宋体"/>
                <w:color w:val="auto"/>
                <w:szCs w:val="21"/>
                <w:highlight w:val="none"/>
              </w:rPr>
              <w:t>安装倾角</w:t>
            </w:r>
          </w:p>
        </w:tc>
        <w:tc>
          <w:tcPr>
            <w:tcW w:w="1660" w:type="dxa"/>
          </w:tcPr>
          <w:p>
            <w:pPr>
              <w:spacing w:line="312" w:lineRule="auto"/>
              <w:jc w:val="center"/>
              <w:rPr>
                <w:rFonts w:ascii="宋体" w:hAnsi="宋体"/>
                <w:color w:val="auto"/>
                <w:szCs w:val="21"/>
                <w:highlight w:val="none"/>
              </w:rPr>
            </w:pPr>
            <w:r>
              <w:rPr>
                <w:rFonts w:hint="eastAsia"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hint="eastAsia" w:ascii="宋体" w:hAnsi="宋体"/>
                <w:color w:val="auto"/>
                <w:szCs w:val="21"/>
                <w:highlight w:val="none"/>
              </w:rPr>
              <w:t>进料斗数量</w:t>
            </w:r>
          </w:p>
        </w:tc>
        <w:tc>
          <w:tcPr>
            <w:tcW w:w="1660" w:type="dxa"/>
          </w:tcPr>
          <w:p>
            <w:pPr>
              <w:spacing w:line="312" w:lineRule="auto"/>
              <w:jc w:val="center"/>
              <w:rPr>
                <w:rFonts w:ascii="宋体" w:hAnsi="宋体"/>
                <w:color w:val="auto"/>
                <w:szCs w:val="21"/>
                <w:highlight w:val="none"/>
              </w:rPr>
            </w:pPr>
            <w:r>
              <w:rPr>
                <w:rFonts w:hint="eastAsia" w:ascii="宋体" w:hAnsi="宋体"/>
                <w:color w:val="auto"/>
                <w:szCs w:val="21"/>
                <w:highlight w:val="none"/>
              </w:rPr>
              <w:t>只</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hint="eastAsia" w:ascii="宋体" w:hAnsi="宋体"/>
                <w:color w:val="auto"/>
                <w:szCs w:val="21"/>
                <w:highlight w:val="none"/>
              </w:rPr>
              <w:t>出渣含水率</w:t>
            </w:r>
          </w:p>
        </w:tc>
        <w:tc>
          <w:tcPr>
            <w:tcW w:w="1660" w:type="dxa"/>
          </w:tcPr>
          <w:p>
            <w:pPr>
              <w:spacing w:line="312" w:lineRule="auto"/>
              <w:jc w:val="center"/>
              <w:rPr>
                <w:rFonts w:ascii="宋体" w:hAnsi="宋体"/>
                <w:color w:val="auto"/>
                <w:szCs w:val="21"/>
                <w:highlight w:val="none"/>
              </w:rPr>
            </w:pPr>
            <w:r>
              <w:rPr>
                <w:rFonts w:hint="eastAsia"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hint="eastAsia" w:ascii="宋体" w:hAnsi="宋体"/>
                <w:color w:val="auto"/>
                <w:szCs w:val="21"/>
                <w:highlight w:val="none"/>
              </w:rPr>
              <w:t>进料口高度</w:t>
            </w:r>
          </w:p>
        </w:tc>
        <w:tc>
          <w:tcPr>
            <w:tcW w:w="1660" w:type="dxa"/>
          </w:tcPr>
          <w:p>
            <w:pPr>
              <w:spacing w:line="312" w:lineRule="auto"/>
              <w:jc w:val="center"/>
              <w:rPr>
                <w:rFonts w:ascii="宋体" w:hAnsi="宋体"/>
                <w:color w:val="auto"/>
                <w:szCs w:val="21"/>
                <w:highlight w:val="none"/>
                <w:vertAlign w:val="superscript"/>
              </w:rPr>
            </w:pPr>
            <w:r>
              <w:rPr>
                <w:rFonts w:ascii="宋体" w:hAnsi="宋体"/>
                <w:color w:val="auto"/>
                <w:szCs w:val="21"/>
                <w:highlight w:val="none"/>
              </w:rPr>
              <w:t>mm</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750</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ascii="宋体" w:hAnsi="宋体"/>
                <w:color w:val="auto"/>
                <w:szCs w:val="21"/>
                <w:highlight w:val="none"/>
              </w:rPr>
              <w:t>工作制</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h/d</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24连续或间断运行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材料</w:t>
            </w:r>
          </w:p>
        </w:tc>
        <w:tc>
          <w:tcPr>
            <w:tcW w:w="1660" w:type="dxa"/>
          </w:tcPr>
          <w:p>
            <w:pPr>
              <w:spacing w:line="312" w:lineRule="auto"/>
              <w:jc w:val="center"/>
              <w:rPr>
                <w:rFonts w:ascii="宋体" w:hAnsi="宋体"/>
                <w:color w:val="auto"/>
                <w:szCs w:val="21"/>
                <w:highlight w:val="none"/>
              </w:rPr>
            </w:pPr>
          </w:p>
        </w:tc>
        <w:tc>
          <w:tcPr>
            <w:tcW w:w="3536" w:type="dxa"/>
          </w:tcPr>
          <w:p>
            <w:pPr>
              <w:spacing w:line="312" w:lineRule="auto"/>
              <w:jc w:val="lef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螺旋体</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16Mn</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进、出料口</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不锈钢</w:t>
            </w:r>
            <w:r>
              <w:rPr>
                <w:rFonts w:hint="eastAsia" w:ascii="宋体" w:hAnsi="宋体"/>
                <w:color w:val="auto"/>
                <w:szCs w:val="21"/>
                <w:highlight w:val="none"/>
              </w:rPr>
              <w:t>304</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盖</w:t>
            </w:r>
            <w:r>
              <w:rPr>
                <w:rFonts w:hint="eastAsia" w:ascii="宋体" w:hAnsi="宋体"/>
                <w:color w:val="auto"/>
                <w:szCs w:val="21"/>
                <w:highlight w:val="none"/>
              </w:rPr>
              <w:t>板</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不锈钢</w:t>
            </w:r>
            <w:r>
              <w:rPr>
                <w:rFonts w:hint="eastAsia" w:ascii="宋体" w:hAnsi="宋体"/>
                <w:color w:val="auto"/>
                <w:szCs w:val="21"/>
                <w:highlight w:val="none"/>
              </w:rPr>
              <w:t>304</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输送槽</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不锈钢</w:t>
            </w:r>
            <w:r>
              <w:rPr>
                <w:rFonts w:hint="eastAsia" w:ascii="宋体" w:hAnsi="宋体"/>
                <w:color w:val="auto"/>
                <w:szCs w:val="21"/>
                <w:highlight w:val="none"/>
              </w:rPr>
              <w:t>304</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耐磨衬圈</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尼龙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机架</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不锈钢</w:t>
            </w:r>
            <w:r>
              <w:rPr>
                <w:rFonts w:hint="eastAsia" w:ascii="宋体" w:hAnsi="宋体"/>
                <w:color w:val="auto"/>
                <w:szCs w:val="21"/>
                <w:highlight w:val="none"/>
              </w:rPr>
              <w:t>304</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出口压力板</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不锈钢</w:t>
            </w:r>
            <w:r>
              <w:rPr>
                <w:rFonts w:hint="eastAsia" w:ascii="宋体" w:hAnsi="宋体"/>
                <w:color w:val="auto"/>
                <w:szCs w:val="21"/>
                <w:highlight w:val="none"/>
              </w:rPr>
              <w:t>304</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紧固件</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不锈钢</w:t>
            </w:r>
            <w:r>
              <w:rPr>
                <w:rFonts w:hint="eastAsia" w:ascii="宋体" w:hAnsi="宋体"/>
                <w:color w:val="auto"/>
                <w:szCs w:val="21"/>
                <w:highlight w:val="none"/>
              </w:rPr>
              <w:t>304</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驱动电机制造商</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tcPr>
          <w:p>
            <w:pPr>
              <w:spacing w:line="312" w:lineRule="auto"/>
              <w:jc w:val="left"/>
              <w:rPr>
                <w:rFonts w:ascii="宋体" w:hAnsi="宋体"/>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额定功率</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kW</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额定电压</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V</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绝缘等级</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级</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F</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jc w:val="left"/>
              <w:rPr>
                <w:rFonts w:ascii="宋体" w:hAnsi="宋体"/>
                <w:color w:val="auto"/>
                <w:szCs w:val="21"/>
                <w:highlight w:val="none"/>
              </w:rPr>
            </w:pPr>
            <w:r>
              <w:rPr>
                <w:rFonts w:ascii="宋体" w:hAnsi="宋体"/>
                <w:color w:val="auto"/>
                <w:szCs w:val="21"/>
                <w:highlight w:val="none"/>
              </w:rPr>
              <w:t xml:space="preserve">    防护等级</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IP</w:t>
            </w:r>
          </w:p>
        </w:tc>
        <w:tc>
          <w:tcPr>
            <w:tcW w:w="3536" w:type="dxa"/>
          </w:tcPr>
          <w:p>
            <w:pPr>
              <w:spacing w:line="312" w:lineRule="auto"/>
              <w:jc w:val="left"/>
              <w:rPr>
                <w:rFonts w:ascii="宋体" w:hAnsi="宋体"/>
                <w:color w:val="auto"/>
                <w:szCs w:val="21"/>
                <w:highlight w:val="none"/>
              </w:rPr>
            </w:pPr>
            <w:r>
              <w:rPr>
                <w:rFonts w:hint="eastAsia" w:ascii="宋体" w:hAnsi="宋体"/>
                <w:color w:val="auto"/>
                <w:szCs w:val="21"/>
                <w:highlight w:val="none"/>
              </w:rPr>
              <w:t>65</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tcPr>
          <w:p>
            <w:pPr>
              <w:spacing w:line="312" w:lineRule="auto"/>
              <w:ind w:firstLine="420" w:firstLineChars="200"/>
              <w:jc w:val="left"/>
              <w:rPr>
                <w:rFonts w:ascii="宋体" w:hAnsi="宋体"/>
                <w:color w:val="auto"/>
                <w:szCs w:val="21"/>
                <w:highlight w:val="none"/>
              </w:rPr>
            </w:pPr>
            <w:r>
              <w:rPr>
                <w:rFonts w:ascii="宋体" w:hAnsi="宋体"/>
                <w:color w:val="auto"/>
                <w:szCs w:val="21"/>
                <w:highlight w:val="none"/>
              </w:rPr>
              <w:t>转速</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r/min</w:t>
            </w:r>
          </w:p>
        </w:tc>
        <w:tc>
          <w:tcPr>
            <w:tcW w:w="3536" w:type="dxa"/>
          </w:tcPr>
          <w:p>
            <w:pPr>
              <w:spacing w:line="312" w:lineRule="auto"/>
              <w:jc w:val="left"/>
              <w:rPr>
                <w:rFonts w:ascii="宋体" w:hAnsi="宋体"/>
                <w:color w:val="auto"/>
                <w:szCs w:val="21"/>
                <w:highlight w:val="none"/>
              </w:rPr>
            </w:pPr>
            <w:r>
              <w:rPr>
                <w:rFonts w:ascii="宋体" w:hAnsi="宋体"/>
                <w:color w:val="auto"/>
                <w:szCs w:val="21"/>
                <w:highlight w:val="none"/>
              </w:rPr>
              <w:t>1450</w:t>
            </w:r>
            <w:r>
              <w:rPr>
                <w:rFonts w:hint="eastAsia" w:ascii="宋体" w:hAnsi="宋体" w:cs="宋体"/>
                <w:color w:val="auto"/>
                <w:szCs w:val="21"/>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3224" w:type="dxa"/>
            <w:vAlign w:val="center"/>
          </w:tcPr>
          <w:p>
            <w:pPr>
              <w:snapToGrid w:val="0"/>
              <w:spacing w:line="312" w:lineRule="auto"/>
              <w:jc w:val="left"/>
              <w:rPr>
                <w:rFonts w:ascii="宋体" w:hAnsi="宋体"/>
                <w:color w:val="auto"/>
                <w:szCs w:val="21"/>
                <w:highlight w:val="none"/>
              </w:rPr>
            </w:pPr>
            <w:r>
              <w:rPr>
                <w:rFonts w:ascii="宋体" w:hAnsi="宋体"/>
                <w:color w:val="auto"/>
                <w:szCs w:val="21"/>
                <w:highlight w:val="none"/>
              </w:rPr>
              <w:t>电气控制</w:t>
            </w:r>
          </w:p>
        </w:tc>
        <w:tc>
          <w:tcPr>
            <w:tcW w:w="1660" w:type="dxa"/>
          </w:tcPr>
          <w:p>
            <w:pPr>
              <w:spacing w:line="312" w:lineRule="auto"/>
              <w:jc w:val="center"/>
              <w:rPr>
                <w:rFonts w:ascii="宋体" w:hAnsi="宋体"/>
                <w:color w:val="auto"/>
                <w:szCs w:val="21"/>
                <w:highlight w:val="none"/>
              </w:rPr>
            </w:pPr>
            <w:r>
              <w:rPr>
                <w:rFonts w:ascii="宋体" w:hAnsi="宋体"/>
                <w:color w:val="auto"/>
                <w:szCs w:val="21"/>
                <w:highlight w:val="none"/>
              </w:rPr>
              <w:t>--</w:t>
            </w:r>
          </w:p>
        </w:tc>
        <w:tc>
          <w:tcPr>
            <w:tcW w:w="3536" w:type="dxa"/>
            <w:vAlign w:val="center"/>
          </w:tcPr>
          <w:p>
            <w:pPr>
              <w:snapToGrid w:val="0"/>
              <w:spacing w:line="312" w:lineRule="auto"/>
              <w:jc w:val="left"/>
              <w:rPr>
                <w:rFonts w:ascii="宋体" w:hAnsi="宋体"/>
                <w:color w:val="auto"/>
                <w:szCs w:val="21"/>
                <w:highlight w:val="none"/>
              </w:rPr>
            </w:pPr>
            <w:r>
              <w:rPr>
                <w:rFonts w:ascii="宋体" w:hAnsi="宋体"/>
                <w:color w:val="auto"/>
                <w:szCs w:val="21"/>
                <w:highlight w:val="none"/>
              </w:rPr>
              <w:t>与</w:t>
            </w:r>
            <w:r>
              <w:rPr>
                <w:rFonts w:hint="eastAsia" w:ascii="宋体" w:hAnsi="宋体"/>
                <w:color w:val="auto"/>
                <w:szCs w:val="21"/>
                <w:highlight w:val="none"/>
              </w:rPr>
              <w:t>格栅</w:t>
            </w:r>
            <w:r>
              <w:rPr>
                <w:rFonts w:ascii="宋体" w:hAnsi="宋体"/>
                <w:color w:val="auto"/>
                <w:szCs w:val="21"/>
                <w:highlight w:val="none"/>
              </w:rPr>
              <w:t>联动</w:t>
            </w:r>
          </w:p>
        </w:tc>
      </w:tr>
    </w:tbl>
    <w:p>
      <w:pPr>
        <w:spacing w:line="312" w:lineRule="auto"/>
        <w:rPr>
          <w:rFonts w:ascii="宋体" w:hAnsi="宋体"/>
          <w:b/>
          <w:color w:val="auto"/>
          <w:szCs w:val="21"/>
          <w:highlight w:val="none"/>
        </w:rPr>
      </w:pPr>
      <w:r>
        <w:rPr>
          <w:rFonts w:hint="eastAsia" w:ascii="宋体" w:hAnsi="宋体"/>
          <w:b/>
          <w:color w:val="auto"/>
          <w:szCs w:val="21"/>
          <w:highlight w:val="none"/>
        </w:rPr>
        <w:t>4.</w:t>
      </w:r>
      <w:r>
        <w:rPr>
          <w:rFonts w:ascii="宋体" w:hAnsi="宋体"/>
          <w:b/>
          <w:color w:val="auto"/>
          <w:szCs w:val="21"/>
          <w:highlight w:val="none"/>
        </w:rPr>
        <w:t>主要部件</w:t>
      </w:r>
    </w:p>
    <w:p>
      <w:pPr>
        <w:spacing w:line="312" w:lineRule="auto"/>
        <w:ind w:firstLine="360"/>
        <w:rPr>
          <w:rFonts w:ascii="宋体" w:hAnsi="宋体"/>
          <w:color w:val="auto"/>
          <w:szCs w:val="21"/>
          <w:highlight w:val="none"/>
        </w:rPr>
      </w:pPr>
      <w:r>
        <w:rPr>
          <w:rFonts w:ascii="宋体" w:hAnsi="宋体"/>
          <w:color w:val="auto"/>
          <w:szCs w:val="21"/>
          <w:highlight w:val="none"/>
        </w:rPr>
        <w:t xml:space="preserve"> 螺旋输送压实机主要由驱动装置、输送槽、耐磨衬圈、螺旋体、压力管、压力门盖、盖板、排水管、进出料斗、机架等几个部分构成。</w:t>
      </w:r>
    </w:p>
    <w:p>
      <w:pPr>
        <w:spacing w:line="312" w:lineRule="auto"/>
        <w:rPr>
          <w:rFonts w:ascii="宋体" w:hAnsi="宋体"/>
          <w:b/>
          <w:bCs/>
          <w:color w:val="auto"/>
          <w:szCs w:val="21"/>
          <w:highlight w:val="none"/>
        </w:rPr>
      </w:pPr>
      <w:r>
        <w:rPr>
          <w:rFonts w:hint="eastAsia" w:ascii="宋体" w:hAnsi="宋体"/>
          <w:b/>
          <w:bCs/>
          <w:color w:val="auto"/>
          <w:szCs w:val="21"/>
          <w:highlight w:val="none"/>
        </w:rPr>
        <w:t>（1）</w:t>
      </w:r>
      <w:r>
        <w:rPr>
          <w:rFonts w:ascii="宋体" w:hAnsi="宋体"/>
          <w:b/>
          <w:bCs/>
          <w:color w:val="auto"/>
          <w:szCs w:val="21"/>
          <w:highlight w:val="none"/>
        </w:rPr>
        <w:t>螺旋体</w:t>
      </w:r>
    </w:p>
    <w:p>
      <w:pPr>
        <w:spacing w:line="312" w:lineRule="auto"/>
        <w:ind w:firstLine="36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足够的强度和刚度，以保证在最大挤压作用下其变形量最小，以提高栅渣的挤压脱水效果。叶片宽度</w:t>
      </w:r>
      <w:r>
        <w:rPr>
          <w:rFonts w:hint="eastAsia" w:ascii="宋体" w:hAnsi="宋体"/>
          <w:color w:val="auto"/>
          <w:szCs w:val="21"/>
          <w:highlight w:val="none"/>
        </w:rPr>
        <w:t>≥7</w:t>
      </w:r>
      <w:r>
        <w:rPr>
          <w:rFonts w:ascii="宋体" w:hAnsi="宋体"/>
          <w:color w:val="auto"/>
          <w:szCs w:val="21"/>
          <w:highlight w:val="none"/>
        </w:rPr>
        <w:t>0mm，其厚度</w:t>
      </w:r>
      <w:r>
        <w:rPr>
          <w:rFonts w:hint="eastAsia" w:ascii="宋体" w:hAnsi="宋体"/>
          <w:color w:val="auto"/>
          <w:szCs w:val="21"/>
          <w:highlight w:val="none"/>
        </w:rPr>
        <w:t>≥</w:t>
      </w:r>
      <w:r>
        <w:rPr>
          <w:rFonts w:ascii="宋体" w:hAnsi="宋体"/>
          <w:color w:val="auto"/>
          <w:szCs w:val="21"/>
          <w:highlight w:val="none"/>
        </w:rPr>
        <w:t>20mm，外周都进行切削加工，适合于带有粘性或长纤维的物料，可避免此类物质的堆积和缠绕问题。</w:t>
      </w:r>
    </w:p>
    <w:p>
      <w:pPr>
        <w:spacing w:line="312" w:lineRule="auto"/>
        <w:rPr>
          <w:rFonts w:ascii="宋体" w:hAnsi="宋体"/>
          <w:b/>
          <w:bCs/>
          <w:color w:val="auto"/>
          <w:szCs w:val="21"/>
          <w:highlight w:val="none"/>
        </w:rPr>
      </w:pPr>
      <w:r>
        <w:rPr>
          <w:rFonts w:hint="eastAsia" w:ascii="宋体" w:hAnsi="宋体"/>
          <w:b/>
          <w:bCs/>
          <w:color w:val="auto"/>
          <w:szCs w:val="21"/>
          <w:highlight w:val="none"/>
        </w:rPr>
        <w:t>（2）</w:t>
      </w:r>
      <w:r>
        <w:rPr>
          <w:rFonts w:ascii="宋体" w:hAnsi="宋体"/>
          <w:b/>
          <w:bCs/>
          <w:color w:val="auto"/>
          <w:szCs w:val="21"/>
          <w:highlight w:val="none"/>
        </w:rPr>
        <w:t>驱动装置</w:t>
      </w:r>
    </w:p>
    <w:p>
      <w:pPr>
        <w:spacing w:line="312" w:lineRule="auto"/>
        <w:ind w:firstLine="480"/>
        <w:rPr>
          <w:rFonts w:ascii="宋体" w:hAnsi="宋体"/>
          <w:color w:val="auto"/>
          <w:szCs w:val="21"/>
          <w:highlight w:val="none"/>
        </w:rPr>
      </w:pPr>
      <w:r>
        <w:rPr>
          <w:rFonts w:ascii="宋体" w:hAnsi="宋体"/>
          <w:color w:val="auto"/>
          <w:szCs w:val="21"/>
          <w:highlight w:val="none"/>
        </w:rPr>
        <w:t>输送压实机驱动装置采用轴装式减速机的结构型式，即为平行轴斜齿轮式减速机，</w:t>
      </w:r>
      <w:r>
        <w:rPr>
          <w:rFonts w:hint="eastAsia" w:ascii="宋体" w:hAnsi="宋体"/>
          <w:color w:val="auto"/>
          <w:szCs w:val="21"/>
          <w:highlight w:val="none"/>
        </w:rPr>
        <w:t>要求</w:t>
      </w:r>
      <w:r>
        <w:rPr>
          <w:rFonts w:ascii="宋体" w:hAnsi="宋体"/>
          <w:color w:val="auto"/>
          <w:szCs w:val="21"/>
          <w:highlight w:val="none"/>
        </w:rPr>
        <w:t>传动效率高、低噪声、使用寿命长、运行平稳可靠，适用于户外使用；其安装在机架端面轴承箱体上，减速机的出轴与螺旋体采用刚性连接；减速机轴承具有良好的润滑，其工作寿命不低于100000小时，齿轮设计符合ISO标准，材质为合金钢，热处理，齿面硬度不低于HRC58。</w:t>
      </w:r>
    </w:p>
    <w:p>
      <w:pPr>
        <w:spacing w:line="312" w:lineRule="auto"/>
        <w:ind w:firstLine="480"/>
        <w:rPr>
          <w:rFonts w:ascii="宋体" w:hAnsi="宋体"/>
          <w:color w:val="auto"/>
          <w:szCs w:val="21"/>
          <w:highlight w:val="none"/>
        </w:rPr>
      </w:pPr>
      <w:r>
        <w:rPr>
          <w:rFonts w:ascii="宋体" w:hAnsi="宋体"/>
          <w:color w:val="auto"/>
          <w:szCs w:val="21"/>
          <w:highlight w:val="none"/>
        </w:rPr>
        <w:t>减速电机为法兰安装的异步感应电机，适用电源380V、3相、50HZ，防护等级为IP</w:t>
      </w:r>
      <w:r>
        <w:rPr>
          <w:rFonts w:hint="eastAsia" w:ascii="宋体" w:hAnsi="宋体"/>
          <w:color w:val="auto"/>
          <w:szCs w:val="21"/>
          <w:highlight w:val="none"/>
        </w:rPr>
        <w:t>6</w:t>
      </w:r>
      <w:r>
        <w:rPr>
          <w:rFonts w:ascii="宋体" w:hAnsi="宋体"/>
          <w:color w:val="auto"/>
          <w:szCs w:val="21"/>
          <w:highlight w:val="none"/>
        </w:rPr>
        <w:t>5</w:t>
      </w:r>
      <w:r>
        <w:rPr>
          <w:rFonts w:hint="eastAsia" w:ascii="宋体" w:hAnsi="宋体"/>
          <w:color w:val="auto"/>
          <w:szCs w:val="21"/>
          <w:highlight w:val="none"/>
        </w:rPr>
        <w:t>及以上</w:t>
      </w:r>
      <w:r>
        <w:rPr>
          <w:rFonts w:ascii="宋体" w:hAnsi="宋体"/>
          <w:color w:val="auto"/>
          <w:szCs w:val="21"/>
          <w:highlight w:val="none"/>
        </w:rPr>
        <w:t>，绝缘等级为F</w:t>
      </w:r>
      <w:r>
        <w:rPr>
          <w:rFonts w:hint="eastAsia" w:ascii="宋体" w:hAnsi="宋体"/>
          <w:color w:val="auto"/>
          <w:szCs w:val="21"/>
          <w:highlight w:val="none"/>
        </w:rPr>
        <w:t>及以上</w:t>
      </w:r>
      <w:r>
        <w:rPr>
          <w:rFonts w:ascii="宋体" w:hAnsi="宋体"/>
          <w:color w:val="auto"/>
          <w:szCs w:val="21"/>
          <w:highlight w:val="none"/>
        </w:rPr>
        <w:t>；并设有过载保护和报警装置。</w:t>
      </w:r>
    </w:p>
    <w:p>
      <w:pPr>
        <w:spacing w:line="312" w:lineRule="auto"/>
        <w:rPr>
          <w:rFonts w:ascii="宋体" w:hAnsi="宋体"/>
          <w:b/>
          <w:bCs/>
          <w:color w:val="auto"/>
          <w:szCs w:val="21"/>
          <w:highlight w:val="none"/>
        </w:rPr>
      </w:pPr>
      <w:r>
        <w:rPr>
          <w:rFonts w:hint="eastAsia" w:ascii="宋体" w:hAnsi="宋体"/>
          <w:b/>
          <w:bCs/>
          <w:color w:val="auto"/>
          <w:szCs w:val="21"/>
          <w:highlight w:val="none"/>
        </w:rPr>
        <w:t>（3）</w:t>
      </w:r>
      <w:r>
        <w:rPr>
          <w:rFonts w:ascii="宋体" w:hAnsi="宋体"/>
          <w:b/>
          <w:bCs/>
          <w:color w:val="auto"/>
          <w:szCs w:val="21"/>
          <w:highlight w:val="none"/>
        </w:rPr>
        <w:t>输送槽与内衬</w:t>
      </w:r>
    </w:p>
    <w:p>
      <w:pPr>
        <w:spacing w:line="312" w:lineRule="auto"/>
        <w:ind w:firstLine="480"/>
        <w:rPr>
          <w:rFonts w:ascii="宋体" w:hAnsi="宋体"/>
          <w:color w:val="auto"/>
          <w:szCs w:val="21"/>
          <w:highlight w:val="none"/>
        </w:rPr>
      </w:pPr>
      <w:r>
        <w:rPr>
          <w:rFonts w:ascii="宋体" w:hAnsi="宋体"/>
          <w:color w:val="auto"/>
          <w:szCs w:val="21"/>
          <w:highlight w:val="none"/>
        </w:rPr>
        <w:t>输送槽由不锈钢板卷折而成，断面呈U型，具有足够的强度和刚度，输送槽底部设置呈半圆状的耐磨衬圈；衬圈</w:t>
      </w:r>
      <w:r>
        <w:rPr>
          <w:rFonts w:hint="eastAsia" w:ascii="宋体" w:hAnsi="宋体"/>
          <w:color w:val="auto"/>
          <w:szCs w:val="21"/>
          <w:highlight w:val="none"/>
        </w:rPr>
        <w:t>圆弧</w:t>
      </w:r>
      <w:r>
        <w:rPr>
          <w:rFonts w:ascii="宋体" w:hAnsi="宋体"/>
          <w:color w:val="auto"/>
          <w:szCs w:val="21"/>
          <w:highlight w:val="none"/>
        </w:rPr>
        <w:t>与螺旋半径相吻合，以减少过量间隙，提高输送效果；内衬的固定采用螺钉压板式，以便日后</w:t>
      </w:r>
      <w:r>
        <w:rPr>
          <w:rFonts w:hint="eastAsia" w:ascii="宋体" w:hAnsi="宋体"/>
          <w:color w:val="auto"/>
          <w:szCs w:val="21"/>
          <w:highlight w:val="none"/>
        </w:rPr>
        <w:t>维</w:t>
      </w:r>
      <w:r>
        <w:rPr>
          <w:rFonts w:ascii="宋体" w:hAnsi="宋体"/>
          <w:color w:val="auto"/>
          <w:szCs w:val="21"/>
          <w:highlight w:val="none"/>
        </w:rPr>
        <w:t>修和更换。</w:t>
      </w:r>
    </w:p>
    <w:p>
      <w:pPr>
        <w:spacing w:line="312" w:lineRule="auto"/>
        <w:rPr>
          <w:rFonts w:ascii="宋体" w:hAnsi="宋体"/>
          <w:b/>
          <w:bCs/>
          <w:color w:val="auto"/>
          <w:szCs w:val="21"/>
          <w:highlight w:val="none"/>
        </w:rPr>
      </w:pPr>
      <w:r>
        <w:rPr>
          <w:rFonts w:hint="eastAsia" w:ascii="宋体" w:hAnsi="宋体"/>
          <w:b/>
          <w:bCs/>
          <w:color w:val="auto"/>
          <w:szCs w:val="21"/>
          <w:highlight w:val="none"/>
        </w:rPr>
        <w:t>（4）</w:t>
      </w:r>
      <w:r>
        <w:rPr>
          <w:rFonts w:ascii="宋体" w:hAnsi="宋体"/>
          <w:b/>
          <w:bCs/>
          <w:color w:val="auto"/>
          <w:szCs w:val="21"/>
          <w:highlight w:val="none"/>
        </w:rPr>
        <w:t>压实管及压力门盖</w:t>
      </w:r>
    </w:p>
    <w:p>
      <w:pPr>
        <w:spacing w:line="312" w:lineRule="auto"/>
        <w:ind w:firstLine="480"/>
        <w:rPr>
          <w:rFonts w:ascii="宋体" w:hAnsi="宋体"/>
          <w:color w:val="auto"/>
          <w:szCs w:val="21"/>
          <w:highlight w:val="none"/>
        </w:rPr>
      </w:pPr>
      <w:r>
        <w:rPr>
          <w:rFonts w:ascii="宋体" w:hAnsi="宋体"/>
          <w:color w:val="auto"/>
          <w:szCs w:val="21"/>
          <w:highlight w:val="none"/>
        </w:rPr>
        <w:t>压实管</w:t>
      </w:r>
      <w:r>
        <w:rPr>
          <w:rFonts w:hint="eastAsia" w:ascii="宋体" w:hAnsi="宋体"/>
          <w:color w:val="auto"/>
          <w:szCs w:val="21"/>
          <w:highlight w:val="none"/>
        </w:rPr>
        <w:t>为</w:t>
      </w:r>
      <w:r>
        <w:rPr>
          <w:rFonts w:ascii="宋体" w:hAnsi="宋体"/>
          <w:color w:val="auto"/>
          <w:szCs w:val="21"/>
          <w:highlight w:val="none"/>
        </w:rPr>
        <w:t>一个</w:t>
      </w:r>
      <w:r>
        <w:rPr>
          <w:rFonts w:hint="eastAsia" w:ascii="宋体" w:hAnsi="宋体"/>
          <w:color w:val="auto"/>
          <w:szCs w:val="21"/>
          <w:highlight w:val="none"/>
        </w:rPr>
        <w:t>尼龙</w:t>
      </w:r>
      <w:r>
        <w:rPr>
          <w:rFonts w:ascii="宋体" w:hAnsi="宋体"/>
          <w:color w:val="auto"/>
          <w:szCs w:val="21"/>
          <w:highlight w:val="none"/>
        </w:rPr>
        <w:t>网筒，筒身打有无数个小孔成网状。外侧设有可调节的带压力门盖，以控制出渣含水率，进渣含水率≥90%，出渣含水率</w:t>
      </w:r>
      <w:r>
        <w:rPr>
          <w:rFonts w:hint="eastAsia" w:ascii="宋体" w:hAnsi="宋体"/>
          <w:color w:val="auto"/>
          <w:szCs w:val="21"/>
          <w:highlight w:val="none"/>
        </w:rPr>
        <w:t>＜55</w:t>
      </w:r>
      <w:r>
        <w:rPr>
          <w:rFonts w:ascii="宋体" w:hAnsi="宋体"/>
          <w:color w:val="auto"/>
          <w:szCs w:val="21"/>
          <w:highlight w:val="none"/>
        </w:rPr>
        <w:t>%。</w:t>
      </w:r>
    </w:p>
    <w:p>
      <w:pPr>
        <w:spacing w:line="312" w:lineRule="auto"/>
        <w:rPr>
          <w:rFonts w:ascii="宋体" w:hAnsi="宋体"/>
          <w:b/>
          <w:bCs/>
          <w:color w:val="auto"/>
          <w:szCs w:val="21"/>
          <w:highlight w:val="none"/>
        </w:rPr>
      </w:pPr>
      <w:r>
        <w:rPr>
          <w:rFonts w:hint="eastAsia" w:ascii="宋体" w:hAnsi="宋体"/>
          <w:b/>
          <w:bCs/>
          <w:color w:val="auto"/>
          <w:szCs w:val="21"/>
          <w:highlight w:val="none"/>
        </w:rPr>
        <w:t>（5）</w:t>
      </w:r>
      <w:r>
        <w:rPr>
          <w:rFonts w:ascii="宋体" w:hAnsi="宋体"/>
          <w:b/>
          <w:bCs/>
          <w:color w:val="auto"/>
          <w:szCs w:val="21"/>
          <w:highlight w:val="none"/>
        </w:rPr>
        <w:t>进、出料口</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料斗采用不锈钢折制而成，输送压实机上部设有进料口，其安装位置和尺寸与格栅的卸料口位置和尺寸相匹配，整个接口采用全封闭连接，具有优良的密封性能，以确保栅渣、污水、臭味不致外泄；输送压实机末端设有一出料口，其落料高度与垃圾小车相匹配。</w:t>
      </w:r>
    </w:p>
    <w:p>
      <w:pPr>
        <w:spacing w:line="312" w:lineRule="auto"/>
        <w:rPr>
          <w:rFonts w:ascii="宋体" w:hAnsi="宋体"/>
          <w:b/>
          <w:bCs/>
          <w:color w:val="auto"/>
          <w:szCs w:val="21"/>
          <w:highlight w:val="none"/>
        </w:rPr>
      </w:pPr>
      <w:r>
        <w:rPr>
          <w:rFonts w:hint="eastAsia" w:ascii="宋体" w:hAnsi="宋体"/>
          <w:b/>
          <w:bCs/>
          <w:color w:val="auto"/>
          <w:szCs w:val="21"/>
          <w:highlight w:val="none"/>
        </w:rPr>
        <w:t>（6）</w:t>
      </w:r>
      <w:r>
        <w:rPr>
          <w:rFonts w:ascii="宋体" w:hAnsi="宋体"/>
          <w:b/>
          <w:bCs/>
          <w:color w:val="auto"/>
          <w:szCs w:val="21"/>
          <w:highlight w:val="none"/>
        </w:rPr>
        <w:t>盖板</w:t>
      </w:r>
    </w:p>
    <w:p>
      <w:pPr>
        <w:spacing w:line="312" w:lineRule="auto"/>
        <w:ind w:right="-154" w:firstLine="480"/>
        <w:rPr>
          <w:rFonts w:ascii="宋体" w:hAnsi="宋体"/>
          <w:color w:val="auto"/>
          <w:szCs w:val="21"/>
          <w:highlight w:val="none"/>
        </w:rPr>
      </w:pPr>
      <w:r>
        <w:rPr>
          <w:rFonts w:ascii="宋体" w:hAnsi="宋体"/>
          <w:color w:val="auto"/>
          <w:szCs w:val="21"/>
          <w:highlight w:val="none"/>
        </w:rPr>
        <w:t>输送压实机全长除出料口敞开，其余全部罩盖密封，其采用不锈钢板制作而成，主要是避免输送时栅渣、水的外溢与</w:t>
      </w:r>
      <w:r>
        <w:rPr>
          <w:rFonts w:hint="eastAsia" w:ascii="宋体" w:hAnsi="宋体"/>
          <w:color w:val="auto"/>
          <w:szCs w:val="21"/>
          <w:highlight w:val="none"/>
        </w:rPr>
        <w:t>泄漏</w:t>
      </w:r>
      <w:r>
        <w:rPr>
          <w:rFonts w:ascii="宋体" w:hAnsi="宋体"/>
          <w:color w:val="auto"/>
          <w:szCs w:val="21"/>
          <w:highlight w:val="none"/>
        </w:rPr>
        <w:t>，并减少臭气味的挥发，保护周围环境的卫生。</w:t>
      </w:r>
    </w:p>
    <w:p>
      <w:pPr>
        <w:spacing w:line="312" w:lineRule="auto"/>
        <w:rPr>
          <w:rFonts w:ascii="宋体" w:hAnsi="宋体"/>
          <w:b/>
          <w:bCs/>
          <w:color w:val="auto"/>
          <w:szCs w:val="21"/>
          <w:highlight w:val="none"/>
        </w:rPr>
      </w:pPr>
      <w:r>
        <w:rPr>
          <w:rFonts w:hint="eastAsia" w:ascii="宋体" w:hAnsi="宋体"/>
          <w:b/>
          <w:bCs/>
          <w:color w:val="auto"/>
          <w:szCs w:val="21"/>
          <w:highlight w:val="none"/>
        </w:rPr>
        <w:t>（7）</w:t>
      </w:r>
      <w:r>
        <w:rPr>
          <w:rFonts w:ascii="宋体" w:hAnsi="宋体"/>
          <w:b/>
          <w:bCs/>
          <w:color w:val="auto"/>
          <w:szCs w:val="21"/>
          <w:highlight w:val="none"/>
        </w:rPr>
        <w:t>排水孔</w:t>
      </w:r>
    </w:p>
    <w:p>
      <w:pPr>
        <w:spacing w:line="312" w:lineRule="auto"/>
        <w:ind w:firstLine="600"/>
        <w:rPr>
          <w:rFonts w:ascii="宋体" w:hAnsi="宋体"/>
          <w:color w:val="auto"/>
          <w:szCs w:val="21"/>
          <w:highlight w:val="none"/>
        </w:rPr>
      </w:pPr>
      <w:r>
        <w:rPr>
          <w:rFonts w:ascii="宋体" w:hAnsi="宋体"/>
          <w:color w:val="auto"/>
          <w:szCs w:val="21"/>
          <w:highlight w:val="none"/>
        </w:rPr>
        <w:t>在输送压实机底部还设有排水孔，与外侧的排放管相连接，便于设备工作时将栅渣在输送过程中滤出的污水通过它原流回到格栅井中，从而避免了机内积水现象。</w:t>
      </w:r>
    </w:p>
    <w:p>
      <w:pPr>
        <w:spacing w:line="312" w:lineRule="auto"/>
        <w:rPr>
          <w:rFonts w:ascii="宋体" w:hAnsi="宋体"/>
          <w:b/>
          <w:bCs/>
          <w:color w:val="auto"/>
          <w:szCs w:val="21"/>
          <w:highlight w:val="none"/>
        </w:rPr>
      </w:pPr>
      <w:r>
        <w:rPr>
          <w:rFonts w:hint="eastAsia" w:ascii="宋体" w:hAnsi="宋体"/>
          <w:b/>
          <w:bCs/>
          <w:color w:val="auto"/>
          <w:szCs w:val="21"/>
          <w:highlight w:val="none"/>
        </w:rPr>
        <w:t>（8）</w:t>
      </w:r>
      <w:r>
        <w:rPr>
          <w:rFonts w:ascii="宋体" w:hAnsi="宋体"/>
          <w:b/>
          <w:bCs/>
          <w:color w:val="auto"/>
          <w:szCs w:val="21"/>
          <w:highlight w:val="none"/>
        </w:rPr>
        <w:t>机架</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输送压实机支架采用不锈钢焊接成一个刚性构件，其内部之间的连接支撑采用连续焊接，支架高度可适度调节。</w:t>
      </w:r>
    </w:p>
    <w:p>
      <w:pPr>
        <w:spacing w:line="312" w:lineRule="auto"/>
        <w:rPr>
          <w:rFonts w:ascii="宋体" w:hAnsi="宋体"/>
          <w:b/>
          <w:color w:val="auto"/>
          <w:szCs w:val="21"/>
          <w:highlight w:val="none"/>
        </w:rPr>
      </w:pPr>
      <w:r>
        <w:rPr>
          <w:rFonts w:hint="eastAsia" w:ascii="宋体" w:hAnsi="宋体"/>
          <w:b/>
          <w:color w:val="auto"/>
          <w:szCs w:val="21"/>
          <w:highlight w:val="none"/>
        </w:rPr>
        <w:t>5.</w:t>
      </w:r>
      <w:r>
        <w:rPr>
          <w:rFonts w:ascii="宋体" w:hAnsi="宋体"/>
          <w:b/>
          <w:color w:val="auto"/>
          <w:szCs w:val="21"/>
          <w:highlight w:val="none"/>
        </w:rPr>
        <w:t>电气控制系统</w:t>
      </w:r>
    </w:p>
    <w:p>
      <w:pPr>
        <w:spacing w:line="312" w:lineRule="auto"/>
        <w:ind w:firstLine="480"/>
        <w:rPr>
          <w:rFonts w:ascii="宋体" w:hAnsi="宋体"/>
          <w:color w:val="auto"/>
          <w:szCs w:val="21"/>
          <w:highlight w:val="none"/>
        </w:rPr>
      </w:pPr>
      <w:r>
        <w:rPr>
          <w:rFonts w:ascii="宋体" w:hAnsi="宋体"/>
          <w:color w:val="auto"/>
          <w:szCs w:val="21"/>
          <w:highlight w:val="none"/>
        </w:rPr>
        <w:t>输送压榨机控制元件均设在配套的</w:t>
      </w:r>
      <w:r>
        <w:rPr>
          <w:rFonts w:hint="eastAsia" w:ascii="宋体" w:hAnsi="宋体"/>
          <w:color w:val="auto"/>
          <w:szCs w:val="21"/>
          <w:highlight w:val="none"/>
        </w:rPr>
        <w:t>格栅</w:t>
      </w:r>
      <w:r>
        <w:rPr>
          <w:rFonts w:ascii="宋体" w:hAnsi="宋体"/>
          <w:color w:val="auto"/>
          <w:szCs w:val="21"/>
          <w:highlight w:val="none"/>
        </w:rPr>
        <w:t>控制箱内，它能手动或与</w:t>
      </w:r>
      <w:r>
        <w:rPr>
          <w:rFonts w:hint="eastAsia" w:ascii="宋体" w:hAnsi="宋体"/>
          <w:color w:val="auto"/>
          <w:szCs w:val="21"/>
          <w:highlight w:val="none"/>
        </w:rPr>
        <w:t>前设备</w:t>
      </w:r>
      <w:r>
        <w:rPr>
          <w:rFonts w:ascii="宋体" w:hAnsi="宋体"/>
          <w:color w:val="auto"/>
          <w:szCs w:val="21"/>
          <w:highlight w:val="none"/>
        </w:rPr>
        <w:t>实行联动控制，并能适应连续24小时运转。</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在控制箱面板上设有输送压榨机转换开关，其控制方式为手动-联动控制，当转至手动控制时：人工直接控制输送压榨机的开、停运行；当转至联动控制时，输送压榨机将自动与</w:t>
      </w:r>
      <w:r>
        <w:rPr>
          <w:rFonts w:hint="eastAsia" w:ascii="宋体" w:hAnsi="宋体"/>
          <w:color w:val="auto"/>
          <w:szCs w:val="21"/>
          <w:highlight w:val="none"/>
        </w:rPr>
        <w:t>前设备</w:t>
      </w:r>
      <w:r>
        <w:rPr>
          <w:rFonts w:ascii="宋体" w:hAnsi="宋体"/>
          <w:color w:val="auto"/>
          <w:szCs w:val="21"/>
          <w:highlight w:val="none"/>
        </w:rPr>
        <w:t>联动，当格栅开启前，输送压榨机提前2min开机；而关机时，输送压榨机将滞后2min再停机。</w:t>
      </w:r>
    </w:p>
    <w:p>
      <w:pPr>
        <w:spacing w:line="312" w:lineRule="auto"/>
        <w:rPr>
          <w:rFonts w:ascii="宋体" w:hAnsi="宋体"/>
          <w:color w:val="auto"/>
          <w:szCs w:val="21"/>
          <w:highlight w:val="none"/>
        </w:rPr>
      </w:pPr>
      <w:r>
        <w:rPr>
          <w:rFonts w:ascii="宋体" w:hAnsi="宋体"/>
          <w:color w:val="auto"/>
          <w:szCs w:val="21"/>
          <w:highlight w:val="none"/>
        </w:rPr>
        <w:t>箱内将提供如下信号：</w:t>
      </w:r>
    </w:p>
    <w:p>
      <w:pPr>
        <w:spacing w:line="312" w:lineRule="auto"/>
        <w:rPr>
          <w:rFonts w:ascii="宋体" w:hAnsi="宋体"/>
          <w:color w:val="auto"/>
          <w:szCs w:val="21"/>
          <w:highlight w:val="none"/>
        </w:rPr>
      </w:pPr>
      <w:r>
        <w:rPr>
          <w:rFonts w:ascii="宋体" w:hAnsi="宋体"/>
          <w:color w:val="auto"/>
          <w:szCs w:val="21"/>
          <w:highlight w:val="none"/>
        </w:rPr>
        <w:t>A．输送压榨机的运行信号；</w:t>
      </w:r>
    </w:p>
    <w:p>
      <w:pPr>
        <w:spacing w:line="312" w:lineRule="auto"/>
        <w:rPr>
          <w:rFonts w:ascii="宋体" w:hAnsi="宋体"/>
          <w:color w:val="auto"/>
          <w:szCs w:val="21"/>
          <w:highlight w:val="none"/>
        </w:rPr>
      </w:pPr>
      <w:r>
        <w:rPr>
          <w:rFonts w:ascii="宋体" w:hAnsi="宋体"/>
          <w:color w:val="auto"/>
          <w:szCs w:val="21"/>
          <w:highlight w:val="none"/>
        </w:rPr>
        <w:t>B．输送压榨机的故障信号。</w:t>
      </w:r>
    </w:p>
    <w:p>
      <w:pPr>
        <w:pStyle w:val="73"/>
        <w:spacing w:line="312" w:lineRule="auto"/>
        <w:ind w:left="0"/>
        <w:rPr>
          <w:b/>
          <w:bCs/>
          <w:color w:val="auto"/>
          <w:sz w:val="21"/>
          <w:szCs w:val="21"/>
          <w:highlight w:val="none"/>
        </w:rPr>
      </w:pPr>
      <w:bookmarkStart w:id="293" w:name="_Toc13829976"/>
      <w:bookmarkStart w:id="294" w:name="_Toc503944368"/>
      <w:r>
        <w:rPr>
          <w:rFonts w:hint="eastAsia"/>
          <w:b/>
          <w:bCs/>
          <w:color w:val="auto"/>
          <w:sz w:val="21"/>
          <w:szCs w:val="21"/>
          <w:highlight w:val="none"/>
        </w:rPr>
        <w:t>四）闸门及启闭机系统成套设备</w:t>
      </w:r>
      <w:bookmarkEnd w:id="293"/>
      <w:bookmarkEnd w:id="294"/>
    </w:p>
    <w:p>
      <w:pPr>
        <w:spacing w:line="312" w:lineRule="auto"/>
        <w:rPr>
          <w:rFonts w:ascii="宋体" w:hAnsi="宋体"/>
          <w:b/>
          <w:color w:val="auto"/>
          <w:szCs w:val="21"/>
          <w:highlight w:val="none"/>
        </w:rPr>
      </w:pPr>
      <w:r>
        <w:rPr>
          <w:rFonts w:hint="eastAsia" w:ascii="宋体" w:hAnsi="宋体"/>
          <w:b/>
          <w:color w:val="auto"/>
          <w:szCs w:val="21"/>
          <w:highlight w:val="none"/>
        </w:rPr>
        <w:t>1.</w:t>
      </w:r>
      <w:r>
        <w:rPr>
          <w:rFonts w:ascii="宋体" w:hAnsi="宋体"/>
          <w:b/>
          <w:color w:val="auto"/>
          <w:szCs w:val="21"/>
          <w:highlight w:val="none"/>
        </w:rPr>
        <w:t>供货范围</w:t>
      </w:r>
    </w:p>
    <w:p>
      <w:pPr>
        <w:spacing w:line="312" w:lineRule="auto"/>
        <w:ind w:firstLine="420" w:firstLineChars="200"/>
        <w:jc w:val="left"/>
        <w:rPr>
          <w:rFonts w:ascii="宋体" w:hAnsi="宋体"/>
          <w:color w:val="auto"/>
          <w:szCs w:val="21"/>
          <w:highlight w:val="none"/>
        </w:rPr>
      </w:pPr>
      <w:r>
        <w:rPr>
          <w:rFonts w:ascii="宋体" w:hAnsi="宋体"/>
          <w:color w:val="auto"/>
          <w:szCs w:val="21"/>
          <w:highlight w:val="none"/>
        </w:rPr>
        <w:t>铸铁镶铜方闸门为成套设备，整套装置包括如下：门框、门体、导轨；楔紧装置、密封面；</w:t>
      </w:r>
      <w:r>
        <w:rPr>
          <w:rFonts w:hint="eastAsia" w:ascii="宋体" w:hAnsi="宋体"/>
          <w:color w:val="auto"/>
          <w:szCs w:val="21"/>
          <w:highlight w:val="none"/>
        </w:rPr>
        <w:t>手电两用启闭机</w:t>
      </w:r>
      <w:r>
        <w:rPr>
          <w:rFonts w:ascii="宋体" w:hAnsi="宋体"/>
          <w:color w:val="auto"/>
          <w:szCs w:val="21"/>
          <w:highlight w:val="none"/>
        </w:rPr>
        <w:t>、启闭机座架</w:t>
      </w:r>
      <w:r>
        <w:rPr>
          <w:rFonts w:hint="eastAsia" w:ascii="宋体" w:hAnsi="宋体"/>
          <w:color w:val="auto"/>
          <w:szCs w:val="21"/>
          <w:highlight w:val="none"/>
        </w:rPr>
        <w:t>、现场控制箱</w:t>
      </w:r>
      <w:r>
        <w:rPr>
          <w:rFonts w:ascii="宋体" w:hAnsi="宋体"/>
          <w:color w:val="auto"/>
          <w:szCs w:val="21"/>
          <w:highlight w:val="none"/>
        </w:rPr>
        <w:t>；传动丝杆、杆导架；此外配备安装用所有的连接件及基础螺栓等安全和有效运行所必须的附件及工具。</w:t>
      </w:r>
    </w:p>
    <w:p>
      <w:pPr>
        <w:spacing w:line="312" w:lineRule="auto"/>
        <w:rPr>
          <w:rFonts w:ascii="宋体" w:hAnsi="宋体"/>
          <w:b/>
          <w:color w:val="auto"/>
          <w:szCs w:val="21"/>
          <w:highlight w:val="none"/>
        </w:rPr>
      </w:pPr>
      <w:r>
        <w:rPr>
          <w:rFonts w:hint="eastAsia" w:ascii="宋体" w:hAnsi="宋体"/>
          <w:b/>
          <w:color w:val="auto"/>
          <w:szCs w:val="21"/>
          <w:highlight w:val="none"/>
        </w:rPr>
        <w:t>2.</w:t>
      </w:r>
      <w:r>
        <w:rPr>
          <w:rFonts w:ascii="宋体" w:hAnsi="宋体"/>
          <w:b/>
          <w:color w:val="auto"/>
          <w:szCs w:val="21"/>
          <w:highlight w:val="none"/>
        </w:rPr>
        <w:t>工作原理</w:t>
      </w:r>
      <w:r>
        <w:rPr>
          <w:rFonts w:ascii="宋体" w:hAnsi="宋体"/>
          <w:b/>
          <w:color w:val="auto"/>
          <w:szCs w:val="21"/>
          <w:highlight w:val="none"/>
        </w:rPr>
        <w:tab/>
      </w:r>
    </w:p>
    <w:p>
      <w:pPr>
        <w:tabs>
          <w:tab w:val="center" w:pos="4700"/>
        </w:tabs>
        <w:spacing w:line="312" w:lineRule="auto"/>
        <w:ind w:firstLine="420" w:firstLineChars="200"/>
        <w:rPr>
          <w:rFonts w:ascii="宋体" w:hAnsi="宋体"/>
          <w:color w:val="auto"/>
          <w:szCs w:val="21"/>
          <w:highlight w:val="none"/>
        </w:rPr>
      </w:pPr>
      <w:r>
        <w:rPr>
          <w:rFonts w:ascii="宋体" w:hAnsi="宋体"/>
          <w:color w:val="auto"/>
          <w:szCs w:val="21"/>
          <w:highlight w:val="none"/>
        </w:rPr>
        <w:t>闸门采用明杆式结构形式，平面加筋型、附壁式安装，适用于安装在墙上的升杆式方型或圆型孔口闸门，其平整的内底与井壁紧密贴合。每个闸门带有丝杆、接杆、连轴节及安装在平台上的带推力轴承的启闭机，并配套护罩、杆导架、基础螺栓等所有附件。</w:t>
      </w:r>
    </w:p>
    <w:p>
      <w:pPr>
        <w:tabs>
          <w:tab w:val="left" w:pos="5880"/>
        </w:tabs>
        <w:spacing w:line="312" w:lineRule="auto"/>
        <w:ind w:firstLine="420" w:firstLineChars="200"/>
        <w:rPr>
          <w:rFonts w:ascii="宋体" w:hAnsi="宋体"/>
          <w:b/>
          <w:i/>
          <w:iCs/>
          <w:color w:val="auto"/>
          <w:szCs w:val="21"/>
          <w:highlight w:val="none"/>
          <w:bdr w:val="single" w:color="auto" w:sz="4" w:space="0"/>
          <w:shd w:val="pct10" w:color="auto" w:fill="FFFFFF"/>
        </w:rPr>
      </w:pPr>
      <w:r>
        <w:rPr>
          <w:rFonts w:ascii="宋体" w:hAnsi="宋体"/>
          <w:color w:val="auto"/>
          <w:szCs w:val="21"/>
          <w:highlight w:val="none"/>
        </w:rPr>
        <w:t>闸门的工作原理是闸门由启闭机带动启闭螺母转动，在梯形螺纹作用下使丝杆带动闸门门体上下运行，以达到截断或疏通水流的作用。</w:t>
      </w:r>
    </w:p>
    <w:p>
      <w:pPr>
        <w:spacing w:line="312" w:lineRule="auto"/>
        <w:rPr>
          <w:rFonts w:ascii="宋体" w:hAnsi="宋体"/>
          <w:b/>
          <w:color w:val="auto"/>
          <w:szCs w:val="21"/>
          <w:highlight w:val="none"/>
        </w:rPr>
      </w:pPr>
      <w:r>
        <w:rPr>
          <w:rFonts w:hint="eastAsia" w:ascii="宋体" w:hAnsi="宋体"/>
          <w:b/>
          <w:color w:val="auto"/>
          <w:szCs w:val="21"/>
          <w:highlight w:val="none"/>
        </w:rPr>
        <w:t>3.</w:t>
      </w:r>
      <w:r>
        <w:rPr>
          <w:rFonts w:ascii="宋体" w:hAnsi="宋体"/>
          <w:b/>
          <w:color w:val="auto"/>
          <w:szCs w:val="21"/>
          <w:highlight w:val="none"/>
        </w:rPr>
        <w:t>主要部件</w:t>
      </w:r>
    </w:p>
    <w:p>
      <w:pPr>
        <w:pStyle w:val="22"/>
        <w:spacing w:after="0" w:line="312" w:lineRule="auto"/>
        <w:ind w:left="0" w:leftChars="0" w:firstLine="420" w:firstLineChars="200"/>
        <w:rPr>
          <w:rFonts w:ascii="宋体" w:hAnsi="宋体"/>
          <w:color w:val="auto"/>
          <w:sz w:val="21"/>
          <w:szCs w:val="21"/>
          <w:highlight w:val="none"/>
        </w:rPr>
      </w:pPr>
      <w:r>
        <w:rPr>
          <w:rFonts w:ascii="宋体" w:hAnsi="宋体"/>
          <w:color w:val="auto"/>
          <w:sz w:val="21"/>
          <w:szCs w:val="21"/>
          <w:highlight w:val="none"/>
        </w:rPr>
        <w:t>它主要由门框、门体、导轨、楔紧装置、密封条、传动丝杆、杆导架、</w:t>
      </w:r>
      <w:r>
        <w:rPr>
          <w:rFonts w:hint="eastAsia" w:ascii="宋体" w:hAnsi="宋体"/>
          <w:color w:val="auto"/>
          <w:sz w:val="21"/>
          <w:szCs w:val="21"/>
          <w:highlight w:val="none"/>
        </w:rPr>
        <w:t>手电两用启闭机</w:t>
      </w:r>
      <w:r>
        <w:rPr>
          <w:rFonts w:ascii="宋体" w:hAnsi="宋体"/>
          <w:color w:val="auto"/>
          <w:sz w:val="21"/>
          <w:szCs w:val="21"/>
          <w:highlight w:val="none"/>
        </w:rPr>
        <w:t>等部件构成。</w:t>
      </w:r>
    </w:p>
    <w:p>
      <w:pPr>
        <w:spacing w:line="312" w:lineRule="auto"/>
        <w:rPr>
          <w:rFonts w:ascii="宋体" w:hAnsi="宋体"/>
          <w:b/>
          <w:bCs/>
          <w:color w:val="auto"/>
          <w:szCs w:val="21"/>
          <w:highlight w:val="none"/>
        </w:rPr>
      </w:pPr>
      <w:r>
        <w:rPr>
          <w:rFonts w:hint="eastAsia" w:ascii="宋体" w:hAnsi="宋体"/>
          <w:b/>
          <w:bCs/>
          <w:color w:val="auto"/>
          <w:szCs w:val="21"/>
          <w:highlight w:val="none"/>
        </w:rPr>
        <w:t>（1）</w:t>
      </w:r>
      <w:r>
        <w:rPr>
          <w:rFonts w:ascii="宋体" w:hAnsi="宋体"/>
          <w:b/>
          <w:bCs/>
          <w:color w:val="auto"/>
          <w:szCs w:val="21"/>
          <w:highlight w:val="none"/>
        </w:rPr>
        <w:t>门框</w:t>
      </w:r>
    </w:p>
    <w:p>
      <w:pPr>
        <w:tabs>
          <w:tab w:val="left" w:pos="4500"/>
        </w:tabs>
        <w:spacing w:line="312" w:lineRule="auto"/>
        <w:ind w:firstLine="420" w:firstLineChars="200"/>
        <w:rPr>
          <w:rFonts w:ascii="宋体" w:hAnsi="宋体"/>
          <w:color w:val="auto"/>
          <w:szCs w:val="21"/>
          <w:highlight w:val="none"/>
        </w:rPr>
      </w:pPr>
      <w:r>
        <w:rPr>
          <w:rFonts w:ascii="宋体" w:hAnsi="宋体"/>
          <w:color w:val="auto"/>
          <w:szCs w:val="21"/>
          <w:highlight w:val="none"/>
        </w:rPr>
        <w:t>门框采用</w:t>
      </w:r>
      <w:r>
        <w:rPr>
          <w:rFonts w:hint="eastAsia" w:ascii="宋体" w:hAnsi="宋体"/>
          <w:color w:val="auto"/>
          <w:szCs w:val="21"/>
          <w:highlight w:val="none"/>
          <w:lang w:val="zh-CN"/>
        </w:rPr>
        <w:t>球墨铸铁QT450或以上材料</w:t>
      </w:r>
      <w:r>
        <w:rPr>
          <w:rFonts w:hint="eastAsia" w:ascii="宋体" w:hAnsi="宋体"/>
          <w:color w:val="auto"/>
          <w:szCs w:val="21"/>
          <w:highlight w:val="none"/>
        </w:rPr>
        <w:t>整体浇铸而成，经时效处理，并有足够的断面，以满足使用要求。门框两侧自带导槽，经精加工之后</w:t>
      </w:r>
      <w:r>
        <w:rPr>
          <w:rFonts w:ascii="宋体" w:hAnsi="宋体"/>
          <w:color w:val="auto"/>
          <w:szCs w:val="21"/>
          <w:highlight w:val="none"/>
        </w:rPr>
        <w:t>作门体升降的导轨；门框平面经精加工分别加工一道槽，以便镶入表铜密封面。门框按规定的最大水头设计，就抗拉、抗压、抗剪强度而言，安全系数至少为</w:t>
      </w:r>
      <w:r>
        <w:rPr>
          <w:rFonts w:hint="eastAsia" w:ascii="宋体" w:hAnsi="宋体"/>
          <w:color w:val="auto"/>
          <w:szCs w:val="21"/>
          <w:highlight w:val="none"/>
        </w:rPr>
        <w:t>5</w:t>
      </w:r>
      <w:r>
        <w:rPr>
          <w:rFonts w:ascii="宋体" w:hAnsi="宋体"/>
          <w:color w:val="auto"/>
          <w:szCs w:val="21"/>
          <w:highlight w:val="none"/>
        </w:rPr>
        <w:t>倍。所有结合面全部进行机械加工。</w:t>
      </w:r>
    </w:p>
    <w:p>
      <w:pPr>
        <w:spacing w:line="312" w:lineRule="auto"/>
        <w:rPr>
          <w:rFonts w:ascii="宋体" w:hAnsi="宋体"/>
          <w:b/>
          <w:bCs/>
          <w:color w:val="auto"/>
          <w:szCs w:val="21"/>
          <w:highlight w:val="none"/>
        </w:rPr>
      </w:pPr>
      <w:r>
        <w:rPr>
          <w:rFonts w:hint="eastAsia" w:ascii="宋体" w:hAnsi="宋体"/>
          <w:b/>
          <w:bCs/>
          <w:color w:val="auto"/>
          <w:szCs w:val="21"/>
          <w:highlight w:val="none"/>
        </w:rPr>
        <w:t>（2）</w:t>
      </w:r>
      <w:r>
        <w:rPr>
          <w:rFonts w:ascii="宋体" w:hAnsi="宋体"/>
          <w:b/>
          <w:bCs/>
          <w:color w:val="auto"/>
          <w:szCs w:val="21"/>
          <w:highlight w:val="none"/>
        </w:rPr>
        <w:t>门体</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门体采</w:t>
      </w:r>
      <w:r>
        <w:rPr>
          <w:rFonts w:hint="eastAsia" w:ascii="宋体" w:hAnsi="宋体"/>
          <w:color w:val="auto"/>
          <w:szCs w:val="21"/>
          <w:highlight w:val="none"/>
        </w:rPr>
        <w:t>用</w:t>
      </w:r>
      <w:r>
        <w:rPr>
          <w:rFonts w:hint="eastAsia" w:ascii="宋体" w:hAnsi="宋体"/>
          <w:color w:val="auto"/>
          <w:szCs w:val="21"/>
          <w:highlight w:val="none"/>
          <w:lang w:val="zh-CN"/>
        </w:rPr>
        <w:t>球墨铸铁QT450或以上材料</w:t>
      </w:r>
      <w:r>
        <w:rPr>
          <w:rFonts w:ascii="宋体" w:hAnsi="宋体"/>
          <w:color w:val="auto"/>
          <w:szCs w:val="21"/>
          <w:highlight w:val="none"/>
        </w:rPr>
        <w:t>制造的平板，并经时效处理，在平板迎水面设有等量的水平加强筋，以适应工作水压的要求，加强筋一般间距为250-350mm左右，门体平面经精加工并带有镶铜条的槽，以便镶入青铜密封面；门体两侧经精加工与门框侧槽配套，形成上下滑轨。门体上端设有吊耳，与门板连接，吊耳的受力点靠近门板中心线，吊耳为铸钢，门体与吊耳的两接触面经精加工之后用螺栓固定。最大水头设计就按规定的抗拉、抗压、抗剪强度而言，安全系数至少为</w:t>
      </w:r>
      <w:r>
        <w:rPr>
          <w:rFonts w:hint="eastAsia" w:ascii="宋体" w:hAnsi="宋体"/>
          <w:color w:val="auto"/>
          <w:szCs w:val="21"/>
          <w:highlight w:val="none"/>
        </w:rPr>
        <w:t>5</w:t>
      </w:r>
      <w:r>
        <w:rPr>
          <w:rFonts w:ascii="宋体" w:hAnsi="宋体"/>
          <w:color w:val="auto"/>
          <w:szCs w:val="21"/>
          <w:highlight w:val="none"/>
        </w:rPr>
        <w:t>。</w:t>
      </w:r>
    </w:p>
    <w:p>
      <w:pPr>
        <w:spacing w:line="312" w:lineRule="auto"/>
        <w:rPr>
          <w:rFonts w:ascii="宋体" w:hAnsi="宋体"/>
          <w:b/>
          <w:bCs/>
          <w:color w:val="auto"/>
          <w:szCs w:val="21"/>
          <w:highlight w:val="none"/>
        </w:rPr>
      </w:pPr>
      <w:r>
        <w:rPr>
          <w:rFonts w:hint="eastAsia" w:ascii="宋体" w:hAnsi="宋体"/>
          <w:b/>
          <w:bCs/>
          <w:color w:val="auto"/>
          <w:szCs w:val="21"/>
          <w:highlight w:val="none"/>
        </w:rPr>
        <w:t>（3）</w:t>
      </w:r>
      <w:r>
        <w:rPr>
          <w:rFonts w:ascii="宋体" w:hAnsi="宋体"/>
          <w:b/>
          <w:bCs/>
          <w:color w:val="auto"/>
          <w:szCs w:val="21"/>
          <w:highlight w:val="none"/>
        </w:rPr>
        <w:t>门导轨</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导轨采用</w:t>
      </w:r>
      <w:r>
        <w:rPr>
          <w:rFonts w:hint="eastAsia" w:ascii="宋体" w:hAnsi="宋体"/>
          <w:color w:val="auto"/>
          <w:szCs w:val="21"/>
          <w:highlight w:val="none"/>
          <w:lang w:val="zh-CN"/>
        </w:rPr>
        <w:t>球墨铸铁QT450或以上材料</w:t>
      </w:r>
      <w:r>
        <w:rPr>
          <w:rFonts w:ascii="宋体" w:hAnsi="宋体"/>
          <w:color w:val="auto"/>
          <w:szCs w:val="21"/>
          <w:highlight w:val="none"/>
        </w:rPr>
        <w:t>制作，导轨面加工成与门框一样的槽，并在平面上镶入表铜，减少门体上下的运行时的磨擦力，导轨和门框连接的接触部件经精加工，用螺栓连接，并设有定位销防止错位。</w:t>
      </w:r>
    </w:p>
    <w:p>
      <w:pPr>
        <w:spacing w:line="312" w:lineRule="auto"/>
        <w:rPr>
          <w:rFonts w:ascii="宋体" w:hAnsi="宋体"/>
          <w:b/>
          <w:bCs/>
          <w:color w:val="auto"/>
          <w:szCs w:val="21"/>
          <w:highlight w:val="none"/>
        </w:rPr>
      </w:pPr>
      <w:r>
        <w:rPr>
          <w:rFonts w:hint="eastAsia" w:ascii="宋体" w:hAnsi="宋体"/>
          <w:b/>
          <w:bCs/>
          <w:color w:val="auto"/>
          <w:szCs w:val="21"/>
          <w:highlight w:val="none"/>
        </w:rPr>
        <w:t>（4）</w:t>
      </w:r>
      <w:r>
        <w:rPr>
          <w:rFonts w:ascii="宋体" w:hAnsi="宋体"/>
          <w:b/>
          <w:bCs/>
          <w:color w:val="auto"/>
          <w:szCs w:val="21"/>
          <w:highlight w:val="none"/>
        </w:rPr>
        <w:t>楔紧装置</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楔紧装置由楔座和楔块组成，楔座采用铸铁制成，牢固地</w:t>
      </w:r>
      <w:r>
        <w:rPr>
          <w:rFonts w:hint="eastAsia" w:ascii="宋体" w:hAnsi="宋体"/>
          <w:color w:val="auto"/>
          <w:szCs w:val="21"/>
          <w:highlight w:val="none"/>
        </w:rPr>
        <w:t>连接</w:t>
      </w:r>
      <w:r>
        <w:rPr>
          <w:rFonts w:ascii="宋体" w:hAnsi="宋体"/>
          <w:color w:val="auto"/>
          <w:szCs w:val="21"/>
          <w:highlight w:val="none"/>
        </w:rPr>
        <w:t>在门框两侧的适当位置上，当门体全闭时，与门体上的楔面完全接触；楔块用锡青铜制成，设置于闸门两侧，以达到闸门的止水效果；用不锈钢螺栓分别与门体和门框的楔座固定，楔座铣成长孔，便于楔块的调整。当闸门的某一处止水效果不好时，可局部调整楔块，当门体未关到位时或已到位而楔块尚未楔紧时，可调整全部楔块。</w:t>
      </w:r>
    </w:p>
    <w:p>
      <w:pPr>
        <w:spacing w:line="312" w:lineRule="auto"/>
        <w:rPr>
          <w:rFonts w:ascii="宋体" w:hAnsi="宋体"/>
          <w:b/>
          <w:bCs/>
          <w:color w:val="auto"/>
          <w:szCs w:val="21"/>
          <w:highlight w:val="none"/>
        </w:rPr>
      </w:pPr>
      <w:r>
        <w:rPr>
          <w:rFonts w:hint="eastAsia" w:ascii="宋体" w:hAnsi="宋体"/>
          <w:b/>
          <w:bCs/>
          <w:color w:val="auto"/>
          <w:szCs w:val="21"/>
          <w:highlight w:val="none"/>
        </w:rPr>
        <w:t>（5）</w:t>
      </w:r>
      <w:r>
        <w:rPr>
          <w:rFonts w:ascii="宋体" w:hAnsi="宋体"/>
          <w:b/>
          <w:bCs/>
          <w:color w:val="auto"/>
          <w:szCs w:val="21"/>
          <w:highlight w:val="none"/>
        </w:rPr>
        <w:t>密封面</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密封面采用铜条或铜圈分别镶入门框和门体的槽内，密封面铜条镶好后，经铣销、磨削加工，确保门框和门体之间的密切配合，从而达到止水目的，使门框和门板在使用时保持原位，不变形、不松动。</w:t>
      </w:r>
    </w:p>
    <w:p>
      <w:pPr>
        <w:spacing w:line="312" w:lineRule="auto"/>
        <w:rPr>
          <w:rFonts w:ascii="宋体" w:hAnsi="宋体"/>
          <w:b/>
          <w:bCs/>
          <w:color w:val="auto"/>
          <w:szCs w:val="21"/>
          <w:highlight w:val="none"/>
        </w:rPr>
      </w:pPr>
      <w:r>
        <w:rPr>
          <w:rFonts w:hint="eastAsia" w:ascii="宋体" w:hAnsi="宋体"/>
          <w:b/>
          <w:bCs/>
          <w:color w:val="auto"/>
          <w:szCs w:val="21"/>
          <w:highlight w:val="none"/>
        </w:rPr>
        <w:t>（6）</w:t>
      </w:r>
      <w:r>
        <w:rPr>
          <w:rFonts w:ascii="宋体" w:hAnsi="宋体"/>
          <w:b/>
          <w:bCs/>
          <w:color w:val="auto"/>
          <w:szCs w:val="21"/>
          <w:highlight w:val="none"/>
        </w:rPr>
        <w:t>推力螺母</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每座闸门在杆和启闭机的连接处均设有推力螺母，其采用磷青铜制造；具有足够的设计余量，以承受在最大水头工况下开启或关闭闸门时所需的推力，其最小安全系数为5。</w:t>
      </w:r>
    </w:p>
    <w:p>
      <w:pPr>
        <w:spacing w:line="312" w:lineRule="auto"/>
        <w:rPr>
          <w:rFonts w:ascii="宋体" w:hAnsi="宋体"/>
          <w:b/>
          <w:bCs/>
          <w:color w:val="auto"/>
          <w:szCs w:val="21"/>
          <w:highlight w:val="none"/>
        </w:rPr>
      </w:pPr>
      <w:r>
        <w:rPr>
          <w:rFonts w:hint="eastAsia" w:ascii="宋体" w:hAnsi="宋体"/>
          <w:b/>
          <w:bCs/>
          <w:color w:val="auto"/>
          <w:szCs w:val="21"/>
          <w:highlight w:val="none"/>
        </w:rPr>
        <w:t>（7）</w:t>
      </w:r>
      <w:r>
        <w:rPr>
          <w:rFonts w:ascii="宋体" w:hAnsi="宋体"/>
          <w:b/>
          <w:bCs/>
          <w:color w:val="auto"/>
          <w:szCs w:val="21"/>
          <w:highlight w:val="none"/>
        </w:rPr>
        <w:t>传动丝杆及门连接杆</w:t>
      </w:r>
    </w:p>
    <w:p>
      <w:pPr>
        <w:spacing w:line="312"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丝杆采用</w:t>
      </w:r>
      <w:r>
        <w:rPr>
          <w:rFonts w:hint="eastAsia" w:ascii="宋体" w:hAnsi="宋体"/>
          <w:color w:val="auto"/>
          <w:szCs w:val="21"/>
          <w:highlight w:val="none"/>
        </w:rPr>
        <w:t>2Cr13不锈钢及以上</w:t>
      </w:r>
      <w:r>
        <w:rPr>
          <w:rFonts w:ascii="宋体" w:hAnsi="宋体"/>
          <w:color w:val="auto"/>
          <w:szCs w:val="21"/>
          <w:highlight w:val="none"/>
        </w:rPr>
        <w:t>圆钢制成梯形螺纹，其精度达到7e级标准，螺纹长度比门体行程高度加长200mm，闸门处于关闭位置时，螺纹超出启闭机50mm，丝杆总长度超过500mm时，在分段加工时，其接头采用圆钢加工成内圆孔，并用圆钢铰制螺栓将丝杆互换配合。丝杆总长度超过4000mm时，将增设轴导架，轴导架由铸铁衬套管安装在铸铁托架上组成，铸铁托架固定在池壁上，导管与托架都可在两个方向进行调节，丝杆下部设有圆钢销套，用销轴与门体相连。丝杆具有足够的强度和稳定性，无弯曲和变形，在最大启闭力或关闭力作用下其安全系数为</w:t>
      </w:r>
      <w:r>
        <w:rPr>
          <w:rFonts w:hint="eastAsia" w:ascii="宋体" w:hAnsi="宋体"/>
          <w:color w:val="auto"/>
          <w:szCs w:val="21"/>
          <w:highlight w:val="none"/>
        </w:rPr>
        <w:t>5</w:t>
      </w:r>
      <w:r>
        <w:rPr>
          <w:rFonts w:ascii="宋体" w:hAnsi="宋体"/>
          <w:color w:val="auto"/>
          <w:szCs w:val="21"/>
          <w:highlight w:val="none"/>
        </w:rPr>
        <w:t>。</w:t>
      </w:r>
    </w:p>
    <w:p>
      <w:pPr>
        <w:spacing w:line="312" w:lineRule="auto"/>
        <w:rPr>
          <w:rFonts w:ascii="宋体" w:hAnsi="宋体"/>
          <w:b/>
          <w:bCs/>
          <w:color w:val="auto"/>
          <w:szCs w:val="21"/>
          <w:highlight w:val="none"/>
        </w:rPr>
      </w:pPr>
      <w:r>
        <w:rPr>
          <w:rFonts w:hint="eastAsia" w:ascii="宋体" w:hAnsi="宋体"/>
          <w:b/>
          <w:bCs/>
          <w:color w:val="auto"/>
          <w:szCs w:val="21"/>
          <w:highlight w:val="none"/>
        </w:rPr>
        <w:t>（8）</w:t>
      </w:r>
      <w:r>
        <w:rPr>
          <w:rFonts w:ascii="宋体" w:hAnsi="宋体"/>
          <w:b/>
          <w:bCs/>
          <w:color w:val="auto"/>
          <w:szCs w:val="21"/>
          <w:highlight w:val="none"/>
        </w:rPr>
        <w:t>杆导架</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设置杆导架以保持杆的直线度，允许有足够的间隙便于操作</w:t>
      </w:r>
      <w:r>
        <w:rPr>
          <w:rFonts w:hint="eastAsia" w:ascii="宋体" w:hAnsi="宋体"/>
          <w:color w:val="auto"/>
          <w:szCs w:val="21"/>
          <w:highlight w:val="none"/>
        </w:rPr>
        <w:t>。</w:t>
      </w:r>
      <w:r>
        <w:rPr>
          <w:rFonts w:ascii="宋体" w:hAnsi="宋体"/>
          <w:color w:val="auto"/>
          <w:szCs w:val="21"/>
          <w:highlight w:val="none"/>
        </w:rPr>
        <w:t>导架与支座间可作适当的距离调整，以达到与杆的同心度要求，导架经调整后固定在井壁上并使其垂直线不变。</w:t>
      </w:r>
    </w:p>
    <w:p>
      <w:pPr>
        <w:spacing w:line="312" w:lineRule="auto"/>
        <w:rPr>
          <w:rFonts w:ascii="宋体" w:hAnsi="宋体"/>
          <w:b/>
          <w:color w:val="auto"/>
          <w:szCs w:val="21"/>
          <w:highlight w:val="none"/>
        </w:rPr>
      </w:pPr>
      <w:r>
        <w:rPr>
          <w:rFonts w:hint="eastAsia" w:ascii="宋体" w:hAnsi="宋体"/>
          <w:b/>
          <w:color w:val="auto"/>
          <w:szCs w:val="21"/>
          <w:highlight w:val="none"/>
        </w:rPr>
        <w:t>4.</w:t>
      </w:r>
      <w:r>
        <w:rPr>
          <w:rFonts w:ascii="宋体" w:hAnsi="宋体"/>
          <w:b/>
          <w:color w:val="auto"/>
          <w:szCs w:val="21"/>
          <w:highlight w:val="none"/>
        </w:rPr>
        <w:t>启闭机</w:t>
      </w:r>
    </w:p>
    <w:p>
      <w:pPr>
        <w:spacing w:line="312" w:lineRule="auto"/>
        <w:ind w:firstLine="472" w:firstLineChars="225"/>
        <w:rPr>
          <w:rFonts w:ascii="宋体" w:hAnsi="宋体"/>
          <w:color w:val="auto"/>
          <w:szCs w:val="21"/>
          <w:highlight w:val="none"/>
        </w:rPr>
      </w:pPr>
      <w:r>
        <w:rPr>
          <w:rFonts w:ascii="宋体" w:hAnsi="宋体"/>
          <w:color w:val="auto"/>
          <w:szCs w:val="21"/>
          <w:highlight w:val="none"/>
        </w:rPr>
        <w:t>手电两用启闭机与闸门配套组成，用以控制闸门的开启和关闭，电动启闭机在调试或失电的情况下可以手动操作，</w:t>
      </w:r>
      <w:r>
        <w:rPr>
          <w:rFonts w:hint="eastAsia" w:ascii="宋体" w:hAnsi="宋体"/>
          <w:color w:val="auto"/>
          <w:szCs w:val="21"/>
          <w:highlight w:val="none"/>
        </w:rPr>
        <w:t>电动操作机构应包括：电动机、减速齿轮、限位装置、开度指示器、手轮、手动电动的切换装置等</w:t>
      </w:r>
      <w:r>
        <w:rPr>
          <w:rFonts w:ascii="宋体" w:hAnsi="宋体"/>
          <w:color w:val="auto"/>
          <w:szCs w:val="21"/>
          <w:highlight w:val="none"/>
        </w:rPr>
        <w:t>，具有如下特性：</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防护等级IP</w:t>
      </w:r>
      <w:r>
        <w:rPr>
          <w:rFonts w:hint="eastAsia" w:ascii="宋体" w:hAnsi="宋体"/>
          <w:color w:val="auto"/>
          <w:szCs w:val="21"/>
          <w:highlight w:val="none"/>
        </w:rPr>
        <w:t>5</w:t>
      </w:r>
      <w:r>
        <w:rPr>
          <w:rFonts w:ascii="宋体" w:hAnsi="宋体"/>
          <w:color w:val="auto"/>
          <w:szCs w:val="21"/>
          <w:highlight w:val="none"/>
        </w:rPr>
        <w:t>5</w:t>
      </w:r>
      <w:r>
        <w:rPr>
          <w:rFonts w:hint="eastAsia" w:ascii="宋体" w:hAnsi="宋体"/>
          <w:color w:val="auto"/>
          <w:szCs w:val="21"/>
          <w:highlight w:val="none"/>
        </w:rPr>
        <w:t>及以上</w:t>
      </w:r>
      <w:r>
        <w:rPr>
          <w:rFonts w:ascii="宋体" w:hAnsi="宋体"/>
          <w:color w:val="auto"/>
          <w:szCs w:val="21"/>
          <w:highlight w:val="none"/>
        </w:rPr>
        <w:t>，其绝缘等级为F</w:t>
      </w:r>
      <w:r>
        <w:rPr>
          <w:rFonts w:hint="eastAsia" w:ascii="宋体" w:hAnsi="宋体"/>
          <w:color w:val="auto"/>
          <w:szCs w:val="21"/>
          <w:highlight w:val="none"/>
        </w:rPr>
        <w:t>及以上。</w:t>
      </w:r>
    </w:p>
    <w:p>
      <w:pPr>
        <w:spacing w:line="312" w:lineRule="auto"/>
        <w:ind w:firstLine="420" w:firstLineChars="200"/>
        <w:rPr>
          <w:rFonts w:ascii="宋体" w:hAnsi="宋体"/>
          <w:color w:val="auto"/>
          <w:szCs w:val="21"/>
          <w:highlight w:val="none"/>
        </w:rPr>
      </w:pPr>
      <w:r>
        <w:rPr>
          <w:rFonts w:ascii="宋体" w:hAnsi="宋体"/>
          <w:color w:val="auto"/>
          <w:szCs w:val="21"/>
          <w:highlight w:val="none"/>
        </w:rPr>
        <w:t>在电动机定子中嵌装热传感器，一旦电动机升温到限定温度时，电控柜中热继电器就开路，起到保护电动机的作用。</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环境温度-30~70摄氏度，湿度</w:t>
      </w:r>
      <w:r>
        <w:rPr>
          <w:rFonts w:hint="eastAsia" w:ascii="宋体" w:hAnsi="宋体"/>
          <w:color w:val="auto"/>
          <w:szCs w:val="21"/>
          <w:highlight w:val="none"/>
        </w:rPr>
        <w:t>≤</w:t>
      </w:r>
      <w:r>
        <w:rPr>
          <w:rFonts w:ascii="宋体" w:hAnsi="宋体"/>
          <w:color w:val="auto"/>
          <w:szCs w:val="21"/>
          <w:highlight w:val="none"/>
        </w:rPr>
        <w:t>95%</w:t>
      </w:r>
      <w:r>
        <w:rPr>
          <w:rFonts w:hint="eastAsia" w:ascii="宋体" w:hAnsi="宋体"/>
          <w:color w:val="auto"/>
          <w:szCs w:val="21"/>
          <w:highlight w:val="none"/>
        </w:rPr>
        <w:t>，能适应连续和间断运行，间断运行每小时不少于</w:t>
      </w:r>
      <w:r>
        <w:rPr>
          <w:rFonts w:ascii="宋体" w:hAnsi="宋体"/>
          <w:color w:val="auto"/>
          <w:szCs w:val="21"/>
          <w:highlight w:val="none"/>
        </w:rPr>
        <w:t>10</w:t>
      </w:r>
      <w:r>
        <w:rPr>
          <w:rFonts w:hint="eastAsia" w:ascii="宋体" w:hAnsi="宋体"/>
          <w:color w:val="auto"/>
          <w:szCs w:val="21"/>
          <w:highlight w:val="none"/>
        </w:rPr>
        <w:t>次。</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电动机为手电两用型，电机转速</w:t>
      </w:r>
      <w:r>
        <w:rPr>
          <w:rFonts w:hint="eastAsia" w:ascii="宋体" w:hAnsi="宋体"/>
          <w:color w:val="auto"/>
          <w:szCs w:val="21"/>
          <w:highlight w:val="none"/>
        </w:rPr>
        <w:t>≥</w:t>
      </w:r>
      <w:r>
        <w:rPr>
          <w:rFonts w:ascii="宋体" w:hAnsi="宋体"/>
          <w:color w:val="auto"/>
          <w:szCs w:val="21"/>
          <w:highlight w:val="none"/>
        </w:rPr>
        <w:t>1440r/min，供电电源：380V，三相、50HZ，绝缘等级为F级</w:t>
      </w:r>
      <w:r>
        <w:rPr>
          <w:rFonts w:hint="eastAsia" w:ascii="宋体" w:hAnsi="宋体"/>
          <w:color w:val="auto"/>
          <w:szCs w:val="21"/>
          <w:highlight w:val="none"/>
        </w:rPr>
        <w:t>及以上,防护等级IP55及以上</w:t>
      </w:r>
      <w:r>
        <w:rPr>
          <w:rFonts w:ascii="宋体" w:hAnsi="宋体"/>
          <w:color w:val="auto"/>
          <w:szCs w:val="21"/>
          <w:highlight w:val="none"/>
        </w:rPr>
        <w:t>。供电电压降到正常电压的90%时仍能正常运行，当电压下降时，在规定的水头差内，启闭机开闭自如。工作时噪音小于70dB。</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启闭机带有离合器及手轮，以供手动操作，手轮直径为</w:t>
      </w:r>
      <w:r>
        <w:rPr>
          <w:rFonts w:hint="eastAsia" w:ascii="宋体" w:hAnsi="宋体"/>
          <w:color w:val="auto"/>
          <w:szCs w:val="21"/>
          <w:highlight w:val="none"/>
        </w:rPr>
        <w:t>3</w:t>
      </w:r>
      <w:r>
        <w:rPr>
          <w:rFonts w:ascii="宋体" w:hAnsi="宋体"/>
          <w:color w:val="auto"/>
          <w:szCs w:val="21"/>
          <w:highlight w:val="none"/>
        </w:rPr>
        <w:t>00mm，手轮操作作用力</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0N。</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驱动装置采用油浴润滑，齿轮设计符合ISO、DIN或等同标准，服务系数不小于1.4，齿轮材料采用低合金钢，渗碳淬火处理，齿面硬度大于HRC58，轴承寿命不小于100000h。</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（6）行程开关都用齿轮传动的方法联接到传动机构上，并且任何时候都应与齿轮同步。电动闸门的</w:t>
      </w:r>
      <w:r>
        <w:rPr>
          <w:rFonts w:ascii="宋体" w:hAnsi="宋体"/>
          <w:color w:val="auto"/>
          <w:szCs w:val="21"/>
          <w:highlight w:val="none"/>
        </w:rPr>
        <w:t>启闭速度小于0.5m/min，大于0.2m/min。</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（7）</w:t>
      </w:r>
      <w:r>
        <w:rPr>
          <w:rFonts w:ascii="宋体" w:hAnsi="宋体"/>
          <w:color w:val="auto"/>
          <w:szCs w:val="21"/>
          <w:highlight w:val="none"/>
        </w:rPr>
        <w:t>转矩限制机构，采用安全可靠，易调整和高精度的凸轮销定机构进行行程控制及过力距保护，当超过力矩时凸轮转移，通过转矩限位电器接触开关动作，切断电源，控制闸门开启或关闭的双向“力矩”保护作用，电机的输出扭矩大于额定扭矩的1.5倍以上，连续运行时间不低于</w:t>
      </w:r>
      <w:r>
        <w:rPr>
          <w:rFonts w:hint="eastAsia" w:ascii="宋体" w:hAnsi="宋体"/>
          <w:color w:val="auto"/>
          <w:szCs w:val="21"/>
          <w:highlight w:val="none"/>
        </w:rPr>
        <w:t>15</w:t>
      </w:r>
      <w:r>
        <w:rPr>
          <w:rFonts w:ascii="宋体" w:hAnsi="宋体"/>
          <w:color w:val="auto"/>
          <w:szCs w:val="21"/>
          <w:highlight w:val="none"/>
        </w:rPr>
        <w:t>min。</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8）实现现场自动控制、现场手动控制。现场手动控制要配有手轮，电动、手动的切换装置，开度指示器。现场自动控制系统应具有现场开阀、关阀功能和开到位、关到位、阀门开度、故障报警、事故跳闸、电源指示等指示功能。</w:t>
      </w:r>
    </w:p>
    <w:p>
      <w:pPr>
        <w:spacing w:line="312" w:lineRule="auto"/>
        <w:ind w:firstLine="420" w:firstLineChars="200"/>
        <w:rPr>
          <w:rFonts w:ascii="宋体" w:hAnsi="宋体"/>
          <w:color w:val="auto"/>
          <w:szCs w:val="21"/>
          <w:highlight w:val="none"/>
        </w:rPr>
      </w:pPr>
      <w:r>
        <w:rPr>
          <w:rFonts w:hint="eastAsia" w:ascii="宋体" w:hAnsi="宋体"/>
          <w:color w:val="auto"/>
          <w:szCs w:val="21"/>
          <w:highlight w:val="none"/>
        </w:rPr>
        <w:t>（9）电动执行器采用双密封结构，以确保执行器能完全防尘和防潮。电动驱动机构包括可调节扭矩的装置或极限行程开头，极限行程开头在阀门位于全部打开位置或全部关闭位置，当正反传动方向上有障碍时，能切断电动机二次控制回路电源，扭矩开关应由制造厂安装，并满足最大操作扭矩的计算值。</w:t>
      </w:r>
    </w:p>
    <w:p>
      <w:pPr>
        <w:pStyle w:val="70"/>
        <w:spacing w:after="0" w:line="312" w:lineRule="auto"/>
        <w:ind w:firstLine="0" w:firstLineChars="0"/>
        <w:rPr>
          <w:rFonts w:ascii="宋体" w:hAnsi="宋体" w:cs="宋体"/>
          <w:b/>
          <w:bCs/>
          <w:color w:val="auto"/>
          <w:kern w:val="2"/>
          <w:sz w:val="21"/>
          <w:szCs w:val="21"/>
          <w:highlight w:val="none"/>
          <w:lang w:eastAsia="zh-CN"/>
        </w:rPr>
      </w:pPr>
    </w:p>
    <w:p>
      <w:pPr>
        <w:pStyle w:val="70"/>
        <w:spacing w:after="0" w:line="312" w:lineRule="auto"/>
        <w:ind w:firstLine="0" w:firstLineChars="0"/>
        <w:rPr>
          <w:rFonts w:ascii="宋体" w:hAnsi="宋体" w:cs="宋体"/>
          <w:b/>
          <w:bCs/>
          <w:color w:val="auto"/>
          <w:kern w:val="2"/>
          <w:sz w:val="21"/>
          <w:szCs w:val="21"/>
          <w:highlight w:val="none"/>
          <w:lang w:eastAsia="zh-CN"/>
        </w:rPr>
      </w:pPr>
      <w:r>
        <w:rPr>
          <w:rFonts w:hint="eastAsia" w:ascii="宋体" w:hAnsi="宋体" w:cs="宋体"/>
          <w:b/>
          <w:bCs/>
          <w:color w:val="auto"/>
          <w:kern w:val="2"/>
          <w:sz w:val="21"/>
          <w:szCs w:val="21"/>
          <w:highlight w:val="none"/>
          <w:lang w:eastAsia="zh-CN"/>
        </w:rPr>
        <w:t>五）橡胶瓣逆止阀</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1.供货范围</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橡胶瓣逆止阀主要由阀体、阀盖及阀瓣三种主要零件组成。其中相交瓣由钢板、钢棒及强化尼龙做衬底，外层被覆橡胶制成。用于排水系统，可安装于水泵出口处。</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2.主要技术参数</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3"/>
        <w:gridCol w:w="49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3" w:type="dxa"/>
            <w:vAlign w:val="bottom"/>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技术特性</w:t>
            </w:r>
          </w:p>
        </w:tc>
        <w:tc>
          <w:tcPr>
            <w:tcW w:w="4942" w:type="dxa"/>
            <w:vAlign w:val="bottom"/>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特性数据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3"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压力等级</w:t>
            </w:r>
          </w:p>
        </w:tc>
        <w:tc>
          <w:tcPr>
            <w:tcW w:w="4942"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≥PN10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3"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最高工作压力</w:t>
            </w:r>
          </w:p>
        </w:tc>
        <w:tc>
          <w:tcPr>
            <w:tcW w:w="4942"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3"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阀座试验压力</w:t>
            </w:r>
          </w:p>
        </w:tc>
        <w:tc>
          <w:tcPr>
            <w:tcW w:w="4942"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1.1MPa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3"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阀体试验压力</w:t>
            </w:r>
          </w:p>
        </w:tc>
        <w:tc>
          <w:tcPr>
            <w:tcW w:w="4942" w:type="dxa"/>
            <w:vAlign w:val="bottom"/>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1.5MPa</w:t>
            </w:r>
          </w:p>
        </w:tc>
      </w:tr>
    </w:tbl>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3.主要部件材质：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965"/>
        <w:gridCol w:w="5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1" w:type="dxa"/>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965" w:type="dxa"/>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部件名称</w:t>
            </w:r>
          </w:p>
        </w:tc>
        <w:tc>
          <w:tcPr>
            <w:tcW w:w="5324" w:type="dxa"/>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1"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965"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阀体</w:t>
            </w:r>
          </w:p>
        </w:tc>
        <w:tc>
          <w:tcPr>
            <w:tcW w:w="5324"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球墨铸铁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1"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965"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阀盖</w:t>
            </w:r>
          </w:p>
        </w:tc>
        <w:tc>
          <w:tcPr>
            <w:tcW w:w="5324"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球墨铸铁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1"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965"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阀瓣</w:t>
            </w:r>
          </w:p>
        </w:tc>
        <w:tc>
          <w:tcPr>
            <w:tcW w:w="5324"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钢材＋强化尼龙布＋NBR</w:t>
            </w:r>
          </w:p>
        </w:tc>
      </w:tr>
    </w:tbl>
    <w:p>
      <w:pPr>
        <w:pStyle w:val="8"/>
        <w:spacing w:line="312" w:lineRule="auto"/>
        <w:ind w:firstLine="0" w:firstLineChars="0"/>
        <w:rPr>
          <w:rFonts w:ascii="宋体" w:hAnsi="宋体" w:cs="宋体"/>
          <w:b/>
          <w:bCs/>
          <w:color w:val="auto"/>
          <w:szCs w:val="21"/>
          <w:highlight w:val="none"/>
        </w:rPr>
      </w:pPr>
    </w:p>
    <w:p>
      <w:pPr>
        <w:pStyle w:val="8"/>
        <w:spacing w:line="312" w:lineRule="auto"/>
        <w:ind w:firstLine="0" w:firstLineChars="0"/>
        <w:rPr>
          <w:rFonts w:ascii="宋体" w:hAnsi="宋体" w:cs="宋体"/>
          <w:b/>
          <w:color w:val="auto"/>
          <w:szCs w:val="21"/>
          <w:highlight w:val="none"/>
        </w:rPr>
      </w:pPr>
      <w:r>
        <w:rPr>
          <w:rFonts w:hint="eastAsia" w:ascii="宋体" w:hAnsi="宋体" w:cs="宋体"/>
          <w:b/>
          <w:bCs/>
          <w:color w:val="auto"/>
          <w:szCs w:val="21"/>
          <w:highlight w:val="none"/>
        </w:rPr>
        <w:t>六）弹性座封闸阀</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1.技术性能及材质要求</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（1）阀体、阀盖、阀板</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阀体、阀盖、阀板骨架的材质均需为球墨铸铁QT450－10，符合GB12227规定的技术条件。阀体、阀盖、闸板均需进行热处理以消除内应力。商标及材质牌号铸在阀体上。</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法兰的材质需与阀体一致，均为球墨铸铁QT450－10，法兰与阀体铸为一体，法兰的连接尺寸及结构长度按照CJ/T216-2005的有关规定执行。</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 xml:space="preserve">    阀体采用全流域直通式设计，即平底式阀座。不易堆积杂物，密封可靠。</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 xml:space="preserve">    适用工作介质为污水，工作温度-10~100℃。</w:t>
      </w:r>
    </w:p>
    <w:p>
      <w:pPr>
        <w:tabs>
          <w:tab w:val="left" w:pos="360"/>
          <w:tab w:val="left" w:pos="540"/>
        </w:tabs>
        <w:spacing w:line="312" w:lineRule="auto"/>
        <w:ind w:left="80" w:hanging="79" w:hangingChars="38"/>
        <w:jc w:val="lef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pacing w:val="2"/>
          <w:szCs w:val="21"/>
          <w:highlight w:val="none"/>
        </w:rPr>
        <w:t>闸阀的密封形式为软密封，阀座为平底无凹槽设计</w:t>
      </w:r>
      <w:r>
        <w:rPr>
          <w:rFonts w:hint="eastAsia" w:ascii="宋体" w:hAnsi="宋体" w:cs="宋体"/>
          <w:color w:val="auto"/>
          <w:szCs w:val="21"/>
          <w:highlight w:val="none"/>
        </w:rPr>
        <w:t>，阀体和阀盖需采用精密铸造而成。</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阀体的最小壁厚保证在1.5倍的壳体试验下，所有的部件不发生变形。</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 xml:space="preserve">    闸瓣以球墨铸铁为骨架，内外表面完全包覆三元乙丙烯聚合橡胶（EPDM），包胶需贴合紧密、几何尺寸精确，密封弹性佳，彻底将闸板金属与流体隔，</w:t>
      </w:r>
      <w:r>
        <w:rPr>
          <w:rFonts w:hint="eastAsia" w:ascii="宋体" w:hAnsi="宋体" w:cs="宋体"/>
          <w:color w:val="auto"/>
          <w:spacing w:val="2"/>
          <w:szCs w:val="21"/>
          <w:highlight w:val="none"/>
        </w:rPr>
        <w:t>即使阀瓣受到频繁的挤压应力，也永不脱落。完全包胶方式阀瓣，使阀瓣在与水接触中，不致使基本材料阀板骨架生锈，不会挤压磨擦橡胶，使其损坏。阀瓣的使用寿命需大于30年，</w:t>
      </w:r>
      <w:r>
        <w:rPr>
          <w:rFonts w:hint="eastAsia" w:ascii="宋体" w:hAnsi="宋体" w:cs="宋体"/>
          <w:color w:val="auto"/>
          <w:szCs w:val="21"/>
          <w:highlight w:val="none"/>
        </w:rPr>
        <w:t>包覆的三元乙丙烯聚合橡胶（EPDM）应具</w:t>
      </w:r>
      <w:r>
        <w:rPr>
          <w:rFonts w:hint="eastAsia" w:ascii="宋体" w:hAnsi="宋体" w:cs="宋体"/>
          <w:color w:val="auto"/>
          <w:spacing w:val="2"/>
          <w:szCs w:val="21"/>
          <w:highlight w:val="none"/>
        </w:rPr>
        <w:t>有良好的耐磨性、回弹性、耐汽蚀性，抗老化性及耐酸碱性。</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（2）阀杆</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阀杆的材质采用不锈钢2Cr13，符合GB1220-92规定的技术条件。</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阀杆螺母的材质为ZcuAL</w:t>
      </w:r>
      <w:r>
        <w:rPr>
          <w:rFonts w:hint="eastAsia" w:ascii="宋体" w:hAnsi="宋体" w:cs="宋体"/>
          <w:color w:val="auto"/>
          <w:szCs w:val="21"/>
          <w:highlight w:val="none"/>
          <w:vertAlign w:val="subscript"/>
        </w:rPr>
        <w:t>10</w:t>
      </w:r>
      <w:r>
        <w:rPr>
          <w:rFonts w:hint="eastAsia" w:ascii="宋体" w:hAnsi="宋体" w:cs="宋体"/>
          <w:color w:val="auto"/>
          <w:szCs w:val="21"/>
          <w:highlight w:val="none"/>
        </w:rPr>
        <w:t>Fe</w:t>
      </w:r>
      <w:r>
        <w:rPr>
          <w:rFonts w:hint="eastAsia" w:ascii="宋体" w:hAnsi="宋体" w:cs="宋体"/>
          <w:color w:val="auto"/>
          <w:szCs w:val="21"/>
          <w:highlight w:val="none"/>
          <w:vertAlign w:val="subscript"/>
        </w:rPr>
        <w:t>3</w:t>
      </w:r>
      <w:r>
        <w:rPr>
          <w:rFonts w:hint="eastAsia" w:ascii="宋体" w:hAnsi="宋体" w:cs="宋体"/>
          <w:color w:val="auto"/>
          <w:szCs w:val="21"/>
          <w:highlight w:val="none"/>
        </w:rPr>
        <w:t>铝青铜，阀杆螺母与阀瓣的连接为嵌入式，即阀杆螺母嵌入到阀板中成为一体。阀瓣的铜螺母与球墨铸铁骨架采用特种工艺紧密连接为一体。保证阀杆螺母与闸板两者之间的连接牢固，长期水流冲击下和操作时阀杆螺母不松动、阀板不会脱落。</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软密封闸阀为暗杆式，即阀杆在开启或关闭的过程中不升降。</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（3）轴承</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采用止推轴承，材料采用ZcuAL</w:t>
      </w:r>
      <w:r>
        <w:rPr>
          <w:rFonts w:hint="eastAsia" w:ascii="宋体" w:hAnsi="宋体" w:cs="宋体"/>
          <w:color w:val="auto"/>
          <w:szCs w:val="21"/>
          <w:highlight w:val="none"/>
          <w:vertAlign w:val="subscript"/>
        </w:rPr>
        <w:t>10</w:t>
      </w:r>
      <w:r>
        <w:rPr>
          <w:rFonts w:hint="eastAsia" w:ascii="宋体" w:hAnsi="宋体" w:cs="宋体"/>
          <w:color w:val="auto"/>
          <w:szCs w:val="21"/>
          <w:highlight w:val="none"/>
        </w:rPr>
        <w:t>Fe</w:t>
      </w:r>
      <w:r>
        <w:rPr>
          <w:rFonts w:hint="eastAsia" w:ascii="宋体" w:hAnsi="宋体" w:cs="宋体"/>
          <w:color w:val="auto"/>
          <w:szCs w:val="21"/>
          <w:highlight w:val="none"/>
          <w:vertAlign w:val="subscript"/>
        </w:rPr>
        <w:t>3</w:t>
      </w:r>
      <w:r>
        <w:rPr>
          <w:rFonts w:hint="eastAsia" w:ascii="宋体" w:hAnsi="宋体" w:cs="宋体"/>
          <w:color w:val="auto"/>
          <w:szCs w:val="21"/>
          <w:highlight w:val="none"/>
        </w:rPr>
        <w:t>铝青铜。</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（4）密封</w:t>
      </w:r>
    </w:p>
    <w:p>
      <w:pPr>
        <w:tabs>
          <w:tab w:val="left" w:pos="0"/>
          <w:tab w:val="left" w:pos="360"/>
        </w:tabs>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阀体与阀盖的密封：采用丁氰橡胶（NBR）密封圈密封。</w:t>
      </w:r>
    </w:p>
    <w:p>
      <w:pPr>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阀杆与阀盖的密封：采用3道“O”型丁氰橡胶（NBR）密封圈密封。密封紧密，磨擦阻力小。还可使阀门处于任何开度有压力且不断水的情况下，均可轻易更换两道“O”型密封圈，且阀杆有安全锁定功能，确保施工安全。</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 xml:space="preserve">    阀体与闸板、阀体与阀盖、阀杆与阀盖的密封试验均需符合GB/T13927-92的规定。</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2.阀门传动机构</w:t>
      </w:r>
    </w:p>
    <w:p>
      <w:pPr>
        <w:widowControl/>
        <w:spacing w:line="312"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电动阀门的驱动机构适应潮湿的环境，保护等级为IP65</w:t>
      </w:r>
      <w:r>
        <w:rPr>
          <w:rFonts w:hint="eastAsia" w:ascii="宋体" w:hAnsi="宋体"/>
          <w:color w:val="auto"/>
          <w:szCs w:val="21"/>
          <w:highlight w:val="none"/>
        </w:rPr>
        <w:t>及以上</w:t>
      </w:r>
      <w:r>
        <w:rPr>
          <w:rFonts w:hint="eastAsia" w:ascii="宋体" w:hAnsi="宋体" w:cs="宋体"/>
          <w:color w:val="auto"/>
          <w:kern w:val="0"/>
          <w:szCs w:val="21"/>
          <w:highlight w:val="none"/>
        </w:rPr>
        <w:t>， 电动机工作电压为380V， 50赫兹，3相。与阀门配套的电动阀门操作机构将由制造方在装箱之前就装配并调试好。</w:t>
      </w:r>
    </w:p>
    <w:p>
      <w:pPr>
        <w:widowControl/>
        <w:spacing w:line="312"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电动执行机构应包括（但不局限于）电动机， 双向电磁起动器， 行程开关， 扭矩开关，空间加热器， 选购的电源线， 齿轮箱和使阀门操作机构工作的离合器手轮，均为优良产品。</w:t>
      </w:r>
    </w:p>
    <w:p>
      <w:pPr>
        <w:widowControl/>
        <w:spacing w:line="312"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齿轮箱应由铸铁制成，电机附件，法兰底座附件应整体浇铸而成 然后放样钻孔并用机械加工方法制造。</w:t>
      </w:r>
    </w:p>
    <w:p>
      <w:pPr>
        <w:widowControl/>
        <w:spacing w:line="312"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电动阀门驱动机构上的电机的输出扭矩要大于额定扭矩的1.5倍以上， 齿轮传动直接与电动机联接，整体机构被全部封闭，并在有润滑的条件下运行。</w:t>
      </w:r>
    </w:p>
    <w:p>
      <w:pPr>
        <w:widowControl/>
        <w:spacing w:line="312"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驱动机构包括：低速性、高效率行星齿轮减速机构， 可调节扭矩的装置或极限行程开关，该开关在阀门位于全部打开位置或全部关闭位置或当传动方向上有障碍时，能切断电动机电源，扭矩开关应由制造厂安装，并满足最大扭矩的计算值。</w:t>
      </w:r>
    </w:p>
    <w:p>
      <w:pPr>
        <w:widowControl/>
        <w:spacing w:line="312"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无论阀的驱动机构是电动或手动的，行程开关都用齿轮转动的方法联接到传动机构上，并且任何时候都应与齿轮同步。该开关应是可调节型，并能被安装在阀门全开或全闭的极限行程位置上，所有在行程开关扭矩开关之间的电气联系等均由工厂（制造厂）提供并安装，所有与行程开关有关的保护装置和润滑由制造厂家提供。</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3.涂层</w:t>
      </w:r>
    </w:p>
    <w:p>
      <w:pPr>
        <w:widowControl/>
        <w:spacing w:line="312"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防腐前的阀体与阀盖内、外表面进行喷砂除锈，达到Sa2.5级；之后将铸件加热至175℃后才进行静电喷涂环氧树脂粉末工艺，最后烘干固化，内外烤漆，涂层厚度为：0.25—1.4mm之间。保证涂层厚度均匀、色泽均一，涂层表面保持光洁，无流痕。阀门外观颜色均采用蓝色。</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4.标准要求</w:t>
      </w:r>
    </w:p>
    <w:p>
      <w:pPr>
        <w:tabs>
          <w:tab w:val="left" w:pos="315"/>
          <w:tab w:val="left" w:pos="360"/>
        </w:tabs>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阀门的设计要求符合如下相关标准，也可以按照等效于或高于引用标准水平的其他标准的规定：</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CJ/T216-2005 弹性座封闸阀生标准</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GB/T17241.6-98 法兰连接尺寸</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GB/T13927-92 通用阀门压力试验</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GB12220 通用阀门标志</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GB12221 法兰连接金属阀门结构长度</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GB12226 通用阀门灰铸铁件技术条件</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GB12227 通用阀门球墨铸铁件技术条件</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GB12225 通用阀门  铜合金铸件</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GB1220 不锈钢棒</w:t>
      </w:r>
    </w:p>
    <w:p>
      <w:pPr>
        <w:tabs>
          <w:tab w:val="left" w:pos="360"/>
          <w:tab w:val="left" w:pos="540"/>
        </w:tabs>
        <w:spacing w:line="312" w:lineRule="auto"/>
        <w:jc w:val="left"/>
        <w:rPr>
          <w:rFonts w:ascii="宋体" w:hAnsi="宋体" w:cs="宋体"/>
          <w:color w:val="auto"/>
          <w:szCs w:val="21"/>
          <w:highlight w:val="none"/>
        </w:rPr>
      </w:pPr>
      <w:r>
        <w:rPr>
          <w:rFonts w:hint="eastAsia" w:ascii="宋体" w:hAnsi="宋体" w:cs="宋体"/>
          <w:color w:val="auto"/>
          <w:szCs w:val="21"/>
          <w:highlight w:val="none"/>
        </w:rPr>
        <w:t>HG/T3091-2000   橡胶密封圈件—给、排水管道用接口密封圈   材料规范</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GB17219-1998  生活饮用水输配水设备及防护材料的安全性评价标准</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5.主要零件材质</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阀体：</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球墨铸铁QT450-10</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阀芯骨架：</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球墨铸铁QT450-10</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阀芯橡胶：</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EPDM</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铜螺母：</w:t>
      </w:r>
      <w:r>
        <w:rPr>
          <w:rFonts w:hint="eastAsia" w:ascii="宋体" w:hAnsi="宋体" w:cs="宋体"/>
          <w:color w:val="auto"/>
          <w:szCs w:val="21"/>
          <w:highlight w:val="none"/>
        </w:rPr>
        <w:tab/>
      </w:r>
      <w:r>
        <w:rPr>
          <w:rFonts w:hint="eastAsia" w:ascii="宋体" w:hAnsi="宋体" w:cs="宋体"/>
          <w:color w:val="auto"/>
          <w:szCs w:val="21"/>
          <w:highlight w:val="none"/>
        </w:rPr>
        <w:t xml:space="preserve">   青铜</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阀杆：</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2Cr13</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阀盖：</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球墨铸铁QT450-10</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止推轴承：</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青铜或黄铜ZQSn5-5-5</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手轮：</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球墨铸铁</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螺栓：</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不锈钢S304</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6.运输、包装：</w:t>
      </w:r>
    </w:p>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 xml:space="preserve">    设备的包装、运输符合国家或部颁、行业标准执行。内包装采用塑料膜（或塑料泡沫），外包装采用木箱，确保设备适合长途运输、多次搬运、防雨、防潮等。弹性座封闸阀防腐层没有损坏现象，确保设备能安全到达交货地点。</w:t>
      </w:r>
    </w:p>
    <w:p>
      <w:pPr>
        <w:pStyle w:val="8"/>
        <w:spacing w:line="312" w:lineRule="auto"/>
        <w:ind w:firstLine="0" w:firstLineChars="0"/>
        <w:rPr>
          <w:rFonts w:ascii="宋体" w:hAnsi="宋体" w:cs="宋体"/>
          <w:b/>
          <w:color w:val="auto"/>
          <w:szCs w:val="21"/>
          <w:highlight w:val="none"/>
        </w:rPr>
      </w:pPr>
      <w:r>
        <w:rPr>
          <w:rFonts w:hint="eastAsia" w:ascii="宋体" w:hAnsi="宋体" w:cs="宋体"/>
          <w:b/>
          <w:bCs/>
          <w:color w:val="auto"/>
          <w:szCs w:val="21"/>
          <w:highlight w:val="none"/>
        </w:rPr>
        <w:t>七）</w:t>
      </w:r>
      <w:r>
        <w:rPr>
          <w:rFonts w:hint="eastAsia" w:ascii="宋体" w:hAnsi="宋体" w:cs="宋体"/>
          <w:b/>
          <w:color w:val="auto"/>
          <w:szCs w:val="21"/>
          <w:highlight w:val="none"/>
        </w:rPr>
        <w:t>可曲绕合成橡胶接头</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（1）提供的接头应符合相关的国家标准。</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（2）柔性管接头应是可曲挠的、单球式加固型，由单球橡胶接头以及聚脂帘布加强层、法兰等组成。</w:t>
      </w:r>
    </w:p>
    <w:p>
      <w:pPr>
        <w:widowControl/>
        <w:spacing w:line="312" w:lineRule="auto"/>
        <w:outlineLvl w:val="0"/>
        <w:rPr>
          <w:rFonts w:ascii="宋体" w:hAnsi="宋体" w:cs="宋体"/>
          <w:color w:val="auto"/>
          <w:kern w:val="0"/>
          <w:szCs w:val="21"/>
          <w:highlight w:val="none"/>
        </w:rPr>
      </w:pPr>
      <w:bookmarkStart w:id="295" w:name="_Toc426548354"/>
      <w:r>
        <w:rPr>
          <w:rFonts w:hint="eastAsia" w:ascii="宋体" w:hAnsi="宋体" w:cs="宋体"/>
          <w:color w:val="auto"/>
          <w:kern w:val="0"/>
          <w:szCs w:val="21"/>
          <w:highlight w:val="none"/>
        </w:rPr>
        <w:t>（3）使用温度-10～80OC</w:t>
      </w:r>
      <w:bookmarkEnd w:id="295"/>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（4）柔性管接头的轴向位移伸长量≥16mm，压缩量≥25mm，横向位移量≥22mm，允许偏转角度最大≥±7.50</w:t>
      </w:r>
    </w:p>
    <w:p>
      <w:pPr>
        <w:pStyle w:val="8"/>
        <w:spacing w:line="312" w:lineRule="auto"/>
        <w:ind w:firstLine="0" w:firstLineChars="0"/>
        <w:rPr>
          <w:rFonts w:ascii="宋体" w:hAnsi="宋体" w:cs="宋体"/>
          <w:b/>
          <w:color w:val="auto"/>
          <w:szCs w:val="21"/>
          <w:highlight w:val="none"/>
        </w:rPr>
      </w:pPr>
      <w:r>
        <w:rPr>
          <w:rFonts w:hint="eastAsia" w:ascii="宋体" w:hAnsi="宋体" w:cs="宋体"/>
          <w:b/>
          <w:color w:val="auto"/>
          <w:szCs w:val="21"/>
          <w:highlight w:val="none"/>
        </w:rPr>
        <w:t>3、主要部件材质</w:t>
      </w:r>
    </w:p>
    <w:p>
      <w:pPr>
        <w:widowControl/>
        <w:spacing w:line="312" w:lineRule="auto"/>
        <w:ind w:firstLine="420"/>
        <w:rPr>
          <w:rFonts w:ascii="宋体" w:hAnsi="宋体" w:cs="宋体"/>
          <w:color w:val="auto"/>
          <w:kern w:val="0"/>
          <w:szCs w:val="21"/>
          <w:highlight w:val="none"/>
        </w:rPr>
      </w:pPr>
      <w:r>
        <w:rPr>
          <w:rFonts w:hint="eastAsia" w:ascii="宋体" w:hAnsi="宋体" w:cs="宋体"/>
          <w:color w:val="auto"/>
          <w:kern w:val="0"/>
          <w:szCs w:val="21"/>
          <w:highlight w:val="none"/>
        </w:rPr>
        <w:t>单球橡胶接头：丁苯氯丁天然橡胶（聚脂帘布加强层）。</w:t>
      </w:r>
    </w:p>
    <w:p>
      <w:pPr>
        <w:widowControl/>
        <w:spacing w:line="312" w:lineRule="auto"/>
        <w:ind w:firstLine="420"/>
        <w:rPr>
          <w:rFonts w:ascii="宋体" w:hAnsi="宋体" w:cs="宋体"/>
          <w:color w:val="auto"/>
          <w:kern w:val="0"/>
          <w:szCs w:val="21"/>
          <w:highlight w:val="none"/>
        </w:rPr>
      </w:pPr>
      <w:r>
        <w:rPr>
          <w:rFonts w:hint="eastAsia" w:ascii="宋体" w:hAnsi="宋体" w:cs="宋体"/>
          <w:color w:val="auto"/>
          <w:kern w:val="0"/>
          <w:szCs w:val="21"/>
          <w:highlight w:val="none"/>
        </w:rPr>
        <w:t>配套法兰：Q235A碳钢，符合GB/T9119.2</w:t>
      </w:r>
      <w:r>
        <w:rPr>
          <w:rFonts w:hint="eastAsia" w:ascii="宋体" w:hAnsi="宋体" w:cs="宋体"/>
          <w:color w:val="auto"/>
          <w:kern w:val="0"/>
          <w:szCs w:val="21"/>
          <w:highlight w:val="none"/>
        </w:rPr>
        <w:softHyphen/>
      </w:r>
      <w:r>
        <w:rPr>
          <w:rFonts w:hint="eastAsia" w:ascii="宋体" w:hAnsi="宋体" w:cs="宋体"/>
          <w:color w:val="auto"/>
          <w:kern w:val="0"/>
          <w:szCs w:val="21"/>
          <w:highlight w:val="none"/>
        </w:rPr>
        <w:t>－2000要求。</w:t>
      </w:r>
    </w:p>
    <w:p>
      <w:pPr>
        <w:pStyle w:val="3"/>
        <w:numPr>
          <w:ilvl w:val="0"/>
          <w:numId w:val="8"/>
        </w:numPr>
        <w:tabs>
          <w:tab w:val="left" w:pos="420"/>
          <w:tab w:val="left" w:pos="1763"/>
          <w:tab w:val="center" w:pos="4156"/>
        </w:tabs>
        <w:spacing w:line="312" w:lineRule="auto"/>
        <w:ind w:hanging="420"/>
        <w:jc w:val="left"/>
        <w:rPr>
          <w:rFonts w:cs="宋体"/>
          <w:color w:val="auto"/>
          <w:sz w:val="21"/>
          <w:szCs w:val="21"/>
          <w:highlight w:val="none"/>
        </w:rPr>
      </w:pPr>
      <w:bookmarkStart w:id="296" w:name="_Toc426548355"/>
      <w:r>
        <w:rPr>
          <w:rFonts w:hint="eastAsia" w:cs="宋体"/>
          <w:color w:val="auto"/>
          <w:sz w:val="21"/>
          <w:szCs w:val="21"/>
          <w:highlight w:val="none"/>
        </w:rPr>
        <w:t>变频控制柜、自控仪表</w:t>
      </w:r>
      <w:bookmarkEnd w:id="296"/>
      <w:bookmarkStart w:id="297" w:name="_Toc168418622"/>
      <w:r>
        <w:rPr>
          <w:rFonts w:hint="eastAsia" w:cs="宋体"/>
          <w:color w:val="auto"/>
          <w:sz w:val="21"/>
          <w:szCs w:val="21"/>
          <w:highlight w:val="none"/>
        </w:rPr>
        <w:t>及安防系统</w:t>
      </w:r>
    </w:p>
    <w:p>
      <w:pPr>
        <w:spacing w:line="312" w:lineRule="auto"/>
        <w:rPr>
          <w:rFonts w:ascii="宋体" w:hAnsi="宋体" w:cs="宋体"/>
          <w:color w:val="auto"/>
          <w:szCs w:val="21"/>
          <w:highlight w:val="none"/>
        </w:rPr>
      </w:pPr>
      <w:r>
        <w:rPr>
          <w:rFonts w:hint="eastAsia" w:ascii="宋体" w:hAnsi="宋体" w:cs="宋体"/>
          <w:b/>
          <w:bCs/>
          <w:color w:val="auto"/>
          <w:szCs w:val="21"/>
          <w:highlight w:val="none"/>
        </w:rPr>
        <w:t>主要配置清单</w:t>
      </w:r>
    </w:p>
    <w:p>
      <w:pPr>
        <w:spacing w:line="312" w:lineRule="auto"/>
        <w:rPr>
          <w:rFonts w:ascii="宋体" w:hAnsi="宋体" w:cs="宋体"/>
          <w:color w:val="auto"/>
          <w:szCs w:val="21"/>
          <w:highlight w:val="none"/>
        </w:rPr>
      </w:pPr>
      <w:r>
        <w:rPr>
          <w:rFonts w:hint="eastAsia" w:ascii="宋体" w:hAnsi="宋体" w:cs="宋体"/>
          <w:color w:val="auto"/>
          <w:szCs w:val="21"/>
          <w:highlight w:val="none"/>
        </w:rPr>
        <w:t>以下技术要求与本清单有冲突的，以本清单要求为准。</w:t>
      </w:r>
    </w:p>
    <w:tbl>
      <w:tblPr>
        <w:tblStyle w:val="28"/>
        <w:tblW w:w="0" w:type="auto"/>
        <w:jc w:val="center"/>
        <w:tblLayout w:type="fixed"/>
        <w:tblCellMar>
          <w:top w:w="0" w:type="dxa"/>
          <w:left w:w="0" w:type="dxa"/>
          <w:bottom w:w="0" w:type="dxa"/>
          <w:right w:w="0" w:type="dxa"/>
        </w:tblCellMar>
      </w:tblPr>
      <w:tblGrid>
        <w:gridCol w:w="1749"/>
        <w:gridCol w:w="3663"/>
        <w:gridCol w:w="2258"/>
        <w:gridCol w:w="611"/>
        <w:gridCol w:w="819"/>
      </w:tblGrid>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r>
              <w:rPr>
                <w:rFonts w:hint="eastAsia" w:ascii="宋体" w:hAnsi="宋体" w:cs="宋体"/>
                <w:color w:val="auto"/>
                <w:szCs w:val="21"/>
                <w:highlight w:val="none"/>
              </w:rPr>
              <w:t>名    称</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r>
              <w:rPr>
                <w:rFonts w:hint="eastAsia" w:ascii="宋体" w:hAnsi="宋体" w:cs="宋体"/>
                <w:color w:val="auto"/>
                <w:szCs w:val="21"/>
                <w:highlight w:val="none"/>
              </w:rPr>
              <w:t>规    格</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r>
              <w:rPr>
                <w:rFonts w:hint="eastAsia" w:ascii="宋体" w:hAnsi="宋体" w:cs="宋体"/>
                <w:color w:val="auto"/>
                <w:szCs w:val="21"/>
                <w:highlight w:val="none"/>
              </w:rPr>
              <w:t>品牌</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r>
              <w:rPr>
                <w:rFonts w:hint="eastAsia" w:ascii="宋体" w:hAnsi="宋体" w:cs="宋体"/>
                <w:color w:val="auto"/>
                <w:szCs w:val="21"/>
                <w:highlight w:val="none"/>
              </w:rPr>
              <w:t>单位</w:t>
            </w:r>
          </w:p>
        </w:tc>
        <w:tc>
          <w:tcPr>
            <w:tcW w:w="81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r>
              <w:rPr>
                <w:rFonts w:hint="eastAsia" w:ascii="宋体" w:hAnsi="宋体" w:cs="宋体"/>
                <w:color w:val="auto"/>
                <w:szCs w:val="21"/>
                <w:highlight w:val="none"/>
              </w:rPr>
              <w:t>数量</w:t>
            </w:r>
          </w:p>
        </w:tc>
      </w:tr>
      <w:tr>
        <w:tblPrEx>
          <w:tblCellMar>
            <w:top w:w="0" w:type="dxa"/>
            <w:left w:w="0" w:type="dxa"/>
            <w:bottom w:w="0" w:type="dxa"/>
            <w:right w:w="0" w:type="dxa"/>
          </w:tblCellMar>
        </w:tblPrEx>
        <w:trPr>
          <w:trHeight w:val="302" w:hRule="atLeast"/>
          <w:jc w:val="center"/>
        </w:trPr>
        <w:tc>
          <w:tcPr>
            <w:tcW w:w="54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电气设备（潜水泵变频柜）</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机柜</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r>
              <w:rPr>
                <w:rFonts w:hint="eastAsia" w:ascii="宋体" w:hAnsi="宋体" w:cs="宋体"/>
                <w:color w:val="auto"/>
                <w:szCs w:val="21"/>
                <w:highlight w:val="none"/>
              </w:rPr>
              <w:t>1200（宽）*2200（高）*800（深）(R7035)</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台</w:t>
            </w:r>
          </w:p>
        </w:tc>
        <w:tc>
          <w:tcPr>
            <w:tcW w:w="819" w:type="dxa"/>
            <w:vMerge w:val="restart"/>
            <w:tcBorders>
              <w:top w:val="single" w:color="000000" w:sz="4" w:space="0"/>
              <w:left w:val="single" w:color="000000" w:sz="4" w:space="0"/>
              <w:right w:val="single" w:color="000000" w:sz="4" w:space="0"/>
            </w:tcBorders>
            <w:tcMar>
              <w:top w:w="15" w:type="dxa"/>
              <w:left w:w="15" w:type="dxa"/>
              <w:right w:w="15" w:type="dxa"/>
            </w:tcMar>
          </w:tcPr>
          <w:p>
            <w:pPr>
              <w:spacing w:line="312" w:lineRule="auto"/>
              <w:jc w:val="left"/>
              <w:rPr>
                <w:rFonts w:ascii="宋体" w:hAnsi="宋体" w:cs="宋体"/>
                <w:color w:val="auto"/>
                <w:szCs w:val="21"/>
                <w:highlight w:val="none"/>
              </w:rPr>
            </w:pPr>
            <w:r>
              <w:rPr>
                <w:rFonts w:hint="eastAsia" w:ascii="宋体" w:hAnsi="宋体" w:cs="宋体"/>
                <w:color w:val="auto"/>
                <w:szCs w:val="21"/>
                <w:highlight w:val="none"/>
              </w:rPr>
              <w:t>按需</w:t>
            </w:r>
          </w:p>
          <w:p>
            <w:pPr>
              <w:spacing w:line="312" w:lineRule="auto"/>
              <w:rPr>
                <w:rFonts w:ascii="宋体" w:hAnsi="宋体" w:cs="宋体"/>
                <w:color w:val="auto"/>
                <w:szCs w:val="21"/>
                <w:highlight w:val="none"/>
              </w:rPr>
            </w:pPr>
          </w:p>
          <w:p>
            <w:pPr>
              <w:spacing w:line="312" w:lineRule="auto"/>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变频器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含面板扩展套件,匹配功率需按泵机额定功率扩大一档；</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ABB、施耐德、三菱</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输入电抗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配套输入电抗器</w:t>
            </w:r>
          </w:p>
        </w:tc>
        <w:tc>
          <w:tcPr>
            <w:tcW w:w="2258" w:type="dxa"/>
            <w:vMerge w:val="restart"/>
            <w:tcBorders>
              <w:top w:val="single" w:color="000000" w:sz="4" w:space="0"/>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ABB、施耐德、三菱</w:t>
            </w:r>
          </w:p>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输出滤波</w:t>
            </w:r>
          </w:p>
        </w:tc>
        <w:tc>
          <w:tcPr>
            <w:tcW w:w="366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配套变频器</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软起动器</w:t>
            </w:r>
          </w:p>
        </w:tc>
        <w:tc>
          <w:tcPr>
            <w:tcW w:w="366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匹配功率需按泵机额定功率扩大一档；</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塑壳断路器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3P </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微型断路器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3P</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微型断路器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3P</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接触器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220V，带机械互锁</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中间继电器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220V</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浪涌保护器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3P+N</w:t>
            </w:r>
          </w:p>
        </w:tc>
        <w:tc>
          <w:tcPr>
            <w:tcW w:w="2258" w:type="dxa"/>
            <w:vMerge w:val="continue"/>
            <w:tcBorders>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温度计</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TR 30-W</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电流互感器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多功智能表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电压，电流，功率</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安科瑞、施耐德、ABB</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黄色信号灯</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AC220V</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绿色信号灯</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AC220V</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红色信号灯</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AC220V</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绿色按钮</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AC220V</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红色按钮</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AC220V</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选择开关</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AC220V 带钥匙</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选择开关</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AC220V</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电位器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0-5K</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开关电源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导轨式</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风扇</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控制柜辅材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54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b/>
                <w:color w:val="auto"/>
                <w:szCs w:val="21"/>
                <w:highlight w:val="none"/>
              </w:rPr>
            </w:pPr>
            <w:r>
              <w:rPr>
                <w:rFonts w:hint="eastAsia" w:ascii="宋体" w:hAnsi="宋体" w:cs="宋体"/>
                <w:color w:val="auto"/>
                <w:szCs w:val="21"/>
                <w:highlight w:val="none"/>
              </w:rPr>
              <w:t>自控设备（PLC柜）</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控制柜</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1200（宽）*2200（高）*800（深）(R7035)</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威图、霍夫曼、西门子</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CPU模块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restart"/>
            <w:tcBorders>
              <w:top w:val="single" w:color="000000" w:sz="4" w:space="0"/>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艾默生RX3i系列、西</w:t>
            </w:r>
          </w:p>
          <w:p>
            <w:pPr>
              <w:widowControl/>
              <w:spacing w:line="312" w:lineRule="auto"/>
              <w:jc w:val="center"/>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门子S7-1500，AB</w:t>
            </w:r>
          </w:p>
          <w:p>
            <w:pPr>
              <w:pStyle w:val="2"/>
              <w:ind w:firstLine="240" w:firstLineChars="100"/>
              <w:rPr>
                <w:color w:val="auto"/>
                <w:sz w:val="24"/>
                <w:highlight w:val="none"/>
              </w:rPr>
            </w:pPr>
            <w:r>
              <w:rPr>
                <w:rFonts w:hint="eastAsia" w:ascii="宋体" w:hAnsi="宋体" w:cs="宋体"/>
                <w:color w:val="auto"/>
                <w:sz w:val="24"/>
                <w:highlight w:val="none"/>
              </w:rPr>
              <w:t>1756系列及以上</w:t>
            </w:r>
          </w:p>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电源模块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16槽机架</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DI模块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DI模块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DO模块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AI模块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AO模块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IO模块接线端子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RS485通讯模块</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空槽盖板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.1.1</w:t>
            </w:r>
            <w:r>
              <w:rPr>
                <w:rFonts w:hint="eastAsia" w:ascii="宋体" w:hAnsi="宋体" w:cs="宋体"/>
                <w:color w:val="auto"/>
                <w:szCs w:val="21"/>
                <w:highlight w:val="none"/>
              </w:rPr>
              <w:t>可编程控制器P</w:t>
            </w:r>
            <w:r>
              <w:rPr>
                <w:rFonts w:ascii="宋体" w:hAnsi="宋体" w:cs="宋体"/>
                <w:color w:val="auto"/>
                <w:szCs w:val="21"/>
                <w:highlight w:val="none"/>
              </w:rPr>
              <w:t>LC</w:t>
            </w:r>
          </w:p>
        </w:tc>
        <w:tc>
          <w:tcPr>
            <w:tcW w:w="2258" w:type="dxa"/>
            <w:vMerge w:val="continue"/>
            <w:tcBorders>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触摸屏</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.1.3</w:t>
            </w:r>
            <w:r>
              <w:rPr>
                <w:rFonts w:hint="eastAsia" w:ascii="宋体" w:hAnsi="宋体" w:cs="宋体"/>
                <w:color w:val="auto"/>
                <w:szCs w:val="21"/>
                <w:highlight w:val="none"/>
              </w:rPr>
              <w:t>泵站人机界面</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艾默生、</w:t>
            </w:r>
            <w:r>
              <w:rPr>
                <w:rFonts w:hint="eastAsia" w:ascii="宋体" w:hAnsi="宋体" w:cs="宋体"/>
                <w:color w:val="auto"/>
                <w:sz w:val="24"/>
                <w:highlight w:val="none"/>
                <w:lang w:bidi="ar"/>
              </w:rPr>
              <w:t>PROFACE</w:t>
            </w:r>
            <w:r>
              <w:rPr>
                <w:rFonts w:hint="eastAsia" w:ascii="宋体" w:hAnsi="宋体" w:cs="宋体"/>
                <w:color w:val="auto"/>
                <w:szCs w:val="21"/>
                <w:highlight w:val="none"/>
              </w:rPr>
              <w:t>、西门子</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中间继电器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DC24V</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和泉、施耐德、欧姆龙</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信号分配器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CZ3035</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上海辰竹、SUM、p+f</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信号隔离器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CZ2047</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上海辰竹、SUM、p+f</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信号隔离器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CZ2067</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上海辰竹、SUM、p+f</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MODBUS隔离器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CZ3093</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上海辰竹、SUM、p+f</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开关电源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导轨式</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明纬、德力西、施耐德</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电源防雷</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.1.9</w:t>
            </w:r>
            <w:r>
              <w:rPr>
                <w:rFonts w:hint="eastAsia" w:ascii="宋体" w:hAnsi="宋体" w:cs="宋体"/>
                <w:color w:val="auto"/>
                <w:szCs w:val="21"/>
                <w:highlight w:val="none"/>
              </w:rPr>
              <w:t>防雷、过压保护装置</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DEHN、菲尼克斯、OBO</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信号防雷</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.1.9</w:t>
            </w:r>
            <w:r>
              <w:rPr>
                <w:rFonts w:hint="eastAsia" w:ascii="宋体" w:hAnsi="宋体" w:cs="宋体"/>
                <w:color w:val="auto"/>
                <w:szCs w:val="21"/>
                <w:highlight w:val="none"/>
              </w:rPr>
              <w:t>防雷、过压保护装置</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DEHN、菲尼克斯、OBO</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网络防雷</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见4</w:t>
            </w:r>
            <w:r>
              <w:rPr>
                <w:rFonts w:ascii="宋体" w:hAnsi="宋体" w:cs="宋体"/>
                <w:color w:val="auto"/>
                <w:szCs w:val="21"/>
                <w:highlight w:val="none"/>
              </w:rPr>
              <w:t>.1.9</w:t>
            </w:r>
            <w:r>
              <w:rPr>
                <w:rFonts w:hint="eastAsia" w:ascii="宋体" w:hAnsi="宋体" w:cs="宋体"/>
                <w:color w:val="auto"/>
                <w:szCs w:val="21"/>
                <w:highlight w:val="none"/>
              </w:rPr>
              <w:t>防雷、过压保护装置</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DEHN、菲尼克斯、OBO</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报警灯</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辅助材料</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仪表、指示灯、端子等成套辅材</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交换机</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H3C、华为、思科</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软件费</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PLC程序、触摸屏程序、上位机程序</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仪表设备</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819" w:type="dxa"/>
            <w:vMerge w:val="continue"/>
            <w:tcBorders>
              <w:left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超声波液位仪</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见6现场仪表</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康宇、E+H、西门子</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投入式液位仪</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见6现场仪表</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康宇、E+H、西门子</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电子压力表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一体式压力表</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西门子、ABB、E+H</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温湿度</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昆仑海岸、青岛佳奇、霍尼韦尔</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超声波液位保护罩</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视频监控设备</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510"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彩色红外高清网络球机</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400万像素；支持20倍光学变倍，16倍数字变倍</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球机支架</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挂壁安装，最大承重10KG</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76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硬盘录像机</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8/16路设备支持HDMI接口4K超高清显示输出，支持VGA接口高清1080p显示输出；支持8个SATA接口</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硬盘</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4TB SATA6Gb/s 64M；WD40EJRX</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二合一防雷器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AC220V+RJ45</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监控电源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12V/10A</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监控电源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24V/3A</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480"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监控立杆（含基础、接地）</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高3.5米，</w:t>
            </w:r>
            <w:r>
              <w:rPr>
                <w:rFonts w:hint="eastAsia" w:ascii="宋体" w:hAnsi="宋体" w:cs="宋体"/>
                <w:color w:val="auto"/>
                <w:szCs w:val="21"/>
                <w:highlight w:val="none"/>
                <w:lang w:bidi="ar"/>
              </w:rPr>
              <w:t>户外需采用立杆+抱杆箱的方式安装，配套立杆与抱杆箱，监控立杆应配备抱杆箱（材质304不锈钢，防水等级IP65，内含电源接口、空开等），抱杆箱安装高度为中心点离地1500mm。</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三防电气箱</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500*400*200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机柜（含PDU）</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12U  600*600*635 挂墙安装，(R7035)</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威图、霍夫曼、西门子</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UPS</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2KVA，2H，带网络管理卡</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APC、西门子、施耐德</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超五类网线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CAT5E</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防水超五类网线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CAT5E防水型</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电源线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RVV3*1.5</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电源线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RVV2*1.0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PE管</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φ32</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PVC管</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φ20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辅材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电子围栏报警设备</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网络报警主机</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16点位及以上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报警主机键盘</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红外光栅</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6线制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红外探测器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烟感火灾探测器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声光报警器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电子围栏脉冲主机</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三防电气箱</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500*400*200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防雷接地</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中间杆（含配件）</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承重杆（含配件）</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紧线器</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警示牌</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张</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合金线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高压绝缘线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控制线缆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RVV4*1.0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PE管</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φ32</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辅材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门禁设备</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b/>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b/>
                <w:color w:val="auto"/>
                <w:szCs w:val="21"/>
                <w:highlight w:val="none"/>
              </w:rPr>
            </w:pPr>
          </w:p>
        </w:tc>
      </w:tr>
      <w:tr>
        <w:tblPrEx>
          <w:tblCellMar>
            <w:top w:w="0" w:type="dxa"/>
            <w:left w:w="0" w:type="dxa"/>
            <w:bottom w:w="0" w:type="dxa"/>
            <w:right w:w="0" w:type="dxa"/>
          </w:tblCellMar>
        </w:tblPrEx>
        <w:trPr>
          <w:trHeight w:val="76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门禁一体机</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摄像头 200W；容量存储 10万合法卡、30万刷卡记录；指纹容量 电容指纹5000枚，每人最多10枚；（带配套亚克力防雨罩）</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电控锁</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 xml:space="preserve"> </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出门按钮</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86型</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海康威视、大华、宇视</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门禁专用电源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12V/5A</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控制线缆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RVV4*1.0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超五类网线</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CAT5E</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辅材</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配套</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批</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bottom"/>
              <w:rPr>
                <w:rFonts w:ascii="宋体" w:hAnsi="宋体" w:cs="宋体"/>
                <w:b/>
                <w:color w:val="auto"/>
                <w:szCs w:val="21"/>
                <w:highlight w:val="none"/>
              </w:rPr>
            </w:pPr>
            <w:r>
              <w:rPr>
                <w:rFonts w:hint="eastAsia" w:ascii="宋体" w:hAnsi="宋体" w:cs="宋体"/>
                <w:color w:val="auto"/>
                <w:szCs w:val="21"/>
                <w:highlight w:val="none"/>
              </w:rPr>
              <w:t>自控电缆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rPr>
                <w:rFonts w:ascii="宋体" w:hAnsi="宋体" w:cs="宋体"/>
                <w:color w:val="auto"/>
                <w:szCs w:val="21"/>
                <w:highlight w:val="none"/>
              </w:rPr>
            </w:pP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c>
          <w:tcPr>
            <w:tcW w:w="819" w:type="dxa"/>
            <w:vMerge w:val="continue"/>
            <w:tcBorders>
              <w:left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信号及控制电缆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RVV-10×1.0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信号及控制电缆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RVV4*1.0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信号及控制电缆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RVVP-10×1.0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信号及控制电缆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RVVP-4×1.0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信号及控制电缆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RVVP-6×1.0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信号及控制电缆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RVVP-3×1.0</w:t>
            </w: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tr>
        <w:tblPrEx>
          <w:tblCellMar>
            <w:top w:w="0" w:type="dxa"/>
            <w:left w:w="0" w:type="dxa"/>
            <w:bottom w:w="0" w:type="dxa"/>
            <w:right w:w="0" w:type="dxa"/>
          </w:tblCellMar>
        </w:tblPrEx>
        <w:trPr>
          <w:trHeight w:val="255" w:hRule="atLeast"/>
          <w:jc w:val="center"/>
        </w:trPr>
        <w:tc>
          <w:tcPr>
            <w:tcW w:w="17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modbus通讯电缆</w:t>
            </w:r>
          </w:p>
        </w:tc>
        <w:tc>
          <w:tcPr>
            <w:tcW w:w="36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spacing w:line="312" w:lineRule="auto"/>
              <w:jc w:val="center"/>
              <w:rPr>
                <w:rFonts w:ascii="宋体" w:hAnsi="宋体" w:cs="宋体"/>
                <w:color w:val="auto"/>
                <w:szCs w:val="21"/>
                <w:highlight w:val="none"/>
              </w:rPr>
            </w:pPr>
          </w:p>
        </w:tc>
        <w:tc>
          <w:tcPr>
            <w:tcW w:w="22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国产优质</w:t>
            </w:r>
          </w:p>
        </w:tc>
        <w:tc>
          <w:tcPr>
            <w:tcW w:w="6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819" w:type="dxa"/>
            <w:vMerge w:val="continue"/>
            <w:tcBorders>
              <w:left w:val="single" w:color="000000" w:sz="4" w:space="0"/>
              <w:bottom w:val="single" w:color="000000" w:sz="4" w:space="0"/>
              <w:right w:val="single" w:color="000000" w:sz="4" w:space="0"/>
            </w:tcBorders>
            <w:tcMar>
              <w:top w:w="15" w:type="dxa"/>
              <w:left w:w="15" w:type="dxa"/>
              <w:right w:w="15" w:type="dxa"/>
            </w:tcMar>
          </w:tcPr>
          <w:p>
            <w:pPr>
              <w:widowControl/>
              <w:spacing w:line="312" w:lineRule="auto"/>
              <w:jc w:val="center"/>
              <w:textAlignment w:val="center"/>
              <w:rPr>
                <w:rFonts w:ascii="宋体" w:hAnsi="宋体" w:cs="宋体"/>
                <w:color w:val="auto"/>
                <w:szCs w:val="21"/>
                <w:highlight w:val="none"/>
              </w:rPr>
            </w:pPr>
          </w:p>
        </w:tc>
      </w:tr>
      <w:bookmarkEnd w:id="297"/>
    </w:tbl>
    <w:p>
      <w:pPr>
        <w:tabs>
          <w:tab w:val="left" w:pos="360"/>
        </w:tabs>
        <w:snapToGrid w:val="0"/>
        <w:spacing w:line="312" w:lineRule="auto"/>
        <w:ind w:firstLine="223" w:firstLineChars="100"/>
        <w:rPr>
          <w:rFonts w:ascii="宋体" w:hAnsi="宋体" w:cs="宋体"/>
          <w:b/>
          <w:bCs/>
          <w:color w:val="auto"/>
          <w:spacing w:val="6"/>
          <w:szCs w:val="21"/>
          <w:highlight w:val="none"/>
        </w:rPr>
      </w:pPr>
      <w:bookmarkStart w:id="298" w:name="_Toc426548356"/>
      <w:bookmarkStart w:id="299" w:name="_Toc168418631"/>
      <w:r>
        <w:rPr>
          <w:rFonts w:hint="eastAsia" w:ascii="宋体" w:hAnsi="宋体" w:cs="宋体"/>
          <w:b/>
          <w:bCs/>
          <w:color w:val="auto"/>
          <w:spacing w:val="6"/>
          <w:szCs w:val="21"/>
          <w:highlight w:val="none"/>
        </w:rPr>
        <w:t>1.系统功能</w:t>
      </w:r>
      <w:bookmarkEnd w:id="298"/>
      <w:bookmarkEnd w:id="299"/>
    </w:p>
    <w:p>
      <w:pPr>
        <w:tabs>
          <w:tab w:val="left" w:pos="360"/>
        </w:tabs>
        <w:snapToGrid w:val="0"/>
        <w:spacing w:line="312" w:lineRule="auto"/>
        <w:ind w:firstLine="223" w:firstLineChars="100"/>
        <w:rPr>
          <w:rFonts w:ascii="宋体" w:hAnsi="宋体" w:cs="宋体"/>
          <w:b/>
          <w:bCs/>
          <w:color w:val="auto"/>
          <w:spacing w:val="6"/>
          <w:szCs w:val="21"/>
          <w:highlight w:val="none"/>
        </w:rPr>
      </w:pPr>
      <w:r>
        <w:rPr>
          <w:rFonts w:hint="eastAsia" w:ascii="宋体" w:hAnsi="宋体" w:cs="宋体"/>
          <w:b/>
          <w:bCs/>
          <w:color w:val="auto"/>
          <w:spacing w:val="6"/>
          <w:szCs w:val="21"/>
          <w:highlight w:val="none"/>
        </w:rPr>
        <w:t>(1)中央控制室</w:t>
      </w:r>
    </w:p>
    <w:p>
      <w:pPr>
        <w:tabs>
          <w:tab w:val="left" w:pos="360"/>
        </w:tabs>
        <w:snapToGrid w:val="0"/>
        <w:spacing w:line="312" w:lineRule="auto"/>
        <w:ind w:firstLine="222" w:firstLineChars="100"/>
        <w:rPr>
          <w:rFonts w:ascii="宋体" w:hAnsi="宋体" w:cs="宋体"/>
          <w:color w:val="auto"/>
          <w:spacing w:val="6"/>
          <w:szCs w:val="21"/>
          <w:highlight w:val="none"/>
        </w:rPr>
      </w:pPr>
      <w:r>
        <w:rPr>
          <w:rFonts w:hint="eastAsia" w:ascii="宋体" w:hAnsi="宋体" w:cs="宋体"/>
          <w:color w:val="auto"/>
          <w:spacing w:val="6"/>
          <w:szCs w:val="21"/>
          <w:highlight w:val="none"/>
        </w:rPr>
        <w:t>·采集生产过程数据、设备运行状态，控制设备运行。</w:t>
      </w:r>
    </w:p>
    <w:p>
      <w:pPr>
        <w:tabs>
          <w:tab w:val="left" w:pos="360"/>
        </w:tabs>
        <w:snapToGrid w:val="0"/>
        <w:spacing w:line="312" w:lineRule="auto"/>
        <w:ind w:firstLine="222" w:firstLineChars="100"/>
        <w:rPr>
          <w:rFonts w:ascii="宋体" w:hAnsi="宋体" w:cs="宋体"/>
          <w:color w:val="auto"/>
          <w:spacing w:val="6"/>
          <w:szCs w:val="21"/>
          <w:highlight w:val="none"/>
        </w:rPr>
      </w:pPr>
      <w:r>
        <w:rPr>
          <w:rFonts w:hint="eastAsia" w:ascii="宋体" w:hAnsi="宋体" w:cs="宋体"/>
          <w:color w:val="auto"/>
          <w:spacing w:val="6"/>
          <w:szCs w:val="21"/>
          <w:highlight w:val="none"/>
        </w:rPr>
        <w:t>·在彩色监视器(TFT)显示工艺流程图，供电系统图，工艺参数，电气设备运行状态等。</w:t>
      </w:r>
    </w:p>
    <w:p>
      <w:pPr>
        <w:tabs>
          <w:tab w:val="left" w:pos="360"/>
        </w:tabs>
        <w:snapToGrid w:val="0"/>
        <w:spacing w:line="312" w:lineRule="auto"/>
        <w:ind w:firstLine="222" w:firstLineChars="100"/>
        <w:rPr>
          <w:rFonts w:ascii="宋体" w:hAnsi="宋体" w:cs="宋体"/>
          <w:color w:val="auto"/>
          <w:spacing w:val="6"/>
          <w:szCs w:val="21"/>
          <w:highlight w:val="none"/>
        </w:rPr>
      </w:pPr>
      <w:r>
        <w:rPr>
          <w:rFonts w:hint="eastAsia" w:ascii="宋体" w:hAnsi="宋体" w:cs="宋体"/>
          <w:color w:val="auto"/>
          <w:spacing w:val="6"/>
          <w:szCs w:val="21"/>
          <w:highlight w:val="none"/>
        </w:rPr>
        <w:t>·操作站以"人—机"对话方式指导操作，遥控状态下，可设定工艺参数、控制电气设备。</w:t>
      </w:r>
    </w:p>
    <w:p>
      <w:pPr>
        <w:tabs>
          <w:tab w:val="left" w:pos="360"/>
        </w:tabs>
        <w:snapToGrid w:val="0"/>
        <w:spacing w:line="312" w:lineRule="auto"/>
        <w:ind w:firstLine="222" w:firstLineChars="100"/>
        <w:rPr>
          <w:rFonts w:ascii="宋体" w:hAnsi="宋体" w:cs="宋体"/>
          <w:color w:val="auto"/>
          <w:szCs w:val="21"/>
          <w:highlight w:val="none"/>
        </w:rPr>
      </w:pPr>
      <w:r>
        <w:rPr>
          <w:rFonts w:hint="eastAsia" w:ascii="宋体" w:hAnsi="宋体" w:cs="宋体"/>
          <w:color w:val="auto"/>
          <w:spacing w:val="6"/>
          <w:szCs w:val="21"/>
          <w:highlight w:val="none"/>
        </w:rPr>
        <w:t>·根据采集到的信息，自动建立数据库，保存工艺参数，电气设备运行状态、报警数据、故障数据，并自动生成工艺参</w:t>
      </w:r>
      <w:r>
        <w:rPr>
          <w:rFonts w:hint="eastAsia" w:ascii="宋体" w:hAnsi="宋体" w:cs="宋体"/>
          <w:color w:val="auto"/>
          <w:szCs w:val="21"/>
          <w:highlight w:val="none"/>
        </w:rPr>
        <w:t>数的趋势曲线。管理人员通过对工艺曲线进行分析、研究，进一步改进工艺运行方案，提高生产效率。</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·按生产管理要求打印年、月、日、班运行报表，报警报表，故障报表及工艺流程图(彩色硬拷贝)。实时报警打印和故障打印。</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·计算机系统可在线诊断各类故障。</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·扩展原有不间断电源，保证在发生停电故障时该系统仍能安全可靠地运行。</w:t>
      </w:r>
    </w:p>
    <w:p>
      <w:pPr>
        <w:pStyle w:val="7"/>
        <w:snapToGrid w:val="0"/>
        <w:spacing w:line="312" w:lineRule="auto"/>
        <w:ind w:left="0" w:firstLine="205" w:firstLineChars="98"/>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(2)现场控制站</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·按控制程序对泵站内的工艺过程、电气设备进行自动控制，同时采集工艺参数及电气设备运行状态。</w:t>
      </w:r>
    </w:p>
    <w:p>
      <w:pPr>
        <w:snapToGrid w:val="0"/>
        <w:spacing w:line="312" w:lineRule="auto"/>
        <w:ind w:left="210" w:hanging="210" w:hangingChars="100"/>
        <w:rPr>
          <w:rFonts w:ascii="宋体" w:hAnsi="宋体" w:cs="宋体"/>
          <w:snapToGrid w:val="0"/>
          <w:color w:val="auto"/>
          <w:szCs w:val="21"/>
          <w:highlight w:val="none"/>
        </w:rPr>
      </w:pPr>
      <w:r>
        <w:rPr>
          <w:rFonts w:hint="eastAsia" w:ascii="宋体" w:hAnsi="宋体" w:cs="宋体"/>
          <w:color w:val="auto"/>
          <w:szCs w:val="21"/>
          <w:highlight w:val="none"/>
        </w:rPr>
        <w:t>·向监控管理系统传送数据，并接受监控管理系统发出的开停机命令。</w:t>
      </w:r>
    </w:p>
    <w:p>
      <w:pPr>
        <w:snapToGrid w:val="0"/>
        <w:spacing w:line="312" w:lineRule="auto"/>
        <w:ind w:left="210" w:hanging="210" w:hangingChars="100"/>
        <w:rPr>
          <w:rFonts w:ascii="宋体" w:hAnsi="宋体" w:cs="宋体"/>
          <w:snapToGrid w:val="0"/>
          <w:color w:val="auto"/>
          <w:szCs w:val="21"/>
          <w:highlight w:val="none"/>
        </w:rPr>
      </w:pPr>
      <w:r>
        <w:rPr>
          <w:rFonts w:hint="eastAsia" w:ascii="宋体" w:hAnsi="宋体" w:cs="宋体"/>
          <w:color w:val="auto"/>
          <w:szCs w:val="21"/>
          <w:highlight w:val="none"/>
        </w:rPr>
        <w:t>·采集的主要工艺参数有：设备状态、水位、电量等。</w:t>
      </w:r>
    </w:p>
    <w:p>
      <w:pPr>
        <w:snapToGrid w:val="0"/>
        <w:spacing w:line="312" w:lineRule="auto"/>
        <w:ind w:left="210" w:hanging="210" w:hangingChars="100"/>
        <w:rPr>
          <w:rFonts w:ascii="宋体" w:hAnsi="宋体" w:cs="宋体"/>
          <w:snapToGrid w:val="0"/>
          <w:color w:val="auto"/>
          <w:szCs w:val="21"/>
          <w:highlight w:val="none"/>
        </w:rPr>
      </w:pPr>
      <w:r>
        <w:rPr>
          <w:rFonts w:hint="eastAsia" w:ascii="宋体" w:hAnsi="宋体" w:cs="宋体"/>
          <w:snapToGrid w:val="0"/>
          <w:color w:val="auto"/>
          <w:szCs w:val="21"/>
          <w:highlight w:val="none"/>
        </w:rPr>
        <w:t>·</w:t>
      </w:r>
      <w:r>
        <w:rPr>
          <w:rFonts w:hint="eastAsia" w:ascii="宋体" w:hAnsi="宋体" w:cs="宋体"/>
          <w:color w:val="auto"/>
          <w:szCs w:val="21"/>
          <w:highlight w:val="none"/>
        </w:rPr>
        <w:t>安装不间断电源，保证在停电故障时系统仍能安全可靠地运行（&gt;30分钟）。</w:t>
      </w:r>
    </w:p>
    <w:p>
      <w:pPr>
        <w:pStyle w:val="7"/>
        <w:snapToGrid w:val="0"/>
        <w:spacing w:line="312" w:lineRule="auto"/>
        <w:ind w:left="0" w:firstLine="308" w:firstLineChars="147"/>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(3)就地控制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在设备调试、维修阶段提供现场操作的手段，在意外情况下可以以最快的方式进行现场紧急停车。</w:t>
      </w:r>
    </w:p>
    <w:p>
      <w:pPr>
        <w:pStyle w:val="4"/>
        <w:tabs>
          <w:tab w:val="left" w:pos="1770"/>
          <w:tab w:val="left" w:pos="2700"/>
        </w:tabs>
        <w:spacing w:line="312" w:lineRule="auto"/>
        <w:rPr>
          <w:rFonts w:ascii="宋体" w:hAnsi="宋体" w:cs="宋体"/>
          <w:b/>
          <w:bCs w:val="0"/>
          <w:snapToGrid w:val="0"/>
          <w:color w:val="auto"/>
          <w:sz w:val="21"/>
          <w:szCs w:val="21"/>
          <w:highlight w:val="none"/>
        </w:rPr>
      </w:pPr>
      <w:bookmarkStart w:id="300" w:name="_Toc426548357"/>
      <w:bookmarkStart w:id="301" w:name="_Toc168418633"/>
      <w:r>
        <w:rPr>
          <w:rFonts w:hint="eastAsia" w:ascii="宋体" w:hAnsi="宋体" w:cs="宋体"/>
          <w:b/>
          <w:bCs w:val="0"/>
          <w:snapToGrid w:val="0"/>
          <w:color w:val="auto"/>
          <w:sz w:val="21"/>
          <w:szCs w:val="21"/>
          <w:highlight w:val="none"/>
        </w:rPr>
        <w:t>2.主要测控内容说明</w:t>
      </w:r>
      <w:bookmarkEnd w:id="300"/>
      <w:bookmarkEnd w:id="301"/>
    </w:p>
    <w:p>
      <w:pPr>
        <w:pStyle w:val="7"/>
        <w:snapToGrid w:val="0"/>
        <w:spacing w:line="312" w:lineRule="auto"/>
        <w:ind w:left="0" w:firstLine="308" w:firstLineChars="147"/>
        <w:rPr>
          <w:rFonts w:ascii="宋体" w:hAnsi="宋体" w:cs="宋体"/>
          <w:color w:val="auto"/>
          <w:sz w:val="21"/>
          <w:szCs w:val="21"/>
          <w:highlight w:val="none"/>
        </w:rPr>
      </w:pPr>
      <w:r>
        <w:rPr>
          <w:rFonts w:hint="eastAsia" w:ascii="宋体" w:hAnsi="宋体" w:cs="宋体"/>
          <w:snapToGrid w:val="0"/>
          <w:color w:val="auto"/>
          <w:sz w:val="21"/>
          <w:szCs w:val="21"/>
          <w:highlight w:val="none"/>
        </w:rPr>
        <w:t>(1)格栅自动控制</w:t>
      </w:r>
    </w:p>
    <w:p>
      <w:pPr>
        <w:pStyle w:val="14"/>
        <w:snapToGrid w:val="0"/>
        <w:spacing w:before="0" w:beforeAutospacing="0" w:after="0" w:afterAutospacing="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格栅自动控制采用泵机联动方式控制、时间控制和水位控制。当水泵开启时，自动切换至格栅按时间进行全自动运行方式。当格栅距上次运行的时间超过设定值时，启动格栅。启动时，先启动输送机和栅渣压实脱水机，格栅停止后延迟一段时间再停输送机和栅渣压实脱水机。任何一台格栅启动时，均启动输送机和栅渣压实脱水机。泵机启动并且液位达到设置开启格栅的值时，格栅启动；液位达到设置关闭格栅的值时，格栅关闭。通过监控管理系统可以设定水位值，格栅运行、停止的周期。</w:t>
      </w:r>
    </w:p>
    <w:p>
      <w:pPr>
        <w:pStyle w:val="7"/>
        <w:snapToGrid w:val="0"/>
        <w:spacing w:line="312" w:lineRule="auto"/>
        <w:ind w:left="0" w:firstLine="308" w:firstLineChars="147"/>
        <w:rPr>
          <w:rFonts w:ascii="宋体" w:hAnsi="宋体" w:cs="宋体"/>
          <w:color w:val="auto"/>
          <w:sz w:val="21"/>
          <w:szCs w:val="21"/>
          <w:highlight w:val="none"/>
        </w:rPr>
      </w:pPr>
      <w:r>
        <w:rPr>
          <w:rFonts w:hint="eastAsia" w:ascii="宋体" w:hAnsi="宋体" w:cs="宋体"/>
          <w:snapToGrid w:val="0"/>
          <w:color w:val="auto"/>
          <w:sz w:val="21"/>
          <w:szCs w:val="21"/>
          <w:highlight w:val="none"/>
        </w:rPr>
        <w:t>(2)水泵自动控制</w:t>
      </w:r>
    </w:p>
    <w:p>
      <w:pPr>
        <w:pStyle w:val="14"/>
        <w:snapToGrid w:val="0"/>
        <w:spacing w:before="0" w:beforeAutospacing="0" w:after="0" w:afterAutospacing="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水泵自动控制是通过水位测量仪检测水位值，当水位升高时，控制水泵依次逐台启动，水泵的启动顺序按累计的水泵运行时间从小到大排列。当水位降低时，控制水泵依次逐台停止，顺序与之相反。同时自动累积水泵运行时间，实现水泵的自动轮值，保证水泵总是处在最佳运行状态。当水位降低到干运转保护水位时，水泵全停。通过监控管理系统可以设定水位值。每天水泵均配有变频器要求自控系统PID控制。</w:t>
      </w:r>
    </w:p>
    <w:p>
      <w:pPr>
        <w:pStyle w:val="4"/>
        <w:tabs>
          <w:tab w:val="left" w:pos="1770"/>
          <w:tab w:val="left" w:pos="2700"/>
        </w:tabs>
        <w:spacing w:line="312" w:lineRule="auto"/>
        <w:rPr>
          <w:rFonts w:ascii="宋体" w:hAnsi="宋体" w:cs="宋体"/>
          <w:snapToGrid w:val="0"/>
          <w:color w:val="auto"/>
          <w:sz w:val="21"/>
          <w:szCs w:val="21"/>
          <w:highlight w:val="none"/>
        </w:rPr>
      </w:pPr>
      <w:bookmarkStart w:id="302" w:name="_Toc168418634"/>
      <w:bookmarkStart w:id="303" w:name="_Toc426548358"/>
      <w:r>
        <w:rPr>
          <w:rFonts w:hint="eastAsia" w:ascii="宋体" w:hAnsi="宋体" w:cs="宋体"/>
          <w:snapToGrid w:val="0"/>
          <w:color w:val="auto"/>
          <w:sz w:val="21"/>
          <w:szCs w:val="21"/>
          <w:highlight w:val="none"/>
        </w:rPr>
        <w:t>3.</w:t>
      </w:r>
      <w:r>
        <w:rPr>
          <w:rFonts w:hint="eastAsia" w:ascii="宋体" w:hAnsi="宋体" w:cs="宋体"/>
          <w:b/>
          <w:bCs w:val="0"/>
          <w:snapToGrid w:val="0"/>
          <w:color w:val="auto"/>
          <w:sz w:val="21"/>
          <w:szCs w:val="21"/>
          <w:highlight w:val="none"/>
        </w:rPr>
        <w:t>仪表检测系统</w:t>
      </w:r>
      <w:bookmarkEnd w:id="302"/>
      <w:bookmarkEnd w:id="303"/>
    </w:p>
    <w:p>
      <w:pPr>
        <w:pStyle w:val="4"/>
        <w:tabs>
          <w:tab w:val="left" w:pos="1770"/>
          <w:tab w:val="left" w:pos="2700"/>
        </w:tabs>
        <w:spacing w:line="312" w:lineRule="auto"/>
        <w:rPr>
          <w:rFonts w:ascii="宋体" w:hAnsi="宋体" w:cs="宋体"/>
          <w:snapToGrid w:val="0"/>
          <w:color w:val="auto"/>
          <w:sz w:val="21"/>
          <w:szCs w:val="21"/>
          <w:highlight w:val="none"/>
        </w:rPr>
      </w:pPr>
      <w:bookmarkStart w:id="304" w:name="_Toc41304104"/>
      <w:bookmarkStart w:id="305" w:name="_Toc168418635"/>
      <w:bookmarkStart w:id="306" w:name="_Toc426548359"/>
      <w:r>
        <w:rPr>
          <w:rFonts w:hint="eastAsia" w:ascii="宋体" w:hAnsi="宋体" w:cs="宋体"/>
          <w:snapToGrid w:val="0"/>
          <w:color w:val="auto"/>
          <w:sz w:val="21"/>
          <w:szCs w:val="21"/>
          <w:highlight w:val="none"/>
        </w:rPr>
        <w:t>3.1现场仪表的选型要求</w:t>
      </w:r>
      <w:bookmarkEnd w:id="304"/>
      <w:bookmarkEnd w:id="305"/>
      <w:bookmarkEnd w:id="306"/>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·泵站的仪表采用先进的数字式仪表；</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·每套检测仪表都需有就地显示仪；</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·每套检测仪表需带有足够的专用电缆；</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·现场安装的传感器和变送器必须提供全套完整的安装固定用支架、保护箱、安装材料及附件，材质为优质不锈钢。 </w:t>
      </w:r>
    </w:p>
    <w:p>
      <w:pPr>
        <w:pStyle w:val="4"/>
        <w:tabs>
          <w:tab w:val="left" w:pos="1770"/>
          <w:tab w:val="left" w:pos="2700"/>
        </w:tabs>
        <w:spacing w:line="312" w:lineRule="auto"/>
        <w:rPr>
          <w:rFonts w:ascii="宋体" w:hAnsi="宋体" w:cs="宋体"/>
          <w:snapToGrid w:val="0"/>
          <w:color w:val="auto"/>
          <w:sz w:val="21"/>
          <w:szCs w:val="21"/>
          <w:highlight w:val="none"/>
        </w:rPr>
      </w:pPr>
      <w:bookmarkStart w:id="307" w:name="_Toc41304105"/>
      <w:bookmarkStart w:id="308" w:name="_Toc426548360"/>
      <w:bookmarkStart w:id="309" w:name="_Toc168418636"/>
      <w:r>
        <w:rPr>
          <w:rFonts w:hint="eastAsia" w:ascii="宋体" w:hAnsi="宋体" w:cs="宋体"/>
          <w:snapToGrid w:val="0"/>
          <w:color w:val="auto"/>
          <w:sz w:val="21"/>
          <w:szCs w:val="21"/>
          <w:highlight w:val="none"/>
        </w:rPr>
        <w:t>3.2主要仪表选型</w:t>
      </w:r>
      <w:bookmarkEnd w:id="307"/>
      <w:bookmarkEnd w:id="308"/>
      <w:bookmarkEnd w:id="309"/>
    </w:p>
    <w:p>
      <w:pPr>
        <w:pStyle w:val="7"/>
        <w:snapToGrid w:val="0"/>
        <w:spacing w:line="312" w:lineRule="auto"/>
        <w:ind w:left="0" w:firstLine="308" w:firstLineChars="147"/>
        <w:rPr>
          <w:rFonts w:ascii="宋体" w:hAnsi="宋体" w:cs="宋体"/>
          <w:color w:val="auto"/>
          <w:sz w:val="21"/>
          <w:szCs w:val="21"/>
          <w:highlight w:val="none"/>
        </w:rPr>
      </w:pPr>
      <w:r>
        <w:rPr>
          <w:rFonts w:hint="eastAsia" w:ascii="宋体" w:hAnsi="宋体" w:cs="宋体"/>
          <w:snapToGrid w:val="0"/>
          <w:color w:val="auto"/>
          <w:sz w:val="21"/>
          <w:szCs w:val="21"/>
          <w:highlight w:val="none"/>
        </w:rPr>
        <w:t>(1)一般性能</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·现场仪表具有多参数检测、在线式连续检测、自动运算、线性校正、自动温度补偿、现场数字显示、故障诊断等智能化功能。</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·现场仪表使用的量程范围、材料、安装形式等都适宜在污水处理厂生产现场长期连续在线测量。其特点是：可靠、稳定、易操作、易维护、耐腐蚀、寿命长、无公害等。</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·在爆炸危险区域的现场仪表和控制设备，全部采用取得中国防爆合格证书，且适合应用于该爆炸危险区域等级的产品。</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·户外安装的变送器配置不锈钢仪表保护箱，现场仪表所需的防雷器件、电源、开关、接线端子等均可放置其内。安全、可靠、利于设备或系统的稳定工作。</w:t>
      </w:r>
    </w:p>
    <w:p>
      <w:pPr>
        <w:pStyle w:val="7"/>
        <w:snapToGrid w:val="0"/>
        <w:spacing w:line="312" w:lineRule="auto"/>
        <w:ind w:left="0" w:firstLine="308" w:firstLineChars="147"/>
        <w:rPr>
          <w:rFonts w:ascii="宋体" w:hAnsi="宋体" w:cs="宋体"/>
          <w:color w:val="auto"/>
          <w:sz w:val="21"/>
          <w:szCs w:val="21"/>
          <w:highlight w:val="none"/>
        </w:rPr>
      </w:pPr>
      <w:r>
        <w:rPr>
          <w:rFonts w:hint="eastAsia" w:ascii="宋体" w:hAnsi="宋体" w:cs="宋体"/>
          <w:snapToGrid w:val="0"/>
          <w:color w:val="auto"/>
          <w:sz w:val="21"/>
          <w:szCs w:val="21"/>
          <w:highlight w:val="none"/>
        </w:rPr>
        <w:t>(2)现场仪表的一般技术指标</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·工作温度：-20~+60℃（传感器），-20~+55℃（变送器）</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·防护等级：IP68（传感器），IP65（变送器）</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·供电电源：220VAC +10% -15% 50Hz，或24VDC +10% -15%</w:t>
      </w:r>
    </w:p>
    <w:p>
      <w:pPr>
        <w:pStyle w:val="7"/>
        <w:snapToGrid w:val="0"/>
        <w:spacing w:line="312" w:lineRule="auto"/>
        <w:ind w:left="0"/>
        <w:rPr>
          <w:rFonts w:ascii="宋体" w:hAnsi="宋体" w:cs="宋体"/>
          <w:color w:val="auto"/>
          <w:sz w:val="21"/>
          <w:szCs w:val="21"/>
          <w:highlight w:val="none"/>
        </w:rPr>
      </w:pPr>
      <w:r>
        <w:rPr>
          <w:rFonts w:hint="eastAsia" w:ascii="宋体" w:hAnsi="宋体" w:cs="宋体"/>
          <w:snapToGrid w:val="0"/>
          <w:color w:val="auto"/>
          <w:sz w:val="21"/>
          <w:szCs w:val="21"/>
          <w:highlight w:val="none"/>
        </w:rPr>
        <w:t>(3)主要仪表选型</w:t>
      </w:r>
    </w:p>
    <w:p>
      <w:pPr>
        <w:pStyle w:val="14"/>
        <w:snapToGrid w:val="0"/>
        <w:spacing w:before="0" w:beforeAutospacing="0" w:after="0" w:afterAutospacing="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主要仪表有超声波液位计、电量表等。</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·水位－－连续非接触式单通道超声波水位计</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·电量－－多功能数字型仪表</w:t>
      </w:r>
    </w:p>
    <w:p>
      <w:pPr>
        <w:pStyle w:val="7"/>
        <w:snapToGrid w:val="0"/>
        <w:spacing w:line="312" w:lineRule="auto"/>
        <w:ind w:left="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(4)范围</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·遵照本合同要求，中标人对仪表应用等各方面负责；</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·中标人须保证各设备及设计的整体统一性；</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·中标人须保证所有设备、转换器、附件、配件组成一个完整的检测控制装置；</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中标人须必须提供为达到招标文件规定功能所需的各种部件，如滤波器、保护装置、放大器、转换器及其它相关的部件，不论这些部件是否在本合同中具体提出。传感器与变送器之间的连接电缆须由中标人提供；</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·中标人须负责提供及安装所有联锁、报警及其他设备以保证安全、有效的运转。</w:t>
      </w:r>
    </w:p>
    <w:p>
      <w:pPr>
        <w:pStyle w:val="14"/>
        <w:snapToGrid w:val="0"/>
        <w:spacing w:before="0" w:beforeAutospacing="0" w:after="0" w:afterAutospacing="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凡是现场安装的设备和其它在合同中或相关联的图纸中没有说明的测量仪表、传感器的精确安装位置，中标人应向招标人提出建议安装的细节（图纸和文字说明），以取得招标人的认可。</w:t>
      </w:r>
    </w:p>
    <w:p>
      <w:pPr>
        <w:pStyle w:val="4"/>
        <w:tabs>
          <w:tab w:val="left" w:pos="1770"/>
        </w:tabs>
        <w:spacing w:line="312" w:lineRule="auto"/>
        <w:ind w:firstLine="31"/>
        <w:rPr>
          <w:rFonts w:ascii="宋体" w:hAnsi="宋体" w:cs="宋体"/>
          <w:b/>
          <w:bCs w:val="0"/>
          <w:color w:val="auto"/>
          <w:sz w:val="21"/>
          <w:szCs w:val="21"/>
          <w:highlight w:val="none"/>
        </w:rPr>
      </w:pPr>
      <w:bookmarkStart w:id="310" w:name="_Toc168418637"/>
      <w:bookmarkStart w:id="311" w:name="_Toc426548361"/>
      <w:r>
        <w:rPr>
          <w:rFonts w:hint="eastAsia" w:ascii="宋体" w:hAnsi="宋体" w:cs="宋体"/>
          <w:b/>
          <w:bCs w:val="0"/>
          <w:color w:val="auto"/>
          <w:sz w:val="21"/>
          <w:szCs w:val="21"/>
          <w:highlight w:val="none"/>
        </w:rPr>
        <w:t>4.控制系统设备技术</w:t>
      </w:r>
      <w:bookmarkEnd w:id="310"/>
      <w:r>
        <w:rPr>
          <w:rFonts w:hint="eastAsia" w:ascii="宋体" w:hAnsi="宋体" w:cs="宋体"/>
          <w:b/>
          <w:bCs w:val="0"/>
          <w:color w:val="auto"/>
          <w:sz w:val="21"/>
          <w:szCs w:val="21"/>
          <w:highlight w:val="none"/>
        </w:rPr>
        <w:t>要求</w:t>
      </w:r>
      <w:bookmarkEnd w:id="311"/>
    </w:p>
    <w:p>
      <w:pPr>
        <w:snapToGrid w:val="0"/>
        <w:spacing w:line="312" w:lineRule="auto"/>
        <w:ind w:firstLine="420" w:firstLineChars="200"/>
        <w:rPr>
          <w:rFonts w:ascii="宋体" w:hAnsi="宋体" w:cs="宋体"/>
          <w:color w:val="auto"/>
          <w:szCs w:val="21"/>
          <w:highlight w:val="none"/>
        </w:rPr>
      </w:pPr>
      <w:bookmarkStart w:id="312" w:name="_Toc168418638"/>
      <w:bookmarkStart w:id="313" w:name="_Toc426548362"/>
      <w:r>
        <w:rPr>
          <w:rFonts w:hint="eastAsia" w:ascii="宋体" w:hAnsi="宋体" w:cs="宋体"/>
          <w:color w:val="auto"/>
          <w:szCs w:val="21"/>
          <w:highlight w:val="none"/>
        </w:rPr>
        <w:t>1）网络安全要求</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在泵站自动化技改过程中，需全局考虑系统的安全性，满足网络通讯、数据传输等方面的安全要求，需提供可靠稳定的数据安全保护机制。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2）平台兼容要求</w:t>
      </w:r>
    </w:p>
    <w:p>
      <w:pPr>
        <w:snapToGrid w:val="0"/>
        <w:spacing w:line="312" w:lineRule="auto"/>
        <w:ind w:firstLine="420" w:firstLineChars="200"/>
        <w:rPr>
          <w:color w:val="auto"/>
          <w:highlight w:val="red"/>
        </w:rPr>
      </w:pPr>
      <w:r>
        <w:rPr>
          <w:rFonts w:hint="eastAsia" w:ascii="宋体" w:hAnsi="宋体" w:cs="宋体"/>
          <w:bCs/>
          <w:color w:val="auto"/>
          <w:szCs w:val="21"/>
          <w:highlight w:val="red"/>
        </w:rPr>
        <w:t>▲</w:t>
      </w:r>
      <w:r>
        <w:rPr>
          <w:rFonts w:hint="eastAsia" w:ascii="宋体" w:hAnsi="宋体" w:cs="宋体"/>
          <w:color w:val="auto"/>
          <w:szCs w:val="21"/>
          <w:highlight w:val="red"/>
        </w:rPr>
        <w:t>与现有自动化控制平台实现无缝对接，满足数据兼容和业务联动，包括泵站自动化控制平台。</w:t>
      </w:r>
    </w:p>
    <w:p>
      <w:pPr>
        <w:pStyle w:val="4"/>
        <w:tabs>
          <w:tab w:val="left" w:pos="1770"/>
          <w:tab w:val="left" w:pos="2700"/>
        </w:tabs>
        <w:spacing w:line="312" w:lineRule="auto"/>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4.1自控系统设备</w:t>
      </w:r>
      <w:bookmarkEnd w:id="312"/>
      <w:bookmarkEnd w:id="313"/>
    </w:p>
    <w:p>
      <w:pPr>
        <w:pStyle w:val="7"/>
        <w:snapToGrid w:val="0"/>
        <w:spacing w:line="312" w:lineRule="auto"/>
        <w:ind w:left="0" w:leftChars="-95" w:hanging="199" w:hangingChars="95"/>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4.1.1可编程序控制器PLC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PLC主站（包括远程I/O站或分布式I/O站）。</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中央控制计算机、PLC主站、PLC子站之间采用10/100M自适应工业以太网方式连接，PLC主站、PLC子站之间采用EGD协议进行通讯。</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现场PLC上为便于操作员现场操作修改数据，根据需要主站和子站的PLC各配1台人机操作界面（10”以上彩色触摸屏）。使用RS-232C/485或者以太网端口与PLC通信。</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投标人必须对现场控制站的PLC做详细的配置，列出组成各个现场控制站PLC的模块，机架，连接电缆及附件的型号和数量。</w:t>
      </w:r>
    </w:p>
    <w:p>
      <w:pPr>
        <w:widowControl/>
        <w:snapToGrid w:val="0"/>
        <w:spacing w:line="312" w:lineRule="auto"/>
        <w:ind w:firstLine="420" w:firstLineChars="200"/>
        <w:jc w:val="left"/>
        <w:rPr>
          <w:rFonts w:ascii="宋体" w:hAnsi="宋体" w:cs="宋体"/>
          <w:color w:val="auto"/>
          <w:szCs w:val="21"/>
          <w:highlight w:val="none"/>
          <w:lang w:bidi="ar"/>
        </w:rPr>
      </w:pPr>
      <w:r>
        <w:rPr>
          <w:rFonts w:hint="eastAsia" w:ascii="宋体" w:hAnsi="宋体" w:cs="宋体"/>
          <w:color w:val="auto"/>
          <w:szCs w:val="21"/>
          <w:highlight w:val="none"/>
          <w:lang w:bidi="ar"/>
        </w:rPr>
        <w:t>可编程序控制器（PLC）设备包括但不局限于一定数量的离散输入/输出（I/O）模块、模拟量输入/输出（AI/AO)模块、电源、中央处理器（CPU）、通信模块、SD卡、底板、空槽盖板等，要求双电源热备冗余（非功率叠加），以确保系统的安全可靠。</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每种模块应配置测试点、状态的LED指示，包括输入/输出状态和诊断设备故障的LED指示，平均故障间隔时间 (MTBF) ≥100000h。</w:t>
      </w:r>
    </w:p>
    <w:p>
      <w:pPr>
        <w:widowControl/>
        <w:spacing w:line="360" w:lineRule="exact"/>
        <w:ind w:firstLine="420" w:firstLineChars="200"/>
        <w:jc w:val="left"/>
        <w:textAlignment w:val="center"/>
        <w:rPr>
          <w:color w:val="auto"/>
          <w:highlight w:val="none"/>
        </w:rPr>
      </w:pPr>
      <w:r>
        <w:rPr>
          <w:rFonts w:hint="eastAsia" w:ascii="宋体" w:hAnsi="宋体" w:cs="宋体"/>
          <w:color w:val="auto"/>
          <w:szCs w:val="21"/>
          <w:highlight w:val="none"/>
          <w:lang w:bidi="ar"/>
        </w:rPr>
        <w:t>模块应容易拆除，且具有保护装置以防模块插入错误的地方。</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模块应可允许自由气流对流冷却，除散热设备外，不允许给其它设备装置内部风扇或其它冷却设备。</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模块应为机械联锁，以防止在功率不足的情况下插入或移走模块。</w:t>
      </w:r>
    </w:p>
    <w:p>
      <w:pPr>
        <w:widowControl/>
        <w:spacing w:line="360" w:lineRule="exact"/>
        <w:ind w:firstLine="420" w:firstLineChars="200"/>
        <w:jc w:val="left"/>
        <w:textAlignment w:val="center"/>
        <w:rPr>
          <w:color w:val="auto"/>
          <w:szCs w:val="21"/>
          <w:highlight w:val="none"/>
        </w:rPr>
      </w:pPr>
      <w:r>
        <w:rPr>
          <w:rFonts w:hint="eastAsia" w:ascii="宋体" w:hAnsi="宋体" w:cs="宋体"/>
          <w:color w:val="auto"/>
          <w:szCs w:val="21"/>
          <w:highlight w:val="none"/>
          <w:lang w:bidi="ar"/>
        </w:rPr>
        <w:t>所有涉及的模块应为同一品牌。</w:t>
      </w:r>
    </w:p>
    <w:p>
      <w:pPr>
        <w:snapToGrid w:val="0"/>
        <w:spacing w:line="312" w:lineRule="auto"/>
        <w:ind w:firstLine="422" w:firstLineChars="200"/>
        <w:rPr>
          <w:rFonts w:ascii="宋体" w:hAnsi="宋体" w:cs="宋体"/>
          <w:b/>
          <w:color w:val="auto"/>
          <w:szCs w:val="21"/>
          <w:highlight w:val="none"/>
        </w:rPr>
      </w:pPr>
      <w:bookmarkStart w:id="314" w:name="_Toc135706293"/>
      <w:bookmarkStart w:id="315" w:name="_Toc149970230"/>
      <w:bookmarkStart w:id="316" w:name="_Toc22971740"/>
      <w:bookmarkStart w:id="317" w:name="_Toc158423702"/>
      <w:bookmarkStart w:id="318" w:name="_Toc149969395"/>
      <w:bookmarkStart w:id="319" w:name="_Toc135655420"/>
      <w:bookmarkStart w:id="320" w:name="_Toc135706463"/>
      <w:bookmarkStart w:id="321" w:name="_Toc48415672"/>
      <w:r>
        <w:rPr>
          <w:rFonts w:hint="eastAsia" w:ascii="宋体" w:hAnsi="宋体" w:cs="宋体"/>
          <w:b/>
          <w:color w:val="auto"/>
          <w:szCs w:val="21"/>
          <w:highlight w:val="none"/>
        </w:rPr>
        <w:t>PL</w:t>
      </w:r>
      <w:bookmarkEnd w:id="314"/>
      <w:bookmarkEnd w:id="315"/>
      <w:bookmarkEnd w:id="316"/>
      <w:bookmarkEnd w:id="317"/>
      <w:bookmarkEnd w:id="318"/>
      <w:bookmarkEnd w:id="319"/>
      <w:bookmarkEnd w:id="320"/>
      <w:bookmarkEnd w:id="321"/>
      <w:r>
        <w:rPr>
          <w:rFonts w:hint="eastAsia" w:ascii="宋体" w:hAnsi="宋体" w:cs="宋体"/>
          <w:b/>
          <w:color w:val="auto"/>
          <w:szCs w:val="21"/>
          <w:highlight w:val="none"/>
        </w:rPr>
        <w:t xml:space="preserve">C站 </w:t>
      </w:r>
    </w:p>
    <w:p>
      <w:pPr>
        <w:pStyle w:val="9"/>
        <w:spacing w:before="0" w:after="0" w:line="312" w:lineRule="auto"/>
        <w:rPr>
          <w:rFonts w:hAnsi="宋体" w:cs="宋体"/>
          <w:snapToGrid w:val="0"/>
          <w:color w:val="auto"/>
          <w:sz w:val="21"/>
          <w:szCs w:val="21"/>
          <w:highlight w:val="none"/>
        </w:rPr>
      </w:pPr>
      <w:r>
        <w:rPr>
          <w:rFonts w:hint="eastAsia" w:hAnsi="宋体" w:cs="宋体"/>
          <w:snapToGrid w:val="0"/>
          <w:color w:val="auto"/>
          <w:sz w:val="21"/>
          <w:szCs w:val="21"/>
          <w:highlight w:val="none"/>
        </w:rPr>
        <w:t>4.1.1.1总体要求</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设备监控系统采用工业级PLC控制器，应采用先进、可靠、稳定的国际知名产品。</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中央处理器CPU应不小于1.1GHz ，内置RAM存储器容量不小于10M且内置Flash容量不小于10M。</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程序结构模块化。</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具有口令保护。</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系统中的CPU起着内部诊断检查的作用，并可通过指示灯等显示装置提示用户CPU的运行状态等信息。</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可编程控制器应支持梯形图、C语言或SCL（ST）语言等进行编程。</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CPU面板上应有一个接口，该接口为外围支持设备提供内部处理信息。</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支持通用的 PCI 总线背板，背板高速 PCI总线速度不少于27MHz；背板总线支持带电插拔功能。</w:t>
      </w:r>
    </w:p>
    <w:p>
      <w:pPr>
        <w:widowControl/>
        <w:spacing w:line="360" w:lineRule="exact"/>
        <w:ind w:firstLine="420" w:firstLineChars="200"/>
        <w:jc w:val="left"/>
        <w:textAlignment w:val="center"/>
        <w:rPr>
          <w:rFonts w:ascii="宋体" w:hAnsi="宋体" w:cs="宋体"/>
          <w:color w:val="auto"/>
          <w:szCs w:val="21"/>
          <w:highlight w:val="none"/>
          <w:lang w:val="zh-CN"/>
        </w:rPr>
      </w:pPr>
      <w:r>
        <w:rPr>
          <w:rFonts w:hint="eastAsia" w:ascii="宋体" w:hAnsi="宋体" w:cs="宋体"/>
          <w:color w:val="auto"/>
          <w:szCs w:val="21"/>
          <w:highlight w:val="none"/>
          <w:lang w:val="zh-CN"/>
        </w:rPr>
        <w:t>产品需通过国家网络与信息系统安全产品质量监督检验中心的“信息技术产品安全测试证书”以及Wurldtech的“Achilles Level2认证”，以保证x系统的安全性和可靠性。</w:t>
      </w:r>
    </w:p>
    <w:p>
      <w:pPr>
        <w:widowControl/>
        <w:spacing w:line="360" w:lineRule="exact"/>
        <w:ind w:firstLine="420" w:firstLineChars="200"/>
        <w:jc w:val="left"/>
        <w:textAlignment w:val="center"/>
        <w:rPr>
          <w:rFonts w:ascii="宋体" w:hAnsi="宋体" w:cs="宋体"/>
          <w:color w:val="auto"/>
          <w:szCs w:val="21"/>
          <w:highlight w:val="none"/>
          <w:lang w:val="zh-CN"/>
        </w:rPr>
      </w:pPr>
      <w:r>
        <w:rPr>
          <w:rFonts w:hint="eastAsia" w:ascii="宋体" w:hAnsi="宋体" w:cs="宋体"/>
          <w:color w:val="auto"/>
          <w:szCs w:val="21"/>
          <w:highlight w:val="none"/>
          <w:lang w:val="zh-CN"/>
        </w:rPr>
        <w:t>内置以太网通讯端口，支持EGD、Profinet、SRTP等协议。</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1）在PLC系统在断电后保持存储器内数据，存储时长应不少于十二个月。</w:t>
      </w:r>
    </w:p>
    <w:p>
      <w:pPr>
        <w:widowControl/>
        <w:spacing w:line="360" w:lineRule="exact"/>
        <w:jc w:val="left"/>
        <w:textAlignment w:val="center"/>
        <w:rPr>
          <w:color w:val="auto"/>
          <w:szCs w:val="21"/>
          <w:highlight w:val="none"/>
          <w:lang w:val="zh-CN"/>
        </w:rPr>
      </w:pPr>
      <w:r>
        <w:rPr>
          <w:rFonts w:hint="eastAsia" w:ascii="宋体" w:hAnsi="宋体" w:cs="宋体"/>
          <w:color w:val="auto"/>
          <w:szCs w:val="21"/>
          <w:highlight w:val="none"/>
          <w:lang w:bidi="ar"/>
        </w:rPr>
        <w:t>2）应能存储以下几种数据：外部输出信号、外部输入信号、记时器读数、计数器读数、带符号的整数(小于32字节)、浮点数、十进位小数、直接和索引地址、内部处理状态信息、ASCII和控制结构</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同一机架可同时支持至少8条I/O总线。</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PLC控制器须为互为热备的冗余系统。即两个CPU位于两个机架上，实现CPU、电源、通信模块、扩展电缆全部冗余，冗余PLC控制器须同时工作，并同时存取I/O模块状态，工作时一台CPU为主机，另一台为热备机，如主机发生故障或自检失败时，可和热备机进行无扰动切换。切换时间小于50ms，不需编写额外的切换用户程序；系统须在控制器中提供手动切换装置。备份PLC须于规定时间内恢复主PLC的所有功能。两PLC控制器的切换不能降低系统整体性能要求及对系统运行造成任何误动。其冗余过程须对用户完全透明。</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控制系统通讯模块、特殊模块等均应与CPU模块严格保持同等的档次、尺寸及设计规格等，是同一系列的产品。</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在背板电源和用户端电源不断开的情况下，I/O模块及可拆卸端子排等必须能够支持带电插拔。</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控制系统必须能够提供包括梯形图、功能图块、结构化文本等在内的符合IEC61131-3标准的灵活的编程语言支持，数据格式应符合IEC61131标准，并支持应用32位的C语言开发，用户定义功能块可反复使用。触摸屏与PLC采用统一的编程环境，使用同样的数据变量名，数据变量全部引自单一的数据库；</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控制器应为基于变量或标签（Tag）的控制器，数据的标记和引用方式应该是具有自说明性质的标签。要求程序下载过程中标签本身的信息不能丢失，从而保证用户程序良好的可读性和可维护性。</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处理器模块可以插在主机架上的任意插槽中，并能在机架内根据需要随意布置输入输出模块和通讯模块，而没有任何的数量和类型限制。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控制系统支持快速内存升级技术，处理器、I/O模块、网络模块都应能够在现场通过软件升级至最新版本；</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系统没有定时器和计数器的数量限制，也没有PID回路数的限制。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控制系统处理器和输入输出模块应是完全的软件可配置，包括模块信息刷新时间、模拟量工程标定、上下限报警、斜率限制等；</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环境条件：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  0°C到60°C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储存温度  -40°C到85°C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  5% 至 95%(无冷凝)</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冲击：11ms,15G</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振动：10 至 500Hz 2g峰值加速度</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控制系统电源要求：工作电压：85～264VAC/47～63HZ;或100~300VDC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隔离：250VAC连续; 1500V AC持续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(*)掉电延迟：20ms；</w:t>
      </w:r>
    </w:p>
    <w:p>
      <w:pPr>
        <w:pStyle w:val="9"/>
        <w:spacing w:before="0" w:after="0" w:line="312" w:lineRule="auto"/>
        <w:rPr>
          <w:rFonts w:hAnsi="宋体" w:cs="宋体"/>
          <w:snapToGrid w:val="0"/>
          <w:color w:val="auto"/>
          <w:sz w:val="21"/>
          <w:szCs w:val="21"/>
          <w:highlight w:val="none"/>
        </w:rPr>
      </w:pPr>
      <w:r>
        <w:rPr>
          <w:rFonts w:hint="eastAsia" w:hAnsi="宋体" w:cs="宋体"/>
          <w:snapToGrid w:val="0"/>
          <w:color w:val="auto"/>
          <w:sz w:val="21"/>
          <w:szCs w:val="21"/>
          <w:highlight w:val="none"/>
        </w:rPr>
        <w:t>4.1.1.2控制系统电源要求：</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工作电压：85～264VAC；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频率范围：47～63HZ；</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工作温度：0～60摄氏度；</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保存温度：－40～85摄氏度；</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相对湿度：5～95％；</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隔离：250VAC连续 或 1500V AC持续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掉电延迟：20ms；</w:t>
      </w:r>
    </w:p>
    <w:p>
      <w:pPr>
        <w:pStyle w:val="9"/>
        <w:spacing w:before="0" w:after="0" w:line="312" w:lineRule="auto"/>
        <w:rPr>
          <w:rFonts w:hAnsi="宋体" w:cs="宋体"/>
          <w:snapToGrid w:val="0"/>
          <w:color w:val="auto"/>
          <w:sz w:val="21"/>
          <w:szCs w:val="21"/>
          <w:highlight w:val="none"/>
        </w:rPr>
      </w:pPr>
      <w:r>
        <w:rPr>
          <w:rFonts w:hint="eastAsia" w:hAnsi="宋体" w:cs="宋体"/>
          <w:snapToGrid w:val="0"/>
          <w:color w:val="auto"/>
          <w:sz w:val="21"/>
          <w:szCs w:val="21"/>
          <w:highlight w:val="none"/>
        </w:rPr>
        <w:t>4.1.1.3控制系统系统安全</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为保证整个控制系统系统的安全，控制系统应满足以下安全方面的考虑：</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密码保护</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程序文件/数据表保护</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存储器数据文件覆盖/比较/改写保护</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强制保护</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钥匙开关</w:t>
      </w:r>
    </w:p>
    <w:p>
      <w:pPr>
        <w:pStyle w:val="9"/>
        <w:spacing w:before="0" w:after="0" w:line="312" w:lineRule="auto"/>
        <w:rPr>
          <w:rFonts w:hAnsi="宋体" w:cs="宋体"/>
          <w:snapToGrid w:val="0"/>
          <w:color w:val="auto"/>
          <w:sz w:val="21"/>
          <w:szCs w:val="21"/>
          <w:highlight w:val="none"/>
        </w:rPr>
      </w:pPr>
      <w:r>
        <w:rPr>
          <w:rFonts w:hint="eastAsia" w:hAnsi="宋体" w:cs="宋体"/>
          <w:snapToGrid w:val="0"/>
          <w:color w:val="auto"/>
          <w:sz w:val="21"/>
          <w:szCs w:val="21"/>
          <w:highlight w:val="none"/>
        </w:rPr>
        <w:t>4.1.1.4  I/O模块技术参数要求</w:t>
      </w:r>
    </w:p>
    <w:p>
      <w:pPr>
        <w:snapToGrid w:val="0"/>
        <w:spacing w:line="312"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a、电源模块：</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工作电压：85～264VAC；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频率范围：47～63HZ；</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工作温度：0～60摄氏度；</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保存温度：－40～85摄氏度；</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相对湿度：5～95％；</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隔离：250VAC连续 或 1500V AC持续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掉电延迟：20ms；</w:t>
      </w:r>
    </w:p>
    <w:p>
      <w:pPr>
        <w:pStyle w:val="2"/>
        <w:ind w:firstLine="420" w:firstLineChars="200"/>
        <w:rPr>
          <w:rFonts w:ascii="宋体" w:hAnsi="宋体" w:cs="宋体"/>
          <w:color w:val="auto"/>
          <w:szCs w:val="21"/>
          <w:highlight w:val="none"/>
          <w:lang w:bidi="ar"/>
        </w:rPr>
      </w:pPr>
      <w:r>
        <w:rPr>
          <w:rFonts w:hint="eastAsia" w:ascii="宋体" w:hAnsi="宋体" w:cs="宋体"/>
          <w:color w:val="auto"/>
          <w:szCs w:val="21"/>
          <w:highlight w:val="none"/>
          <w:lang w:bidi="ar"/>
        </w:rPr>
        <w:t>模块应有外部保险丝和电源开关，具备有电源状况显示、过压保护功能。</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通讯模块。</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PLC应提供以下几类通讯接口：</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RS485通讯接口，可与任何可提供RS485方式仪表、电力系统通讯柜、PLC柜通讯及流量计和ups，通讯协议为Modbus RTU协议。部分流量计采用串口非标协议，PLC也应支持接入；</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工业以太网通讯接口，可与其他PLC、计算机通讯；</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输入/输出模块；</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输入/输出模块应支持独立配置，单模块故障时，不会引起所有设备停止运行；</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每种输入/ 输出模块必须支持2个以上的Ｉ/Ｏ机槽扩展。；</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模拟量输入模块：与CPU同一品牌，应支持输入电流：0 至 20 mA，4 至 20 mA，±20 mA；输入电压：±10 V，0至10 V，±5 V，0 至5 V，1 至5 V；具有电线开路、短路、正负变化率、高、高—高、低、低—低诊断；</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模拟量输出模块：应支持输出电流：0 至 20 mA，4 至 2 0 mA；输出电压：±10 V，0 至 10 V；具有高低报警、爬坡速率控制钳、过范围、欠范围诊断；</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数字量输入模块：与CPU同一品牌，应支持输入电压类型：24VDC，外围线路应采用光电隔离的方法将所有输入信号与其它信号和电路隔离，并带有通道间隔离；</w:t>
      </w:r>
    </w:p>
    <w:p>
      <w:pPr>
        <w:widowControl/>
        <w:spacing w:line="360" w:lineRule="exact"/>
        <w:ind w:firstLine="420" w:firstLineChars="200"/>
        <w:jc w:val="left"/>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数字量输出模块：与CPU同一品牌，应支持电压类型：24VDC，外围线路采用应采用无源触点形式，光电隔离，并带有通道间隔离；</w:t>
      </w:r>
    </w:p>
    <w:p>
      <w:pPr>
        <w:widowControl/>
        <w:spacing w:line="360" w:lineRule="exact"/>
        <w:ind w:firstLine="420" w:firstLineChars="200"/>
        <w:jc w:val="left"/>
        <w:textAlignment w:val="center"/>
        <w:rPr>
          <w:color w:val="auto"/>
          <w:highlight w:val="red"/>
        </w:rPr>
      </w:pPr>
      <w:r>
        <w:rPr>
          <w:rFonts w:hint="eastAsia" w:ascii="宋体" w:hAnsi="宋体" w:cs="宋体"/>
          <w:bCs/>
          <w:color w:val="auto"/>
          <w:szCs w:val="21"/>
          <w:highlight w:val="red"/>
        </w:rPr>
        <w:t>▲</w:t>
      </w:r>
      <w:r>
        <w:rPr>
          <w:rFonts w:hint="eastAsia" w:ascii="宋体" w:hAnsi="宋体" w:cs="宋体"/>
          <w:color w:val="auto"/>
          <w:szCs w:val="21"/>
          <w:highlight w:val="red"/>
          <w:lang w:bidi="ar"/>
        </w:rPr>
        <w:t>无论开关量、模拟量的输入/输出点，必须具备一定的冗余量，满足招标所需的所有功能后冗余量不小于实际使用量的20%。</w:t>
      </w:r>
    </w:p>
    <w:p>
      <w:pPr>
        <w:snapToGrid w:val="0"/>
        <w:spacing w:line="312"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b、开关量输入模块</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支持带电插拔，包括接线端子，涵盖底板侧和现场侧；</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故障报告和现场级的诊断检测；</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完全软件可配置；</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模块密度不超过32点；</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故障锁定功能；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隔离功能：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用户输入与逻辑侧和框架之间：250VAC连续, 1500VAC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认证 Class I/Division 2, UL, CSA, FM and CE Agency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环境条件：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工作温度：0 to 60°C (-4 to 131°F)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储存温度：-40 to 85°C (-40 to 185°F)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相对湿度：5 to 95% 无冷凝</w:t>
      </w:r>
    </w:p>
    <w:p>
      <w:pPr>
        <w:snapToGrid w:val="0"/>
        <w:spacing w:line="312"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c开关量输出模块</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支持带电插拔，包括接线端子，涵盖底板侧和现场侧；</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点级的故障报告和现场级的诊断检测；</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数据时标功能；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完全软件可配置；</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模块密度不超过32点；</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故障锁定功能；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故障时标功能；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可恢复的电子保险丝功能；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在编程和模块故障时软件可设定模块输出状态；</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隔离功能：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用户输入与逻辑侧和框架之间：250VAC连续, 1500VAC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认证 Class I/Division 2, UL, CSA, FM and CE Agency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环境条件：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工作温度：0 to 60°C (-4 to 131°F)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储存温度：-40 to 85°C (-40 to 185°F)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相对湿度：5 to 95% 无冷凝</w:t>
      </w:r>
    </w:p>
    <w:p>
      <w:pPr>
        <w:snapToGrid w:val="0"/>
        <w:spacing w:line="312"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d模拟量输入模块</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支持带电插拔，包括接线端子，涵盖底板侧和现场侧；</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数据变化时标功能；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定标、报警完全软件可配置；</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模块分辨率：12位；</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模块密度不超过8个通道</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故障锁定功能；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开路检测功能；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输入过载保护功能；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隔离功能：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用户输入与逻辑侧和框架之间以及通道间：250VAC连续, 1500VAC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认证 Class I/Division 2, UL, CSA, FM and CE Agency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环境条件：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工作温度：0 to 60°C (-4 to 131°F)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储存温度：-40 to 85°C (-40 to 185°F)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相对湿度：5 to 95% 无冷凝</w:t>
      </w:r>
    </w:p>
    <w:p>
      <w:pPr>
        <w:snapToGrid w:val="0"/>
        <w:spacing w:line="312"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e热电阻输入</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支持带电插拔，包括接线端子，涵盖底板侧和现场侧；</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热电阻输入采用专用模板。</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用户输入与逻辑侧和框架之间：250VAC连续, 1500VAC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分辨率：12位；</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常模噪声抑制：50Hz/60Hz时，60 dB</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共模噪声抑制：50Hz/60Hz时，120 dB</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全温度范围模块误差:+/-0.15%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认证机构   UL； SA、FM 分类1，分区2，危险区； CE</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环境条件：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操作温度：0 to 60°C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储藏温度：-40 to 85°C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相对湿度：5%-95%非凝露</w:t>
      </w:r>
    </w:p>
    <w:p>
      <w:pPr>
        <w:snapToGrid w:val="0"/>
        <w:spacing w:line="312"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f模拟量输出模块</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支持带电插拔，包括接线端子，涵盖底板侧和现场侧；</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数据变化时标功能；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定标、报警完全软件可配置；</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模块密度不超过4点；</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模块分辨率：12~16位；</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故障锁定功能；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输出过载保护功能；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输出短路保护功能；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隔离功能：</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用户输入与逻辑侧和框架之间以及通道间：250VAC连续, 1500VAC 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认证 Class I/Division 2, UL, CSA, FM and CE Agency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环境条件：</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工作温度：0 to 60°C (-4 to 131°F)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储存温度：-40 to 85°C (-40 to 185°F)</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相对湿度：5 to 95% 无冷凝</w:t>
      </w:r>
    </w:p>
    <w:p>
      <w:pPr>
        <w:pStyle w:val="7"/>
        <w:snapToGrid w:val="0"/>
        <w:spacing w:line="312" w:lineRule="auto"/>
        <w:ind w:left="0" w:firstLine="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4.1.2机柜</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·柜内面板：必须要有配置柜内电源指示灯、指针式表（AC220V、DC24、DC12），水泵运行指示灯、门控照明灯、门控排风扇、门锁（用同一把钥匙）等。面板柜子应整洁布局合理，防护等级为IP4X。</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·材料：柜体框架采用九褶型材；门板厚度不小于2.0mm；后箱板厚度不小于1.5mm；安装板厚度不小于3.0mm。配件采用电焊或螺栓组装。</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·表面处理：箱体框，防水浸蜡底漆；门、后板箱及顶板，防水浸蜡底漆，粉末涂层；安装板，镀锌处理。</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·单柜尺寸：2200×800×1200（GGD柜样式与水泵柜、配电柜样式相同），柜体安装在镀锌的中碳钢槽钢上。</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·内部照明：18瓦日光灯，加门控开关及插座。</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·排风：柜体应有通风口或百叶窗，至少配置4台风扇，应有有效的滤尘装置，冷却风扇都应有风扇故障报警触头，连接到相应的报警系统。</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·接线端子：厚度5.2mm，刚性导线，线径0.2～4.0mm2；柔性导线，线径0.2～2.5mm2(IEC947－7－1)，最大电流32A，最大耐压800V。</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·控制柜为成套供货，除前述已有的设备外，其余全部配件均须全套配齐。并且应提供控制柜的外形图、内部布置、设备及元器件清单等资料。</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柜内继电器应采用优质的小型中功率电磁继电器，形式为插件式，接线插座采用螺栓压接式。柜内配线采用汇线槽方式，线芯接面积应根据通过的电流大小进行选配，配线颜色按信号种类，根据国家标准配置。接线端子采用国内优质耐用的产品，DO回路必须配熔断器进行保护，接线端子应有20%的备用量。</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·控制柜为双面前后开门式，视频硬盘录像机固定在背面（应于一期柜体相当）。</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·按电源种类分别设电源总开关，各用电回路分开关根据负荷情况选配。电源开关采用优质的小型空气断路器。</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·信号、屏蔽接地采用与柜体完全绝缘的铜排连接方式。</w:t>
      </w:r>
    </w:p>
    <w:p>
      <w:pPr>
        <w:pStyle w:val="7"/>
        <w:snapToGrid w:val="0"/>
        <w:spacing w:line="312" w:lineRule="auto"/>
        <w:ind w:left="0" w:firstLine="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4.1.3泵站人机界面</w:t>
      </w:r>
    </w:p>
    <w:p>
      <w:pPr>
        <w:widowControl/>
        <w:tabs>
          <w:tab w:val="center" w:pos="2407"/>
        </w:tabs>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显示器件：有源阵列TFT彩色液晶屏</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有效显示区域：不小于10英寸</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内部存储：512MB非易失性闪存/512MB RAM（支持SD卡扩展）</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触控区域：模拟电阻式触摸屏</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画面数量：≥3000</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字符显示：256个/画面</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显示文字：英文、数字、中文</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通讯接口：EtherNet/IP、 RS232、10/100M以太网、USB</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电源电压范围：AC85V~AC264V或24VDC（+/-20%）</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保存温度：-25℃~70℃</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运行温度：0-55℃</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保护构造：IP65</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运行寿命：≥1000000次触摸</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支持工具软件：Windows 10以上环境</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操作员终端画面需与操作员站保持一致并用相同软件开发。</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用户访问保护（密码保护）：不少于32个权限。</w:t>
      </w:r>
    </w:p>
    <w:p>
      <w:pPr>
        <w:widowControl/>
        <w:spacing w:line="360" w:lineRule="exact"/>
        <w:jc w:val="left"/>
        <w:textAlignment w:val="center"/>
        <w:rPr>
          <w:rFonts w:ascii="宋体" w:hAnsi="宋体" w:cs="宋体"/>
          <w:color w:val="auto"/>
          <w:szCs w:val="21"/>
          <w:highlight w:val="none"/>
          <w:lang w:bidi="ar"/>
        </w:rPr>
      </w:pPr>
      <w:r>
        <w:rPr>
          <w:rFonts w:hint="eastAsia" w:ascii="宋体" w:hAnsi="宋体" w:cs="宋体"/>
          <w:color w:val="auto"/>
          <w:szCs w:val="21"/>
          <w:highlight w:val="none"/>
        </w:rPr>
        <w:t>·</w:t>
      </w:r>
      <w:r>
        <w:rPr>
          <w:rFonts w:hint="eastAsia" w:ascii="宋体" w:hAnsi="宋体" w:cs="宋体"/>
          <w:color w:val="auto"/>
          <w:szCs w:val="21"/>
          <w:highlight w:val="none"/>
          <w:lang w:bidi="ar"/>
        </w:rPr>
        <w:t>符合标准：FM Class I Dive2，cULus，EX zone2，EX zone22，CE，C-TICK。</w:t>
      </w:r>
    </w:p>
    <w:p>
      <w:pPr>
        <w:pStyle w:val="7"/>
        <w:snapToGrid w:val="0"/>
        <w:spacing w:line="312" w:lineRule="auto"/>
        <w:ind w:left="0" w:firstLine="0"/>
        <w:rPr>
          <w:rFonts w:ascii="宋体" w:hAnsi="宋体" w:cs="宋体"/>
          <w:snapToGrid w:val="0"/>
          <w:color w:val="auto"/>
          <w:sz w:val="21"/>
          <w:szCs w:val="21"/>
          <w:highlight w:val="none"/>
        </w:rPr>
      </w:pPr>
      <w:r>
        <w:rPr>
          <w:rFonts w:hint="eastAsia" w:ascii="宋体" w:hAnsi="宋体" w:cs="宋体"/>
          <w:color w:val="auto"/>
          <w:szCs w:val="21"/>
          <w:highlight w:val="none"/>
        </w:rPr>
        <w:t>·</w:t>
      </w:r>
      <w:r>
        <w:rPr>
          <w:rFonts w:hint="eastAsia" w:ascii="宋体" w:hAnsi="宋体" w:cs="宋体"/>
          <w:color w:val="auto"/>
          <w:sz w:val="21"/>
          <w:szCs w:val="21"/>
          <w:highlight w:val="none"/>
          <w:lang w:bidi="ar"/>
        </w:rPr>
        <w:t>背光寿命：50000小时（25℃下连续使用）。</w:t>
      </w:r>
    </w:p>
    <w:p>
      <w:pPr>
        <w:snapToGrid w:val="0"/>
        <w:spacing w:line="312" w:lineRule="auto"/>
        <w:rPr>
          <w:rFonts w:ascii="宋体" w:hAnsi="宋体" w:cs="宋体"/>
          <w:color w:val="auto"/>
          <w:szCs w:val="21"/>
          <w:highlight w:val="none"/>
        </w:rPr>
      </w:pPr>
    </w:p>
    <w:p>
      <w:pPr>
        <w:pStyle w:val="7"/>
        <w:snapToGrid w:val="0"/>
        <w:spacing w:line="312" w:lineRule="auto"/>
        <w:ind w:left="0" w:firstLine="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4.1.4不间断电源</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·UPS应是静态整流器/逆变器型，并有储能电池，并应对指定的设备提供不间断电源，它应安排成在主电源不符合规定要求时，避免设备的破坏或扰动。</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·工作形式:    在线式</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·容量:        2KVA</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·输入电压:    115-300V/50 Hz</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·输出电压:    220VAC±3%  50 Hz</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·切换时间:    &lt;=2.5ms</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·效率:        &gt;97%</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·波形失真:    &lt;=3%</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·噪音:        &lt;45dB</w:t>
      </w:r>
    </w:p>
    <w:p>
      <w:pPr>
        <w:pStyle w:val="7"/>
        <w:snapToGrid w:val="0"/>
        <w:spacing w:line="312" w:lineRule="auto"/>
        <w:ind w:left="0" w:firstLine="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 xml:space="preserve">4.1.5交换机(自控)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·在PLC柜内配置一台卡槽式型交换机，连接PLC、触摸屏、视频服务器、光纤收发器。</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·交换机类型： 智能交换机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·传输速率： 10Mbps/100Mbps/1000Mbps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·端口结构： 非模块化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·端口数量： 5</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·传输模式： 支持全双工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··交换方式： 存储-转发 </w:t>
      </w:r>
    </w:p>
    <w:p>
      <w:pPr>
        <w:pStyle w:val="7"/>
        <w:snapToGrid w:val="0"/>
        <w:spacing w:line="312" w:lineRule="auto"/>
        <w:ind w:left="0" w:firstLine="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 xml:space="preserve">4.1.6交换机(视频系统)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·在PLC柜内设置一台智能型交换机，连接视频服务器和网络摄像机</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·交换机类型： 以太网交换机</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·传输速率：10Mbps/100Mbps/1000Mbps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·端口结构： 非模块化 </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·端口数量： 8个10Mbps/100Mbps接口，2个1000Mbps接口</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·传输模式： 全双工/半双工自适应 </w:t>
      </w:r>
    </w:p>
    <w:p>
      <w:pPr>
        <w:pStyle w:val="7"/>
        <w:snapToGrid w:val="0"/>
        <w:spacing w:line="312" w:lineRule="auto"/>
        <w:ind w:left="0" w:firstLine="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 xml:space="preserve"> 4.1.7开关电源</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·输入电压范围：85-264 V AC/90-350 V DC（单相）</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·额定输出电流：10A</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·电流损耗：在230V时约1.2A</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·25ºC时瞬时冲击电流：&lt;15A</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·缓冲时间：&gt;50ms</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·电源启动时间：&lt;1S</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·额定输出电压误差：24 V +/-1%</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·输出电压调节范围：22.5-28.5 V DC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·可并联连接</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·DC OK 报警显示</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·干节点报警，有源节点报警</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·50%功率裕度</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·金属外壳</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·环境温度：-25 ºC-70ºC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·25ºC时超过95%无结露</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·输入端保险丝：6.3AT</w:t>
      </w:r>
    </w:p>
    <w:p>
      <w:pPr>
        <w:pStyle w:val="7"/>
        <w:snapToGrid w:val="0"/>
        <w:spacing w:line="312" w:lineRule="auto"/>
        <w:ind w:left="0" w:firstLine="0"/>
        <w:rPr>
          <w:rFonts w:ascii="宋体" w:hAnsi="宋体" w:cs="宋体"/>
          <w:color w:val="auto"/>
          <w:sz w:val="21"/>
          <w:szCs w:val="21"/>
          <w:highlight w:val="none"/>
        </w:rPr>
      </w:pPr>
      <w:r>
        <w:rPr>
          <w:rFonts w:hint="eastAsia" w:ascii="宋体" w:hAnsi="宋体" w:cs="宋体"/>
          <w:snapToGrid w:val="0"/>
          <w:color w:val="auto"/>
          <w:sz w:val="21"/>
          <w:szCs w:val="21"/>
          <w:highlight w:val="none"/>
        </w:rPr>
        <w:t>4.1.8继电器</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·具有工作状态指示</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·有防错接保护二极管（输入端为24、48、60 V DC）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·有阻尼二极管（输入端为24、48、60 V DC）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·有桥式整流器（输入端为24、120、230 V  AC/DC）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·触点材料：AgSnO</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·测试电压：4KV、50HZ、1分钟</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·工作温度：-25 ºC-+55ºC</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·阻燃等级：V0</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·机械寿命：2*107开关次数</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·可通过短接器件进行供电短接</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·弹簧接线方式</w:t>
      </w:r>
    </w:p>
    <w:p>
      <w:pPr>
        <w:pStyle w:val="7"/>
        <w:snapToGrid w:val="0"/>
        <w:spacing w:line="312" w:lineRule="auto"/>
        <w:ind w:left="-1" w:firstLine="0"/>
        <w:rPr>
          <w:rFonts w:ascii="宋体" w:hAnsi="宋体" w:cs="宋体"/>
          <w:snapToGrid w:val="0"/>
          <w:color w:val="auto"/>
          <w:sz w:val="21"/>
          <w:szCs w:val="21"/>
          <w:highlight w:val="none"/>
        </w:rPr>
      </w:pPr>
      <w:bookmarkStart w:id="322" w:name="_Toc41304174"/>
      <w:r>
        <w:rPr>
          <w:rFonts w:hint="eastAsia" w:ascii="宋体" w:hAnsi="宋体" w:cs="宋体"/>
          <w:snapToGrid w:val="0"/>
          <w:color w:val="auto"/>
          <w:sz w:val="21"/>
          <w:szCs w:val="21"/>
          <w:highlight w:val="none"/>
        </w:rPr>
        <w:t>4.1.9防雷、过电压保护装置</w:t>
      </w:r>
      <w:bookmarkEnd w:id="322"/>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中标人在防雷器件的选择上，应着重考虑防雷器在不影响系统正常运行的前提下，能够承受预期通过它们的雷电流和过电压，并完善的保护电子设备不受损坏。同时，中标人必须对装有信道防雷器的通讯线路复核其传输速率，即选择适当的防雷器的通频带和网络分支上的防雷器的安装数量，以保证系统网络原有的最大传输速率。</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·接地装置按照国家标准，根据系统接地要求分别接地，以及各电气设备的等电位连接。</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·中标人必须提供完整有效的防直击雷、感应雷、地电位升高的防雷系统。要求在控制室的电源进线加装合适的避雷器，在总线网络接口加装合适的隔离器，并采取的等电位连接，以达到最佳的防雷效果。</w:t>
      </w:r>
    </w:p>
    <w:p>
      <w:pPr>
        <w:snapToGrid w:val="0"/>
        <w:spacing w:line="312" w:lineRule="auto"/>
        <w:ind w:left="210" w:hanging="210" w:hangingChars="100"/>
        <w:rPr>
          <w:rFonts w:ascii="宋体" w:hAnsi="宋体" w:cs="宋体"/>
          <w:color w:val="auto"/>
          <w:szCs w:val="21"/>
          <w:highlight w:val="none"/>
        </w:rPr>
      </w:pPr>
      <w:r>
        <w:rPr>
          <w:rFonts w:hint="eastAsia" w:ascii="宋体" w:hAnsi="宋体" w:cs="宋体"/>
          <w:color w:val="auto"/>
          <w:szCs w:val="21"/>
          <w:highlight w:val="none"/>
        </w:rPr>
        <w:t>·同时，为减少备品备件和后期维护方便，中标人应采用同一品牌防雷产品。</w:t>
      </w:r>
    </w:p>
    <w:p>
      <w:pPr>
        <w:pStyle w:val="7"/>
        <w:snapToGrid w:val="0"/>
        <w:spacing w:line="312" w:lineRule="auto"/>
        <w:ind w:left="0" w:firstLine="0"/>
        <w:rPr>
          <w:rFonts w:ascii="宋体" w:hAnsi="宋体" w:cs="宋体"/>
          <w:color w:val="auto"/>
          <w:sz w:val="21"/>
          <w:szCs w:val="21"/>
          <w:highlight w:val="none"/>
        </w:rPr>
      </w:pPr>
      <w:r>
        <w:rPr>
          <w:rFonts w:hint="eastAsia" w:ascii="宋体" w:hAnsi="宋体" w:cs="宋体"/>
          <w:snapToGrid w:val="0"/>
          <w:color w:val="auto"/>
          <w:sz w:val="21"/>
          <w:szCs w:val="21"/>
          <w:highlight w:val="none"/>
        </w:rPr>
        <w:t xml:space="preserve"> 4.1.10接地</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根据系统要求，确定需要的接地电阻值为1欧姆，并选择下述其中一种接地方式：</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·设置独立的工作接地，保护接地接至电气系统接地；</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·工作接地和保护接地接至独立的工作接地；</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·工作接地和保护接地接至电气系统接地。</w:t>
      </w:r>
    </w:p>
    <w:p>
      <w:pPr>
        <w:pStyle w:val="5"/>
        <w:spacing w:before="0" w:after="0" w:line="312" w:lineRule="auto"/>
        <w:rPr>
          <w:rFonts w:ascii="宋体" w:hAnsi="宋体" w:cs="宋体"/>
          <w:color w:val="auto"/>
          <w:sz w:val="21"/>
          <w:szCs w:val="21"/>
          <w:highlight w:val="none"/>
        </w:rPr>
      </w:pPr>
      <w:bookmarkStart w:id="323" w:name="_Toc426548363"/>
      <w:bookmarkStart w:id="324" w:name="_Toc168418639"/>
      <w:r>
        <w:rPr>
          <w:rFonts w:hint="eastAsia" w:ascii="宋体" w:hAnsi="宋体" w:cs="宋体"/>
          <w:color w:val="auto"/>
          <w:sz w:val="21"/>
          <w:szCs w:val="21"/>
          <w:highlight w:val="none"/>
        </w:rPr>
        <w:t>5.视频监控系统</w:t>
      </w:r>
      <w:bookmarkEnd w:id="323"/>
      <w:bookmarkEnd w:id="324"/>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在泵站内建立视频监控系统，通过现场硬盘录像机（安装在PLC机柜内）传输到中控室，中控室视频主机应相应增加矩阵解码卡。</w:t>
      </w:r>
      <w:r>
        <w:rPr>
          <w:rFonts w:hint="eastAsia" w:ascii="宋体" w:hAnsi="宋体" w:cs="宋体"/>
          <w:b/>
          <w:color w:val="auto"/>
          <w:szCs w:val="21"/>
          <w:highlight w:val="none"/>
        </w:rPr>
        <w:t>硬盘录像机的选型应考虑完全兼容一期视频系统</w:t>
      </w:r>
      <w:r>
        <w:rPr>
          <w:rFonts w:hint="eastAsia" w:ascii="宋体" w:hAnsi="宋体" w:cs="宋体"/>
          <w:color w:val="auto"/>
          <w:szCs w:val="21"/>
          <w:highlight w:val="none"/>
        </w:rPr>
        <w:t>。</w:t>
      </w:r>
      <w:r>
        <w:rPr>
          <w:rFonts w:hint="eastAsia" w:ascii="宋体" w:hAnsi="宋体" w:cs="宋体"/>
          <w:b/>
          <w:color w:val="auto"/>
          <w:szCs w:val="21"/>
          <w:highlight w:val="none"/>
        </w:rPr>
        <w:t>视频软件考虑原系统不应改变</w:t>
      </w:r>
      <w:r>
        <w:rPr>
          <w:rFonts w:hint="eastAsia" w:ascii="宋体" w:hAnsi="宋体" w:cs="宋体"/>
          <w:color w:val="auto"/>
          <w:szCs w:val="21"/>
          <w:highlight w:val="none"/>
        </w:rPr>
        <w:t>。视频监控系统应采用知名品牌产品，保证摄像质量并方便管理维护。</w:t>
      </w:r>
    </w:p>
    <w:p>
      <w:pPr>
        <w:pStyle w:val="7"/>
        <w:snapToGrid w:val="0"/>
        <w:spacing w:line="312" w:lineRule="auto"/>
        <w:ind w:left="0"/>
        <w:rPr>
          <w:rFonts w:ascii="宋体" w:hAnsi="宋体" w:cs="宋体"/>
          <w:color w:val="auto"/>
          <w:sz w:val="21"/>
          <w:szCs w:val="21"/>
          <w:highlight w:val="none"/>
        </w:rPr>
      </w:pPr>
      <w:r>
        <w:rPr>
          <w:rFonts w:hint="eastAsia" w:ascii="宋体" w:hAnsi="宋体" w:cs="宋体"/>
          <w:snapToGrid w:val="0"/>
          <w:color w:val="auto"/>
          <w:sz w:val="21"/>
          <w:szCs w:val="21"/>
          <w:highlight w:val="none"/>
        </w:rPr>
        <w:t xml:space="preserve"> (1)户外摄像机</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户外摄像机采用全天候一体化彩色低照度智能球红外网络型摄像机，包括光学及电子变焦镜头、电动云台、全天候不锈钢防护罩等。考虑到照明情况及实际需要，全部采用彩色转黑白智能球型摄像机，以提高图像的品质，要求监视范围做到全方位无死角。主要技术指标：</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CCD尺寸：1/3"Progressive Scan CMOS</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有效像素：≥132万像素</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最低照度：彩色：0.02Lux，黑白：0.002Lux，0 Lux with IR</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红外功能：≥180米，可根据场景智能调整</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变焦：≥16倍数字变倍，光学20倍</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分辨率：≥1280*960</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接口：RJ45 10/100M</w:t>
      </w:r>
    </w:p>
    <w:p>
      <w:pPr>
        <w:snapToGrid w:val="0"/>
        <w:spacing w:line="312" w:lineRule="auto"/>
        <w:jc w:val="left"/>
        <w:rPr>
          <w:rFonts w:ascii="宋体" w:hAnsi="宋体" w:cs="宋体"/>
          <w:color w:val="auto"/>
          <w:szCs w:val="21"/>
          <w:highlight w:val="none"/>
        </w:rPr>
      </w:pPr>
      <w:r>
        <w:rPr>
          <w:rFonts w:hint="eastAsia" w:ascii="宋体" w:hAnsi="宋体" w:cs="宋体"/>
          <w:color w:val="auto"/>
          <w:szCs w:val="21"/>
          <w:highlight w:val="none"/>
        </w:rPr>
        <w:t>视频压缩：H.264/MJPEG/MPEG4，H.264编码支持Baseline/Main/High Profile</w:t>
      </w:r>
    </w:p>
    <w:p>
      <w:pPr>
        <w:snapToGrid w:val="0"/>
        <w:spacing w:line="312" w:lineRule="auto"/>
        <w:jc w:val="left"/>
        <w:rPr>
          <w:rFonts w:ascii="宋体" w:hAnsi="宋体" w:cs="宋体"/>
          <w:color w:val="auto"/>
          <w:szCs w:val="21"/>
          <w:highlight w:val="none"/>
        </w:rPr>
      </w:pPr>
      <w:r>
        <w:rPr>
          <w:rFonts w:hint="eastAsia" w:ascii="宋体" w:hAnsi="宋体" w:cs="宋体"/>
          <w:color w:val="auto"/>
          <w:szCs w:val="21"/>
          <w:highlight w:val="none"/>
        </w:rPr>
        <w:t>网络协议：IPv4/IPv6,HTTP,HTTPS,802.1x,Qos,FTP,SMTP,UPnP,SNMP,</w:t>
      </w:r>
    </w:p>
    <w:p>
      <w:pPr>
        <w:snapToGrid w:val="0"/>
        <w:spacing w:line="312" w:lineRule="auto"/>
        <w:jc w:val="left"/>
        <w:rPr>
          <w:rFonts w:ascii="宋体" w:hAnsi="宋体" w:cs="宋体"/>
          <w:color w:val="auto"/>
          <w:szCs w:val="21"/>
          <w:highlight w:val="none"/>
        </w:rPr>
      </w:pPr>
      <w:r>
        <w:rPr>
          <w:rFonts w:hint="eastAsia" w:ascii="宋体" w:hAnsi="宋体" w:cs="宋体"/>
          <w:color w:val="auto"/>
          <w:szCs w:val="21"/>
          <w:highlight w:val="none"/>
        </w:rPr>
        <w:t>DNS,DDNS,NTP,RTSP,RTCP,RTP,TCP,UDP,IGMP,ICMP,DHCP,PPPoE,Bonjour</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同时预览视频数：最大20路</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安全性：授权的用户名和密码，以及MAC地址绑定；HTTPS加密；IEEE 802.1x网络访问控制、IP地址过滤</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自动光圈，手动优先</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自动聚焦，手动优先</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摄像机功能可编程设置</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云台水平转动范围360</w:t>
      </w:r>
      <w:r>
        <w:rPr>
          <w:rFonts w:hint="eastAsia" w:ascii="宋体" w:hAnsi="宋体" w:cs="宋体"/>
          <w:color w:val="auto"/>
          <w:szCs w:val="21"/>
          <w:highlight w:val="none"/>
        </w:rPr>
        <w:sym w:font="Symbol" w:char="F0B0"/>
      </w:r>
      <w:r>
        <w:rPr>
          <w:rFonts w:hint="eastAsia" w:ascii="宋体" w:hAnsi="宋体" w:cs="宋体"/>
          <w:color w:val="auto"/>
          <w:szCs w:val="21"/>
          <w:highlight w:val="none"/>
        </w:rPr>
        <w:t>，垂直转动范围为-2</w:t>
      </w:r>
      <w:r>
        <w:rPr>
          <w:rFonts w:hint="eastAsia" w:ascii="宋体" w:hAnsi="宋体" w:cs="宋体"/>
          <w:color w:val="auto"/>
          <w:szCs w:val="21"/>
          <w:highlight w:val="none"/>
        </w:rPr>
        <w:sym w:font="Symbol" w:char="F0B0"/>
      </w:r>
      <w:r>
        <w:rPr>
          <w:rFonts w:hint="eastAsia" w:ascii="宋体" w:hAnsi="宋体" w:cs="宋体"/>
          <w:color w:val="auto"/>
          <w:szCs w:val="21"/>
          <w:highlight w:val="none"/>
        </w:rPr>
        <w:t>～90</w:t>
      </w:r>
      <w:r>
        <w:rPr>
          <w:rFonts w:hint="eastAsia" w:ascii="宋体" w:hAnsi="宋体" w:cs="宋体"/>
          <w:color w:val="auto"/>
          <w:szCs w:val="21"/>
          <w:highlight w:val="none"/>
        </w:rPr>
        <w:sym w:font="Symbol" w:char="F0B0"/>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带300个预置位置，转动速度0.1</w:t>
      </w:r>
      <w:r>
        <w:rPr>
          <w:rFonts w:hint="eastAsia" w:ascii="宋体" w:hAnsi="宋体" w:cs="宋体"/>
          <w:color w:val="auto"/>
          <w:szCs w:val="21"/>
          <w:highlight w:val="none"/>
        </w:rPr>
        <w:sym w:font="Symbol" w:char="F0B0"/>
      </w:r>
      <w:r>
        <w:rPr>
          <w:rFonts w:hint="eastAsia" w:ascii="宋体" w:hAnsi="宋体" w:cs="宋体"/>
          <w:color w:val="auto"/>
          <w:szCs w:val="21"/>
          <w:highlight w:val="none"/>
        </w:rPr>
        <w:t>～120</w:t>
      </w:r>
      <w:r>
        <w:rPr>
          <w:rFonts w:hint="eastAsia" w:ascii="宋体" w:hAnsi="宋体" w:cs="宋体"/>
          <w:color w:val="auto"/>
          <w:szCs w:val="21"/>
          <w:highlight w:val="none"/>
        </w:rPr>
        <w:sym w:font="Symbol" w:char="F0B0"/>
      </w:r>
      <w:r>
        <w:rPr>
          <w:rFonts w:hint="eastAsia" w:ascii="宋体" w:hAnsi="宋体" w:cs="宋体"/>
          <w:color w:val="auto"/>
          <w:szCs w:val="21"/>
          <w:highlight w:val="none"/>
        </w:rPr>
        <w:t>/秒，成比例水平变速转动</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输入电压：230VAC，±10%</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防护等级：IP66</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工作温度：-10</w:t>
      </w:r>
      <w:r>
        <w:rPr>
          <w:rFonts w:hint="eastAsia" w:ascii="宋体" w:hAnsi="宋体" w:cs="宋体"/>
          <w:color w:val="auto"/>
          <w:szCs w:val="21"/>
          <w:highlight w:val="none"/>
        </w:rPr>
        <w:sym w:font="Symbol" w:char="F0B0"/>
      </w:r>
      <w:r>
        <w:rPr>
          <w:rFonts w:hint="eastAsia" w:ascii="宋体" w:hAnsi="宋体" w:cs="宋体"/>
          <w:color w:val="auto"/>
          <w:szCs w:val="21"/>
          <w:highlight w:val="none"/>
        </w:rPr>
        <w:t>C～+50</w:t>
      </w:r>
      <w:r>
        <w:rPr>
          <w:rFonts w:hint="eastAsia" w:ascii="宋体" w:hAnsi="宋体" w:cs="宋体"/>
          <w:color w:val="auto"/>
          <w:szCs w:val="21"/>
          <w:highlight w:val="none"/>
        </w:rPr>
        <w:sym w:font="Symbol" w:char="F0B0"/>
      </w:r>
      <w:r>
        <w:rPr>
          <w:rFonts w:hint="eastAsia" w:ascii="宋体" w:hAnsi="宋体" w:cs="宋体"/>
          <w:color w:val="auto"/>
          <w:szCs w:val="21"/>
          <w:highlight w:val="none"/>
        </w:rPr>
        <w:t>C</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有彩色/黑白自动转换功能，切换红外夜视功能</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附件：提供安装支架</w:t>
      </w:r>
    </w:p>
    <w:p>
      <w:pPr>
        <w:snapToGrid w:val="0"/>
        <w:spacing w:line="312" w:lineRule="auto"/>
        <w:rPr>
          <w:rFonts w:ascii="宋体" w:hAnsi="宋体" w:cs="宋体"/>
          <w:color w:val="auto"/>
          <w:szCs w:val="21"/>
          <w:highlight w:val="none"/>
        </w:rPr>
      </w:pPr>
      <w:r>
        <w:rPr>
          <w:rFonts w:hint="eastAsia" w:ascii="宋体" w:hAnsi="宋体" w:cs="宋体"/>
          <w:color w:val="auto"/>
          <w:szCs w:val="21"/>
          <w:highlight w:val="none"/>
        </w:rPr>
        <w:t>摄像机按安装高度约离开路面3.5m。</w:t>
      </w:r>
    </w:p>
    <w:p>
      <w:pPr>
        <w:pStyle w:val="7"/>
        <w:snapToGrid w:val="0"/>
        <w:spacing w:line="312" w:lineRule="auto"/>
        <w:ind w:left="0"/>
        <w:rPr>
          <w:rFonts w:ascii="宋体" w:hAnsi="宋体" w:cs="宋体"/>
          <w:color w:val="auto"/>
          <w:sz w:val="21"/>
          <w:szCs w:val="21"/>
          <w:highlight w:val="none"/>
        </w:rPr>
      </w:pPr>
      <w:r>
        <w:rPr>
          <w:rFonts w:hint="eastAsia" w:ascii="宋体" w:hAnsi="宋体" w:cs="宋体"/>
          <w:snapToGrid w:val="0"/>
          <w:color w:val="auto"/>
          <w:sz w:val="21"/>
          <w:szCs w:val="21"/>
          <w:highlight w:val="none"/>
        </w:rPr>
        <w:t xml:space="preserve"> (2)硬盘录像机</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·需和一期的视频系统完全兼容。</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·类型：混合型网络硬盘录像机</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·模拟视频输入：8路</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·网络视频接入：最多支持16路</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·混合视频输入：最多支持16路（模拟+网络）</w:t>
      </w:r>
    </w:p>
    <w:p>
      <w:pPr>
        <w:snapToGrid w:val="0"/>
        <w:spacing w:line="312" w:lineRule="auto"/>
        <w:ind w:firstLine="420" w:firstLineChars="200"/>
        <w:rPr>
          <w:rFonts w:ascii="宋体" w:hAnsi="宋体" w:cs="宋体"/>
          <w:color w:val="auto"/>
          <w:szCs w:val="21"/>
          <w:highlight w:val="none"/>
        </w:rPr>
      </w:pPr>
      <w:bookmarkStart w:id="325" w:name="_Toc156103582"/>
      <w:r>
        <w:rPr>
          <w:rFonts w:hint="eastAsia" w:ascii="宋体" w:hAnsi="宋体" w:cs="宋体"/>
          <w:color w:val="auto"/>
          <w:szCs w:val="21"/>
          <w:highlight w:val="none"/>
        </w:rPr>
        <w:t>·同时具备数字视频录像机（DVR）和数字视频服务器（DVS）的特性，既可本地独立工作，也可联网协同工作。</w:t>
      </w:r>
      <w:bookmarkEnd w:id="325"/>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·功能：采用高性能DSP实现H.264视频编码压缩；</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支持事件压缩功能；</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本地信号量报警，支持E.mail联动发送报警信息及截图，支持PTZ联动；</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网络接口：2个RJ45 10/100/1000M</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支持DDNS、NTP功能；</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支持多种解码器协议；</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支持通过网络设置参数、预览图像及云台控制；</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支持键盘控制；</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支持USB设备、SATA刻录机对录像手动备份，支持SATA硬盘自动备份；</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支持USB鼠标；</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支持2个SATA接口</w:t>
      </w:r>
    </w:p>
    <w:p>
      <w:pPr>
        <w:numPr>
          <w:ilvl w:val="0"/>
          <w:numId w:val="9"/>
        </w:numPr>
        <w:snapToGrid w:val="0"/>
        <w:spacing w:line="312" w:lineRule="auto"/>
        <w:ind w:left="0"/>
        <w:rPr>
          <w:rFonts w:ascii="宋体" w:hAnsi="宋体" w:cs="宋体"/>
          <w:color w:val="auto"/>
          <w:szCs w:val="21"/>
          <w:highlight w:val="none"/>
        </w:rPr>
      </w:pPr>
      <w:r>
        <w:rPr>
          <w:rFonts w:hint="eastAsia" w:ascii="宋体" w:hAnsi="宋体" w:cs="宋体"/>
          <w:color w:val="auto"/>
          <w:szCs w:val="21"/>
          <w:highlight w:val="none"/>
        </w:rPr>
        <w:t>支持音频输入</w:t>
      </w:r>
    </w:p>
    <w:p>
      <w:pPr>
        <w:pStyle w:val="4"/>
        <w:tabs>
          <w:tab w:val="left" w:pos="1770"/>
          <w:tab w:val="left" w:pos="2700"/>
        </w:tabs>
        <w:spacing w:line="312" w:lineRule="auto"/>
        <w:rPr>
          <w:rFonts w:ascii="宋体" w:hAnsi="宋体" w:cs="宋体"/>
          <w:snapToGrid w:val="0"/>
          <w:color w:val="auto"/>
          <w:sz w:val="21"/>
          <w:szCs w:val="21"/>
          <w:highlight w:val="none"/>
        </w:rPr>
      </w:pPr>
      <w:bookmarkStart w:id="326" w:name="_Toc168418640"/>
      <w:bookmarkStart w:id="327" w:name="_Toc426548364"/>
      <w:r>
        <w:rPr>
          <w:rFonts w:hint="eastAsia" w:ascii="宋体" w:hAnsi="宋体" w:cs="宋体"/>
          <w:snapToGrid w:val="0"/>
          <w:color w:val="auto"/>
          <w:sz w:val="21"/>
          <w:szCs w:val="21"/>
          <w:highlight w:val="none"/>
        </w:rPr>
        <w:t>6.现场仪表</w:t>
      </w:r>
      <w:bookmarkEnd w:id="326"/>
      <w:bookmarkEnd w:id="327"/>
    </w:p>
    <w:p>
      <w:pPr>
        <w:pStyle w:val="7"/>
        <w:snapToGrid w:val="0"/>
        <w:spacing w:line="312" w:lineRule="auto"/>
        <w:ind w:left="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(1)超声波液位计</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a.测控数据</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412"/>
        <w:gridCol w:w="3055"/>
        <w:gridCol w:w="2860"/>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shd w:val="clear" w:color="auto" w:fill="FFFFFF"/>
            <w:vAlign w:val="center"/>
          </w:tcPr>
          <w:p>
            <w:pPr>
              <w:pStyle w:val="13"/>
              <w:spacing w:line="312" w:lineRule="auto"/>
              <w:ind w:left="835" w:leftChars="0" w:hanging="835" w:hangingChars="398"/>
              <w:jc w:val="center"/>
              <w:rPr>
                <w:rFonts w:ascii="宋体" w:hAnsi="宋体" w:cs="宋体"/>
                <w:b/>
                <w:color w:val="auto"/>
                <w:szCs w:val="21"/>
                <w:highlight w:val="none"/>
              </w:rPr>
            </w:pPr>
            <w:r>
              <w:rPr>
                <w:rFonts w:hint="eastAsia" w:ascii="宋体" w:hAnsi="宋体" w:cs="宋体"/>
                <w:color w:val="auto"/>
                <w:szCs w:val="21"/>
                <w:highlight w:val="none"/>
              </w:rPr>
              <w:t>名称</w:t>
            </w:r>
          </w:p>
        </w:tc>
        <w:tc>
          <w:tcPr>
            <w:tcW w:w="3055" w:type="dxa"/>
            <w:shd w:val="clear" w:color="auto" w:fill="FFFFFF"/>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泵池投入式压力液位计</w:t>
            </w:r>
          </w:p>
        </w:tc>
        <w:tc>
          <w:tcPr>
            <w:tcW w:w="2860" w:type="dxa"/>
            <w:shd w:val="clear" w:color="auto" w:fill="FFFFFF"/>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泵池超声波液位计</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shd w:val="clear" w:color="auto" w:fill="FFFFFF"/>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3055" w:type="dxa"/>
            <w:shd w:val="clear" w:color="auto" w:fill="FFFFFF"/>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2套</w:t>
            </w:r>
          </w:p>
        </w:tc>
        <w:tc>
          <w:tcPr>
            <w:tcW w:w="2860" w:type="dxa"/>
            <w:shd w:val="clear" w:color="auto" w:fill="FFFFFF"/>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4套</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检测点位置</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格栅</w:t>
            </w: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泵池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被测介质</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污水</w:t>
            </w: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污水</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工艺参数</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常压，0～50 ℃</w:t>
            </w: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常压，0～50 ℃</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测量范围</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0～10m</w:t>
            </w: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0～10 m</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波束角</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≤5度</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传感器变送器距离</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10 m</w:t>
            </w: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10 m</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传感器安装方式</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一体式</w:t>
            </w: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一体式</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jc w:val="center"/>
        </w:trPr>
        <w:tc>
          <w:tcPr>
            <w:tcW w:w="2412" w:type="dxa"/>
            <w:vAlign w:val="center"/>
          </w:tcPr>
          <w:p>
            <w:pPr>
              <w:pStyle w:val="13"/>
              <w:spacing w:line="312" w:lineRule="auto"/>
              <w:ind w:left="835" w:leftChars="0" w:hanging="835" w:hangingChars="398"/>
              <w:jc w:val="center"/>
              <w:rPr>
                <w:rFonts w:ascii="宋体" w:hAnsi="宋体" w:cs="宋体"/>
                <w:color w:val="auto"/>
                <w:szCs w:val="21"/>
                <w:highlight w:val="none"/>
              </w:rPr>
            </w:pPr>
            <w:r>
              <w:rPr>
                <w:rFonts w:hint="eastAsia" w:ascii="宋体" w:hAnsi="宋体" w:cs="宋体"/>
                <w:color w:val="auto"/>
                <w:szCs w:val="21"/>
                <w:highlight w:val="none"/>
              </w:rPr>
              <w:t>变送器安装方式</w:t>
            </w:r>
          </w:p>
        </w:tc>
        <w:tc>
          <w:tcPr>
            <w:tcW w:w="3055" w:type="dxa"/>
            <w:vAlign w:val="center"/>
          </w:tcPr>
          <w:p>
            <w:pPr>
              <w:pStyle w:val="20"/>
              <w:snapToGrid w:val="0"/>
              <w:spacing w:line="312" w:lineRule="auto"/>
              <w:ind w:left="420" w:hanging="420"/>
              <w:jc w:val="center"/>
              <w:rPr>
                <w:rFonts w:ascii="宋体" w:hAnsi="宋体" w:cs="宋体"/>
                <w:color w:val="auto"/>
                <w:szCs w:val="21"/>
                <w:highlight w:val="none"/>
              </w:rPr>
            </w:pPr>
          </w:p>
        </w:tc>
        <w:tc>
          <w:tcPr>
            <w:tcW w:w="2860" w:type="dxa"/>
            <w:vAlign w:val="center"/>
          </w:tcPr>
          <w:p>
            <w:pPr>
              <w:pStyle w:val="20"/>
              <w:snapToGrid w:val="0"/>
              <w:spacing w:line="312" w:lineRule="auto"/>
              <w:ind w:left="420" w:hanging="420"/>
              <w:jc w:val="center"/>
              <w:rPr>
                <w:rFonts w:ascii="宋体" w:hAnsi="宋体" w:cs="宋体"/>
                <w:color w:val="auto"/>
                <w:szCs w:val="21"/>
                <w:highlight w:val="none"/>
              </w:rPr>
            </w:pPr>
            <w:r>
              <w:rPr>
                <w:rFonts w:hint="eastAsia" w:ascii="宋体" w:hAnsi="宋体" w:cs="宋体"/>
                <w:color w:val="auto"/>
                <w:szCs w:val="21"/>
                <w:highlight w:val="none"/>
              </w:rPr>
              <w:t>墙挂式</w:t>
            </w:r>
          </w:p>
        </w:tc>
      </w:tr>
    </w:tbl>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b.技术要求</w:t>
      </w:r>
    </w:p>
    <w:tbl>
      <w:tblPr>
        <w:tblStyle w:val="28"/>
        <w:tblW w:w="0" w:type="auto"/>
        <w:jc w:val="center"/>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top w:w="0" w:type="dxa"/>
          <w:left w:w="108" w:type="dxa"/>
          <w:bottom w:w="0" w:type="dxa"/>
          <w:right w:w="108" w:type="dxa"/>
        </w:tblCellMar>
      </w:tblPr>
      <w:tblGrid>
        <w:gridCol w:w="813"/>
        <w:gridCol w:w="1698"/>
        <w:gridCol w:w="5830"/>
      </w:tblGrid>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2511" w:type="dxa"/>
            <w:gridSpan w:val="2"/>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功能</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测量、指示和传送液位、状态信号</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2511" w:type="dxa"/>
            <w:gridSpan w:val="2"/>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组成</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一个液位传感器、全部安装附件和电缆</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restart"/>
            <w:vAlign w:val="center"/>
          </w:tcPr>
          <w:p>
            <w:pPr>
              <w:pStyle w:val="13"/>
              <w:spacing w:line="312"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传感器</w:t>
            </w: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测量原理</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连续非接触式、超声波、往返时间测量</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测量精度</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≤0.5%</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分辨率</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1 mm</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稳定性</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0.1%，并可去除水面巨烈波动的干扰</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重复性</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&lt;满量程0.1%</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零点迁移</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盲区以外任意设定</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补偿</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内置温度传感器－－矫正超声波的运行时间</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环境温度</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－20～80 ℃</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极限温度</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－40～80 ℃</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防护等级</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IP68</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安装方式</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螺纹直接安装</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restart"/>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显示器</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4行LCD发光数码数据状态显示</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操作键盘</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现场操作，数据设定</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自动功能</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断电自动储存系统数据、预置故障反馈</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补偿</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自动矫正超声波的运行时间，补偿范围：－15～150℃</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输出内容</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1路液位信号， 1个极限报警、1个故障报警信号</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输出方式</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一路4～20mA模拟信号，一路24VDC数字信号</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环境温度</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－10～55 ℃</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极限温度</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－20～60 ℃</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防护等级</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IP67</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787" w:leftChars="0" w:hanging="787" w:hangingChars="375"/>
              <w:jc w:val="center"/>
              <w:rPr>
                <w:rFonts w:ascii="宋体" w:hAnsi="宋体" w:cs="宋体"/>
                <w:color w:val="auto"/>
                <w:szCs w:val="21"/>
                <w:highlight w:val="none"/>
              </w:rPr>
            </w:pPr>
            <w:r>
              <w:rPr>
                <w:rFonts w:hint="eastAsia" w:ascii="宋体" w:hAnsi="宋体" w:cs="宋体"/>
                <w:color w:val="auto"/>
                <w:szCs w:val="21"/>
                <w:highlight w:val="none"/>
              </w:rPr>
              <w:t>安装方式</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墙挂式、一体式</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restart"/>
            <w:vAlign w:val="center"/>
          </w:tcPr>
          <w:p>
            <w:pPr>
              <w:pStyle w:val="13"/>
              <w:spacing w:line="312" w:lineRule="auto"/>
              <w:ind w:left="0" w:leftChars="0" w:hanging="100" w:firstLineChars="0"/>
              <w:jc w:val="center"/>
              <w:rPr>
                <w:rFonts w:ascii="宋体" w:hAnsi="宋体" w:cs="宋体"/>
                <w:color w:val="auto"/>
                <w:szCs w:val="21"/>
                <w:highlight w:val="none"/>
              </w:rPr>
            </w:pPr>
            <w:r>
              <w:rPr>
                <w:rFonts w:hint="eastAsia" w:ascii="宋体" w:hAnsi="宋体" w:cs="宋体"/>
                <w:color w:val="auto"/>
                <w:szCs w:val="21"/>
                <w:highlight w:val="none"/>
              </w:rPr>
              <w:t>其他</w:t>
            </w:r>
          </w:p>
        </w:tc>
        <w:tc>
          <w:tcPr>
            <w:tcW w:w="1698" w:type="dxa"/>
            <w:vAlign w:val="center"/>
          </w:tcPr>
          <w:p>
            <w:pPr>
              <w:pStyle w:val="13"/>
              <w:spacing w:line="312"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传感器安装组件</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全套渠边安装支架和附件，不锈钢材料。</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813" w:type="dxa"/>
            <w:vMerge w:val="continue"/>
            <w:vAlign w:val="center"/>
          </w:tcPr>
          <w:p>
            <w:pPr>
              <w:pStyle w:val="13"/>
              <w:spacing w:line="312" w:lineRule="auto"/>
              <w:ind w:left="420" w:leftChars="0" w:hanging="420"/>
              <w:rPr>
                <w:rFonts w:ascii="宋体" w:hAnsi="宋体" w:cs="宋体"/>
                <w:color w:val="auto"/>
                <w:szCs w:val="21"/>
                <w:highlight w:val="none"/>
              </w:rPr>
            </w:pPr>
          </w:p>
        </w:tc>
        <w:tc>
          <w:tcPr>
            <w:tcW w:w="1698" w:type="dxa"/>
            <w:vAlign w:val="center"/>
          </w:tcPr>
          <w:p>
            <w:pPr>
              <w:pStyle w:val="13"/>
              <w:spacing w:line="312"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变送器安装组件</w:t>
            </w:r>
          </w:p>
        </w:tc>
        <w:tc>
          <w:tcPr>
            <w:tcW w:w="5830" w:type="dxa"/>
            <w:vAlign w:val="center"/>
          </w:tcPr>
          <w:p>
            <w:pPr>
              <w:pStyle w:val="20"/>
              <w:snapToGrid w:val="0"/>
              <w:spacing w:line="312" w:lineRule="auto"/>
              <w:ind w:left="420" w:hanging="420"/>
              <w:rPr>
                <w:rFonts w:ascii="宋体" w:hAnsi="宋体" w:cs="宋体"/>
                <w:color w:val="auto"/>
                <w:szCs w:val="21"/>
                <w:highlight w:val="none"/>
              </w:rPr>
            </w:pPr>
            <w:r>
              <w:rPr>
                <w:rFonts w:hint="eastAsia" w:ascii="宋体" w:hAnsi="宋体" w:cs="宋体"/>
                <w:color w:val="auto"/>
                <w:szCs w:val="21"/>
                <w:highlight w:val="none"/>
              </w:rPr>
              <w:t>全套安装支架、保护罩和附件，不锈钢材料</w:t>
            </w:r>
          </w:p>
        </w:tc>
      </w:tr>
    </w:tbl>
    <w:p>
      <w:pPr>
        <w:pStyle w:val="7"/>
        <w:snapToGrid w:val="0"/>
        <w:spacing w:line="312" w:lineRule="auto"/>
        <w:ind w:left="0" w:firstLine="205" w:firstLineChars="98"/>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 xml:space="preserve"> (2)多功能数字电量仪表</w:t>
      </w:r>
    </w:p>
    <w:p>
      <w:pPr>
        <w:snapToGrid w:val="0"/>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·技术要求：</w:t>
      </w:r>
    </w:p>
    <w:tbl>
      <w:tblPr>
        <w:tblStyle w:val="28"/>
        <w:tblW w:w="0" w:type="auto"/>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1220"/>
        <w:gridCol w:w="1861"/>
        <w:gridCol w:w="1455"/>
        <w:gridCol w:w="3800"/>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tcBorders>
              <w:top w:val="single" w:color="auto" w:sz="12" w:space="0"/>
              <w:left w:val="single" w:color="auto" w:sz="12" w:space="0"/>
              <w:bottom w:val="single" w:color="auto" w:sz="8" w:space="0"/>
              <w:right w:val="single" w:color="auto" w:sz="8" w:space="0"/>
            </w:tcBorders>
            <w:vAlign w:val="center"/>
          </w:tcPr>
          <w:p>
            <w:pPr>
              <w:pStyle w:val="13"/>
              <w:spacing w:line="312"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显示单位</w:t>
            </w:r>
          </w:p>
        </w:tc>
        <w:tc>
          <w:tcPr>
            <w:tcW w:w="7116" w:type="dxa"/>
            <w:gridSpan w:val="3"/>
            <w:tcBorders>
              <w:top w:val="single" w:color="auto" w:sz="12"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V/kV/MV/, A/kA,W/ kW/MW/GW,Hz, var/kvar/Mvar, VA/kVA/MVA/GVA,Wh/kWh/MWh/ varh/kvarh/Mvarh</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restart"/>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0" w:leftChars="0" w:hanging="100" w:firstLineChars="0"/>
              <w:jc w:val="center"/>
              <w:rPr>
                <w:rFonts w:ascii="宋体" w:hAnsi="宋体" w:cs="宋体"/>
                <w:color w:val="auto"/>
                <w:szCs w:val="21"/>
                <w:highlight w:val="none"/>
              </w:rPr>
            </w:pPr>
            <w:r>
              <w:rPr>
                <w:rFonts w:hint="eastAsia" w:ascii="宋体" w:hAnsi="宋体" w:cs="宋体"/>
                <w:color w:val="auto"/>
                <w:szCs w:val="21"/>
                <w:highlight w:val="none"/>
              </w:rPr>
              <w:t>准 确 度</w:t>
            </w: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相电压、电流、功率</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＜0.5%RD</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电能、线电压</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＜0.5%RD</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频率</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≤0.1%RD</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restart"/>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输 入</w:t>
            </w:r>
          </w:p>
        </w:tc>
        <w:tc>
          <w:tcPr>
            <w:tcW w:w="1861" w:type="dxa"/>
            <w:vMerge w:val="restart"/>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量程</w:t>
            </w:r>
          </w:p>
        </w:tc>
        <w:tc>
          <w:tcPr>
            <w:tcW w:w="1455"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电压</w:t>
            </w:r>
          </w:p>
        </w:tc>
        <w:tc>
          <w:tcPr>
            <w:tcW w:w="3800" w:type="dxa"/>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5～120V/600V(最大600V)</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vMerge w:val="continue"/>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p>
        </w:tc>
        <w:tc>
          <w:tcPr>
            <w:tcW w:w="1455"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电流</w:t>
            </w:r>
          </w:p>
        </w:tc>
        <w:tc>
          <w:tcPr>
            <w:tcW w:w="3800" w:type="dxa"/>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0～1A/5A(最大6A)</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vMerge w:val="restart"/>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吸收功耗</w:t>
            </w:r>
          </w:p>
        </w:tc>
        <w:tc>
          <w:tcPr>
            <w:tcW w:w="1455"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每路电压</w:t>
            </w:r>
          </w:p>
        </w:tc>
        <w:tc>
          <w:tcPr>
            <w:tcW w:w="3800" w:type="dxa"/>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＜0.4VA(347V)/0.2VA(150V)</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vMerge w:val="continue"/>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p>
        </w:tc>
        <w:tc>
          <w:tcPr>
            <w:tcW w:w="1455"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每路电流</w:t>
            </w:r>
          </w:p>
        </w:tc>
        <w:tc>
          <w:tcPr>
            <w:tcW w:w="3800" w:type="dxa"/>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＜0.1VA(5A)</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vMerge w:val="restart"/>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过载能力</w:t>
            </w:r>
          </w:p>
        </w:tc>
        <w:tc>
          <w:tcPr>
            <w:tcW w:w="1455"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电压</w:t>
            </w:r>
          </w:p>
        </w:tc>
        <w:tc>
          <w:tcPr>
            <w:tcW w:w="3800" w:type="dxa"/>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750V连续/1000V 10秒/1200V 3秒</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vMerge w:val="continue"/>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p>
        </w:tc>
        <w:tc>
          <w:tcPr>
            <w:tcW w:w="1455"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电流</w:t>
            </w:r>
          </w:p>
        </w:tc>
        <w:tc>
          <w:tcPr>
            <w:tcW w:w="3800" w:type="dxa"/>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2倍额定连续/10倍额定30秒</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测量系统接线方式</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三相四线/三相三线/一相二线或一相三线</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restart"/>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可编程设定</w:t>
            </w: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编程模式</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(口令)</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测量系统选择</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三相四线/三相三线/一相二线/一相三线等</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CT，PT变比</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1～10000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显示内容</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换页时间/画面选择</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通讯</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波特率：1200/2400/4800/9600/19200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校 验 位</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奇／偶／无校验位</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地址</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1～255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电能累加复位</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(口令)</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restart"/>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通讯</w:t>
            </w: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串行口</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RS485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通讯规约</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MODBUS－RTU</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restart"/>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绝缘强度</w:t>
            </w: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对象</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在输入/输出/电源之间</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试验方法</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AC2kV 1分钟 漏电流2mA</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restart"/>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电磁兼容</w:t>
            </w: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浪涌</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电源：4kV(1.2×50μs)  I/O线：2kV</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快速瞬变</w:t>
            </w:r>
          </w:p>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脉冲串</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电源：4kV,2.5kHz  I/O线：2kV, 5kHz</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静电放电</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接触放电：6kV  气隙放电：8kV</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射频电磁场</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10V/m中等强度的电磁辐射</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restart"/>
            <w:tcBorders>
              <w:top w:val="single" w:color="auto" w:sz="8" w:space="0"/>
              <w:left w:val="single" w:color="auto" w:sz="12" w:space="0"/>
              <w:bottom w:val="single" w:color="auto" w:sz="8"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工作条件</w:t>
            </w:r>
          </w:p>
        </w:tc>
        <w:tc>
          <w:tcPr>
            <w:tcW w:w="1861" w:type="dxa"/>
            <w:tcBorders>
              <w:top w:val="single" w:color="auto" w:sz="8" w:space="0"/>
              <w:left w:val="single" w:color="auto" w:sz="8" w:space="0"/>
              <w:bottom w:val="single" w:color="auto" w:sz="8"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温度</w:t>
            </w:r>
          </w:p>
        </w:tc>
        <w:tc>
          <w:tcPr>
            <w:tcW w:w="5255" w:type="dxa"/>
            <w:gridSpan w:val="2"/>
            <w:tcBorders>
              <w:top w:val="single" w:color="auto" w:sz="8" w:space="0"/>
              <w:left w:val="single" w:color="auto" w:sz="8" w:space="0"/>
              <w:bottom w:val="single" w:color="auto" w:sz="8"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-25～55℃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1220" w:type="dxa"/>
            <w:vMerge w:val="continue"/>
            <w:tcBorders>
              <w:top w:val="single" w:color="auto" w:sz="8" w:space="0"/>
              <w:left w:val="single" w:color="auto" w:sz="12" w:space="0"/>
              <w:bottom w:val="single" w:color="auto" w:sz="12" w:space="0"/>
              <w:right w:val="single" w:color="auto" w:sz="8" w:space="0"/>
            </w:tcBorders>
            <w:vAlign w:val="center"/>
          </w:tcPr>
          <w:p>
            <w:pPr>
              <w:pStyle w:val="13"/>
              <w:spacing w:line="312" w:lineRule="auto"/>
              <w:ind w:left="420" w:leftChars="0" w:hanging="420"/>
              <w:jc w:val="center"/>
              <w:rPr>
                <w:rFonts w:ascii="宋体" w:hAnsi="宋体" w:cs="宋体"/>
                <w:color w:val="auto"/>
                <w:szCs w:val="21"/>
                <w:highlight w:val="none"/>
              </w:rPr>
            </w:pPr>
          </w:p>
        </w:tc>
        <w:tc>
          <w:tcPr>
            <w:tcW w:w="1861" w:type="dxa"/>
            <w:tcBorders>
              <w:top w:val="single" w:color="auto" w:sz="8" w:space="0"/>
              <w:left w:val="single" w:color="auto" w:sz="8" w:space="0"/>
              <w:bottom w:val="single" w:color="auto" w:sz="12" w:space="0"/>
              <w:right w:val="single" w:color="auto" w:sz="8" w:space="0"/>
            </w:tcBorders>
            <w:vAlign w:val="center"/>
          </w:tcPr>
          <w:p>
            <w:pPr>
              <w:pStyle w:val="13"/>
              <w:spacing w:line="312" w:lineRule="auto"/>
              <w:ind w:left="420" w:leftChars="0" w:hanging="420"/>
              <w:rPr>
                <w:rFonts w:ascii="宋体" w:hAnsi="宋体" w:cs="宋体"/>
                <w:color w:val="auto"/>
                <w:szCs w:val="21"/>
                <w:highlight w:val="none"/>
              </w:rPr>
            </w:pPr>
            <w:r>
              <w:rPr>
                <w:rFonts w:hint="eastAsia" w:ascii="宋体" w:hAnsi="宋体" w:cs="宋体"/>
                <w:color w:val="auto"/>
                <w:szCs w:val="21"/>
                <w:highlight w:val="none"/>
              </w:rPr>
              <w:t>湿度</w:t>
            </w:r>
          </w:p>
        </w:tc>
        <w:tc>
          <w:tcPr>
            <w:tcW w:w="5255" w:type="dxa"/>
            <w:gridSpan w:val="2"/>
            <w:tcBorders>
              <w:top w:val="single" w:color="auto" w:sz="8" w:space="0"/>
              <w:left w:val="single" w:color="auto" w:sz="8" w:space="0"/>
              <w:bottom w:val="single" w:color="auto" w:sz="12" w:space="0"/>
              <w:right w:val="single" w:color="auto" w:sz="12" w:space="0"/>
            </w:tcBorders>
            <w:vAlign w:val="center"/>
          </w:tcPr>
          <w:p>
            <w:pPr>
              <w:pStyle w:val="13"/>
              <w:spacing w:line="312" w:lineRule="auto"/>
              <w:ind w:left="420" w:leftChars="0" w:hanging="420"/>
              <w:jc w:val="center"/>
              <w:rPr>
                <w:rFonts w:ascii="宋体" w:hAnsi="宋体" w:cs="宋体"/>
                <w:color w:val="auto"/>
                <w:szCs w:val="21"/>
                <w:highlight w:val="none"/>
              </w:rPr>
            </w:pPr>
            <w:r>
              <w:rPr>
                <w:rFonts w:hint="eastAsia" w:ascii="宋体" w:hAnsi="宋体" w:cs="宋体"/>
                <w:color w:val="auto"/>
                <w:szCs w:val="21"/>
                <w:highlight w:val="none"/>
              </w:rPr>
              <w:t>20～95％（无凝露）</w:t>
            </w:r>
          </w:p>
        </w:tc>
      </w:tr>
    </w:tbl>
    <w:p>
      <w:pPr>
        <w:pStyle w:val="7"/>
        <w:snapToGrid w:val="0"/>
        <w:spacing w:line="312" w:lineRule="auto"/>
        <w:ind w:left="0" w:firstLine="308" w:firstLineChars="147"/>
        <w:rPr>
          <w:rFonts w:ascii="宋体" w:hAnsi="宋体" w:cs="宋体"/>
          <w:color w:val="auto"/>
          <w:sz w:val="21"/>
          <w:szCs w:val="21"/>
          <w:highlight w:val="none"/>
        </w:rPr>
      </w:pPr>
      <w:r>
        <w:rPr>
          <w:rFonts w:hint="eastAsia" w:ascii="宋体" w:hAnsi="宋体" w:cs="宋体"/>
          <w:snapToGrid w:val="0"/>
          <w:color w:val="auto"/>
          <w:sz w:val="21"/>
          <w:szCs w:val="21"/>
          <w:highlight w:val="none"/>
        </w:rPr>
        <w:t>(3)温湿度变送器</w:t>
      </w:r>
    </w:p>
    <w:p>
      <w:pPr>
        <w:snapToGrid w:val="0"/>
        <w:spacing w:line="312"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·测量范围：-10℃～60℃;0-100%RH </w:t>
      </w:r>
    </w:p>
    <w:p>
      <w:pPr>
        <w:snapToGrid w:val="0"/>
        <w:spacing w:line="312" w:lineRule="auto"/>
        <w:jc w:val="left"/>
        <w:rPr>
          <w:rFonts w:ascii="宋体" w:hAnsi="宋体" w:cs="宋体"/>
          <w:color w:val="auto"/>
          <w:szCs w:val="21"/>
          <w:highlight w:val="none"/>
        </w:rPr>
      </w:pPr>
      <w:r>
        <w:rPr>
          <w:rFonts w:hint="eastAsia" w:ascii="宋体" w:hAnsi="宋体" w:cs="宋体"/>
          <w:color w:val="auto"/>
          <w:szCs w:val="21"/>
          <w:highlight w:val="none"/>
        </w:rPr>
        <w:t>·工作电压：DC24V</w:t>
      </w:r>
    </w:p>
    <w:p>
      <w:pPr>
        <w:snapToGrid w:val="0"/>
        <w:spacing w:line="312" w:lineRule="auto"/>
        <w:jc w:val="left"/>
        <w:rPr>
          <w:rFonts w:ascii="宋体" w:hAnsi="宋体" w:cs="宋体"/>
          <w:color w:val="auto"/>
          <w:szCs w:val="21"/>
          <w:highlight w:val="none"/>
        </w:rPr>
      </w:pPr>
      <w:r>
        <w:rPr>
          <w:rFonts w:hint="eastAsia" w:ascii="宋体" w:hAnsi="宋体" w:cs="宋体"/>
          <w:color w:val="auto"/>
          <w:szCs w:val="21"/>
          <w:highlight w:val="none"/>
        </w:rPr>
        <w:t>·测量精度：±0.5℃；±3％RH</w:t>
      </w:r>
    </w:p>
    <w:p>
      <w:pPr>
        <w:spacing w:line="312" w:lineRule="auto"/>
        <w:rPr>
          <w:rFonts w:ascii="宋体" w:hAnsi="宋体" w:cs="宋体"/>
          <w:color w:val="auto"/>
          <w:szCs w:val="21"/>
          <w:highlight w:val="none"/>
        </w:rPr>
      </w:pPr>
      <w:r>
        <w:rPr>
          <w:rFonts w:hint="eastAsia" w:ascii="宋体" w:hAnsi="宋体" w:cs="宋体"/>
          <w:color w:val="auto"/>
          <w:szCs w:val="21"/>
          <w:highlight w:val="none"/>
        </w:rPr>
        <w:t>·输出信号：RS485</w:t>
      </w:r>
    </w:p>
    <w:p>
      <w:pPr>
        <w:spacing w:line="312" w:lineRule="auto"/>
        <w:rPr>
          <w:rFonts w:ascii="宋体" w:hAnsi="宋体" w:cs="宋体"/>
          <w:color w:val="auto"/>
          <w:szCs w:val="21"/>
          <w:highlight w:val="none"/>
        </w:rPr>
      </w:pPr>
      <w:r>
        <w:rPr>
          <w:rFonts w:hint="eastAsia" w:ascii="宋体" w:hAnsi="宋体" w:cs="宋体"/>
          <w:color w:val="auto"/>
          <w:szCs w:val="21"/>
          <w:highlight w:val="none"/>
        </w:rPr>
        <w:t>·显示：大屏幕液晶显示</w:t>
      </w:r>
    </w:p>
    <w:p>
      <w:pPr>
        <w:pStyle w:val="67"/>
        <w:spacing w:line="312" w:lineRule="auto"/>
        <w:rPr>
          <w:rFonts w:ascii="宋体" w:hAnsi="宋体" w:cs="宋体"/>
          <w:b/>
          <w:bCs/>
          <w:color w:val="auto"/>
          <w:sz w:val="21"/>
          <w:szCs w:val="21"/>
          <w:highlight w:val="none"/>
          <w:lang w:eastAsia="zh-CN"/>
        </w:rPr>
      </w:pPr>
      <w:bookmarkStart w:id="328" w:name="_Toc87864584"/>
      <w:bookmarkStart w:id="329" w:name="_Toc143395018"/>
      <w:bookmarkStart w:id="330" w:name="_Toc91054384"/>
      <w:r>
        <w:rPr>
          <w:rFonts w:hint="eastAsia" w:ascii="宋体" w:hAnsi="宋体" w:cs="宋体"/>
          <w:b/>
          <w:bCs/>
          <w:color w:val="auto"/>
          <w:sz w:val="21"/>
          <w:szCs w:val="21"/>
          <w:highlight w:val="none"/>
          <w:lang w:eastAsia="zh-CN"/>
        </w:rPr>
        <w:t>八）钢管</w:t>
      </w:r>
    </w:p>
    <w:bookmarkEnd w:id="328"/>
    <w:bookmarkEnd w:id="329"/>
    <w:bookmarkEnd w:id="330"/>
    <w:p>
      <w:pPr>
        <w:pStyle w:val="67"/>
        <w:spacing w:line="312" w:lineRule="auto"/>
        <w:rPr>
          <w:rFonts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t>1.供货范围</w:t>
      </w:r>
    </w:p>
    <w:p>
      <w:pPr>
        <w:spacing w:line="312" w:lineRule="auto"/>
        <w:ind w:firstLine="210" w:firstLineChars="100"/>
        <w:rPr>
          <w:rFonts w:ascii="宋体" w:hAnsi="宋体" w:cs="宋体"/>
          <w:color w:val="auto"/>
          <w:kern w:val="15"/>
          <w:szCs w:val="21"/>
          <w:highlight w:val="none"/>
        </w:rPr>
      </w:pPr>
      <w:r>
        <w:rPr>
          <w:rFonts w:hint="eastAsia" w:ascii="宋体" w:hAnsi="宋体" w:cs="宋体"/>
          <w:color w:val="auto"/>
          <w:kern w:val="15"/>
          <w:szCs w:val="21"/>
          <w:highlight w:val="none"/>
        </w:rPr>
        <w:t>（1）本部分供货范围包括钢管供货（含内外防腐）；</w:t>
      </w:r>
    </w:p>
    <w:p>
      <w:pPr>
        <w:spacing w:line="312" w:lineRule="auto"/>
        <w:ind w:firstLine="226" w:firstLineChars="100"/>
        <w:rPr>
          <w:rFonts w:ascii="宋体" w:hAnsi="宋体" w:cs="宋体"/>
          <w:color w:val="auto"/>
          <w:spacing w:val="8"/>
          <w:szCs w:val="21"/>
          <w:highlight w:val="none"/>
        </w:rPr>
      </w:pPr>
      <w:r>
        <w:rPr>
          <w:rFonts w:hint="eastAsia" w:ascii="宋体" w:hAnsi="宋体" w:cs="宋体"/>
          <w:color w:val="auto"/>
          <w:spacing w:val="8"/>
          <w:szCs w:val="21"/>
          <w:highlight w:val="none"/>
        </w:rPr>
        <w:t>（2）所有管道均为指导安装；</w:t>
      </w:r>
    </w:p>
    <w:p>
      <w:pPr>
        <w:pStyle w:val="67"/>
        <w:spacing w:line="312" w:lineRule="auto"/>
        <w:rPr>
          <w:rFonts w:ascii="宋体" w:hAnsi="宋体" w:cs="宋体"/>
          <w:b/>
          <w:bCs/>
          <w:color w:val="auto"/>
          <w:sz w:val="21"/>
          <w:szCs w:val="21"/>
          <w:highlight w:val="none"/>
          <w:lang w:eastAsia="zh-CN"/>
        </w:rPr>
      </w:pPr>
      <w:r>
        <w:rPr>
          <w:rFonts w:hint="eastAsia" w:ascii="宋体" w:hAnsi="宋体" w:cs="宋体"/>
          <w:b/>
          <w:color w:val="auto"/>
          <w:sz w:val="21"/>
          <w:szCs w:val="21"/>
          <w:highlight w:val="none"/>
          <w:lang w:eastAsia="zh-CN"/>
        </w:rPr>
        <w:t>2.</w:t>
      </w:r>
      <w:r>
        <w:rPr>
          <w:rFonts w:hint="eastAsia" w:ascii="宋体" w:hAnsi="宋体" w:cs="宋体"/>
          <w:b/>
          <w:bCs/>
          <w:color w:val="auto"/>
          <w:sz w:val="21"/>
          <w:szCs w:val="21"/>
          <w:highlight w:val="none"/>
          <w:lang w:eastAsia="zh-CN"/>
        </w:rPr>
        <w:t>技术要求</w:t>
      </w:r>
    </w:p>
    <w:p>
      <w:pPr>
        <w:pStyle w:val="67"/>
        <w:spacing w:line="312"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1）执行标准</w:t>
      </w:r>
    </w:p>
    <w:p>
      <w:pPr>
        <w:pStyle w:val="67"/>
        <w:spacing w:line="312" w:lineRule="auto"/>
        <w:ind w:firstLine="420" w:firstLineChars="200"/>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螺旋钢管按SY/T 5037-2018标准生产。</w:t>
      </w:r>
    </w:p>
    <w:p>
      <w:pPr>
        <w:pStyle w:val="67"/>
        <w:spacing w:line="312"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2）原材料产地及材质要求</w:t>
      </w:r>
    </w:p>
    <w:p>
      <w:pPr>
        <w:pStyle w:val="67"/>
        <w:spacing w:line="312" w:lineRule="auto"/>
        <w:ind w:firstLine="420" w:firstLineChars="200"/>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原材料采用宝钢、鞍钢、武钢、沙钢品牌，材质为Q235B钢材，卷板制作。</w:t>
      </w:r>
    </w:p>
    <w:p>
      <w:pPr>
        <w:pStyle w:val="67"/>
        <w:spacing w:line="312"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3）性能指标</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(1)壁厚：详见招标清单。</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(2)定尺长度12米。</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(3)卷管加工应符合《工业金属管道工程施工及验收规范》（GB50235-2010）的要求，允许周长偏差及圆度偏差如下：</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263"/>
        <w:gridCol w:w="2264"/>
        <w:gridCol w:w="2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公称直径（mm）</w:t>
            </w:r>
          </w:p>
        </w:tc>
        <w:tc>
          <w:tcPr>
            <w:tcW w:w="2263"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800-1200</w:t>
            </w:r>
          </w:p>
        </w:tc>
        <w:tc>
          <w:tcPr>
            <w:tcW w:w="2264"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1400-1600</w:t>
            </w:r>
          </w:p>
        </w:tc>
        <w:tc>
          <w:tcPr>
            <w:tcW w:w="2264"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1000-2400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周长偏差(mm)</w:t>
            </w:r>
          </w:p>
        </w:tc>
        <w:tc>
          <w:tcPr>
            <w:tcW w:w="2263"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±7</w:t>
            </w:r>
          </w:p>
        </w:tc>
        <w:tc>
          <w:tcPr>
            <w:tcW w:w="2264"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±9</w:t>
            </w:r>
          </w:p>
        </w:tc>
        <w:tc>
          <w:tcPr>
            <w:tcW w:w="2264"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圆度偏差(mm)</w:t>
            </w:r>
          </w:p>
        </w:tc>
        <w:tc>
          <w:tcPr>
            <w:tcW w:w="2263"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4</w:t>
            </w:r>
          </w:p>
        </w:tc>
        <w:tc>
          <w:tcPr>
            <w:tcW w:w="2264"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6</w:t>
            </w:r>
          </w:p>
        </w:tc>
        <w:tc>
          <w:tcPr>
            <w:tcW w:w="2264" w:type="dxa"/>
          </w:tcPr>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8</w:t>
            </w:r>
          </w:p>
        </w:tc>
      </w:tr>
    </w:tbl>
    <w:p>
      <w:pPr>
        <w:pStyle w:val="67"/>
        <w:spacing w:line="312"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4)管道防腐</w:t>
      </w:r>
    </w:p>
    <w:p>
      <w:pPr>
        <w:spacing w:line="312"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管道外防腐采用双层熔结环氧粉末加强级防腐，双层环氧粉末喷涂为复合涂层结构，由防腐型环氧粉末底层和抗机械损伤型环氧粉末面层一次喷涂成膜完成，外防腐涂层厚度不小于825μm。环氧粉末质量、性能、施工及验收执行《埋地钢质管道双层熔结环氧粉末外涂层技术规范》。双层环氧粉末喷涂，内防腐涂层厚度不得小于525μm。内焊缝防腐补口在现场进行，采用现场防腐专用涂料，其成分为双组份液体环氧树脂，并与环氧粉末属于同一系列相容性的产品，其干膜厚度不得小于525μm。</w:t>
      </w:r>
    </w:p>
    <w:p>
      <w:pPr>
        <w:spacing w:line="312"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（2）管体及补口处表面预处理均达到《涂装前钢材表面预处理规范》</w:t>
      </w:r>
    </w:p>
    <w:p>
      <w:pPr>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Q/CNPC38-2002）、《熔融结合环氧粉末涂料的防腐蚀涂装》（GB/T18593-2001）和相关的技术要求，外焊缝防腐补口在现场进行，采用现场防腐专用涂料，其成分为双组份液体环氧树脂，并与环氧粉末属于同一系列相容性产品，其干膜厚度不得小于825μm。</w:t>
      </w:r>
    </w:p>
    <w:p>
      <w:pPr>
        <w:spacing w:line="312"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（3）管道内防腐采用（SY/T 0407-97）中规定的Sa2.5级的要求，补口操作人员须持有厂家和监理部门发放的操作合格证和上岗证上岗。</w:t>
      </w:r>
    </w:p>
    <w:p>
      <w:pPr>
        <w:pStyle w:val="67"/>
        <w:spacing w:line="312"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5)其他要求</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(1)钢管承压必须符合相应标准。</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(2)钢管生产技术要求按国家建材相关标准。</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(3)钢管采用双面埋弧焊法焊接，内外埋弧焊缝各不少于一道，钢管焊缝应按《承压设备无损检测》（JB/T4730.3的T级标准进行超声波无损探伤检测，检测数量为100%，检验技术标准不得低于B级；按《承压设备无损检测》（JB/T4730.2的Ⅲ级标准进行X射线探伤检验，检验数量为5%，检验技术标准为AB级。</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(4)化学成分、力学性能必须按照国家相应规定执行。</w:t>
      </w:r>
    </w:p>
    <w:p>
      <w:pPr>
        <w:pStyle w:val="67"/>
        <w:spacing w:line="312"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(5)每根钢管出厂前必须进行100%焊缝超声波探伤及水压试验（按相应标准检验）。</w:t>
      </w:r>
    </w:p>
    <w:p>
      <w:pPr>
        <w:spacing w:line="312" w:lineRule="auto"/>
        <w:rPr>
          <w:rFonts w:ascii="宋体" w:hAnsi="宋体" w:cs="宋体"/>
          <w:b/>
          <w:color w:val="auto"/>
          <w:szCs w:val="21"/>
          <w:highlight w:val="none"/>
        </w:rPr>
      </w:pPr>
    </w:p>
    <w:p>
      <w:pPr>
        <w:spacing w:line="312" w:lineRule="auto"/>
        <w:rPr>
          <w:rFonts w:ascii="宋体" w:hAnsi="宋体" w:cs="宋体"/>
          <w:b/>
          <w:color w:val="auto"/>
          <w:szCs w:val="21"/>
          <w:highlight w:val="none"/>
        </w:rPr>
      </w:pPr>
      <w:r>
        <w:rPr>
          <w:rFonts w:hint="eastAsia" w:ascii="宋体" w:hAnsi="宋体" w:cs="宋体"/>
          <w:b/>
          <w:color w:val="auto"/>
          <w:szCs w:val="21"/>
          <w:highlight w:val="none"/>
        </w:rPr>
        <w:t>九）除臭设备</w:t>
      </w:r>
    </w:p>
    <w:p>
      <w:pPr>
        <w:pStyle w:val="4"/>
        <w:spacing w:line="312" w:lineRule="auto"/>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1.供货范围</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本工程按高效生物除臭工艺进行设计，由投标人负责高效生物除臭系统、风机、水泵、阀门、喷淋管路、电气、自控、仪表、系统内部电缆、系统内连接管道等设计、设备供货、运输、安装、调试、试运行、验收、技术培训及售后服务等，保证达到工程设计要求。</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本工程为交钥匙工程，投标人提供的除臭系统设备应为成套装置，包括高效生物除臭系统、风机、水泵、阀门、喷淋管路、电气、自控、仪表、系统内部电缆、系统内连接管道及其他安全运行的相关附件。本次招标范围包括以下（但不限于此）：</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供货范围：高效生物除臭系统，风机、水泵、阀门、喷淋管路、电气、自控、仪表、系统内部电缆、系统内连接管道全部包含在本合同范围。</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电源：招标方将电源线接至现场控制柜断路器上端，信号线接入控制柜内。</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供水：设备使用厂区中水或自来水，招标方提供供水管至投标方指定位置。</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排污：招标方提供排水管至投标方指定位置。</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土建：招标方负责提供除臭系统放置的基础。</w:t>
      </w:r>
    </w:p>
    <w:p>
      <w:pPr>
        <w:pStyle w:val="62"/>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活性污泥：招标方提供一路活性污泥接至投标方指定位置。</w:t>
      </w:r>
    </w:p>
    <w:p>
      <w:pPr>
        <w:pStyle w:val="3"/>
        <w:spacing w:line="312" w:lineRule="auto"/>
        <w:ind w:firstLine="422" w:firstLineChars="200"/>
        <w:jc w:val="left"/>
        <w:rPr>
          <w:rFonts w:cs="宋体"/>
          <w:color w:val="auto"/>
          <w:sz w:val="21"/>
          <w:szCs w:val="21"/>
          <w:highlight w:val="none"/>
        </w:rPr>
      </w:pPr>
      <w:r>
        <w:rPr>
          <w:rFonts w:hint="eastAsia" w:cs="宋体"/>
          <w:color w:val="auto"/>
          <w:sz w:val="21"/>
          <w:szCs w:val="21"/>
          <w:highlight w:val="none"/>
        </w:rPr>
        <w:t>投标方负责所供货设备的设计、供货、安装及调试，确保整套设备运转良好和臭气达标排放。</w:t>
      </w:r>
    </w:p>
    <w:p>
      <w:pPr>
        <w:pStyle w:val="3"/>
        <w:spacing w:line="312" w:lineRule="auto"/>
        <w:jc w:val="left"/>
        <w:rPr>
          <w:rFonts w:cs="宋体"/>
          <w:color w:val="auto"/>
          <w:sz w:val="21"/>
          <w:szCs w:val="21"/>
          <w:highlight w:val="none"/>
        </w:rPr>
      </w:pPr>
      <w:r>
        <w:rPr>
          <w:rFonts w:hint="eastAsia" w:cs="宋体"/>
          <w:color w:val="auto"/>
          <w:sz w:val="21"/>
          <w:szCs w:val="21"/>
          <w:highlight w:val="none"/>
        </w:rPr>
        <w:t>2.供货清单</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标人提供的除臭装置应为成套装置，包括高效生物除臭系统、风机、水泵、阀门、喷淋管路、电气、自控、仪表、系统内部电缆、系统内连接管道等设备。投标人应配套提供系统内所有设备及材料和有效运行所需的全部附件。</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投标人需根据招标人提供的图纸及技术要求，对每个系统列出设备材料详细清单，注明所有设备的品牌、尺寸、规格参数、材质、产地等，所有费用应全部包含在总价内，缺报、少报的货物或项目免费提供。</w:t>
      </w:r>
    </w:p>
    <w:p>
      <w:pPr>
        <w:spacing w:line="312"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主要设备及材料清单（不限于此）如下：</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49"/>
        <w:gridCol w:w="1136"/>
        <w:gridCol w:w="3401"/>
        <w:gridCol w:w="427"/>
        <w:gridCol w:w="566"/>
        <w:gridCol w:w="851"/>
        <w:gridCol w:w="173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编号</w:t>
            </w:r>
          </w:p>
        </w:tc>
        <w:tc>
          <w:tcPr>
            <w:tcW w:w="1136"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名   称</w:t>
            </w:r>
          </w:p>
        </w:tc>
        <w:tc>
          <w:tcPr>
            <w:tcW w:w="3401"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规  格</w:t>
            </w:r>
          </w:p>
        </w:tc>
        <w:tc>
          <w:tcPr>
            <w:tcW w:w="427"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单位</w:t>
            </w:r>
          </w:p>
        </w:tc>
        <w:tc>
          <w:tcPr>
            <w:tcW w:w="566"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数量</w:t>
            </w:r>
          </w:p>
        </w:tc>
        <w:tc>
          <w:tcPr>
            <w:tcW w:w="851"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备注</w:t>
            </w:r>
          </w:p>
        </w:tc>
        <w:tc>
          <w:tcPr>
            <w:tcW w:w="1734"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推荐品牌（或</w:t>
            </w:r>
          </w:p>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同档次及以上品牌）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widowControl/>
              <w:spacing w:line="312"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一</w:t>
            </w:r>
          </w:p>
        </w:tc>
        <w:tc>
          <w:tcPr>
            <w:tcW w:w="6381" w:type="dxa"/>
            <w:gridSpan w:val="5"/>
            <w:vAlign w:val="center"/>
          </w:tcPr>
          <w:p>
            <w:pPr>
              <w:widowControl/>
              <w:spacing w:line="312"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高效生物除臭系统</w:t>
            </w:r>
          </w:p>
        </w:tc>
        <w:tc>
          <w:tcPr>
            <w:tcW w:w="1734" w:type="dxa"/>
            <w:vAlign w:val="center"/>
          </w:tcPr>
          <w:p>
            <w:pPr>
              <w:widowControl/>
              <w:spacing w:line="312" w:lineRule="auto"/>
              <w:jc w:val="center"/>
              <w:rPr>
                <w:rFonts w:ascii="宋体" w:hAnsi="宋体" w:cs="宋体"/>
                <w:b/>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高效生物除臭设备</w:t>
            </w:r>
          </w:p>
        </w:tc>
        <w:tc>
          <w:tcPr>
            <w:tcW w:w="3401" w:type="dxa"/>
            <w:vAlign w:val="center"/>
          </w:tcPr>
          <w:p>
            <w:pPr>
              <w:widowControl/>
              <w:spacing w:line="312" w:lineRule="auto"/>
              <w:rPr>
                <w:rFonts w:ascii="宋体" w:hAnsi="宋体" w:cs="宋体"/>
                <w:color w:val="auto"/>
                <w:kern w:val="0"/>
                <w:szCs w:val="21"/>
                <w:highlight w:val="none"/>
              </w:rPr>
            </w:pPr>
            <w:bookmarkStart w:id="331" w:name="OLE_LINK8"/>
            <w:bookmarkStart w:id="332" w:name="OLE_LINK10"/>
            <w:r>
              <w:rPr>
                <w:rFonts w:hint="eastAsia" w:ascii="宋体" w:hAnsi="宋体" w:cs="宋体"/>
                <w:color w:val="auto"/>
                <w:kern w:val="0"/>
                <w:szCs w:val="21"/>
                <w:highlight w:val="none"/>
              </w:rPr>
              <w:t>生物滤料尺寸：14000*5000</w:t>
            </w:r>
          </w:p>
          <w:p>
            <w:pPr>
              <w:spacing w:line="312" w:lineRule="auto"/>
              <w:rPr>
                <w:rFonts w:ascii="宋体" w:hAnsi="宋体" w:cs="宋体"/>
                <w:color w:val="auto"/>
                <w:szCs w:val="21"/>
                <w:highlight w:val="none"/>
              </w:rPr>
            </w:pPr>
            <w:r>
              <w:rPr>
                <w:rFonts w:hint="eastAsia" w:ascii="宋体" w:hAnsi="宋体" w:cs="宋体"/>
                <w:color w:val="auto"/>
                <w:kern w:val="0"/>
                <w:szCs w:val="21"/>
                <w:highlight w:val="none"/>
              </w:rPr>
              <w:t>材    质：304不锈钢或</w:t>
            </w:r>
            <w:r>
              <w:rPr>
                <w:rFonts w:hint="eastAsia" w:ascii="宋体" w:hAnsi="宋体" w:cs="宋体"/>
                <w:color w:val="auto"/>
                <w:szCs w:val="21"/>
                <w:highlight w:val="none"/>
              </w:rPr>
              <w:t>碳钢防腐</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处理风量：</w:t>
            </w:r>
            <w:r>
              <w:rPr>
                <w:rFonts w:ascii="宋体" w:hAnsi="宋体" w:cs="宋体"/>
                <w:color w:val="auto"/>
                <w:kern w:val="0"/>
                <w:szCs w:val="21"/>
                <w:highlight w:val="none"/>
              </w:rPr>
              <w:t>30000m</w:t>
            </w:r>
            <w:r>
              <w:rPr>
                <w:rFonts w:ascii="宋体" w:hAnsi="宋体" w:cs="宋体"/>
                <w:color w:val="auto"/>
                <w:kern w:val="0"/>
                <w:szCs w:val="21"/>
                <w:highlight w:val="none"/>
                <w:vertAlign w:val="superscript"/>
              </w:rPr>
              <w:t>3</w:t>
            </w:r>
            <w:r>
              <w:rPr>
                <w:rFonts w:ascii="宋体" w:hAnsi="宋体" w:cs="宋体"/>
                <w:color w:val="auto"/>
                <w:kern w:val="0"/>
                <w:szCs w:val="21"/>
                <w:highlight w:val="none"/>
              </w:rPr>
              <w:t>/h</w:t>
            </w:r>
          </w:p>
          <w:p>
            <w:pPr>
              <w:widowControl/>
              <w:spacing w:line="312"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滤床有效停留时间：≥11s</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配置说明：含填料</w:t>
            </w:r>
            <w:bookmarkEnd w:id="331"/>
            <w:bookmarkEnd w:id="332"/>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离心风机</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风    量：</w:t>
            </w:r>
            <w:r>
              <w:rPr>
                <w:rFonts w:ascii="宋体" w:hAnsi="宋体" w:cs="宋体"/>
                <w:color w:val="auto"/>
                <w:kern w:val="0"/>
                <w:szCs w:val="21"/>
                <w:highlight w:val="none"/>
              </w:rPr>
              <w:t>30000m</w:t>
            </w:r>
            <w:r>
              <w:rPr>
                <w:rFonts w:ascii="宋体" w:hAnsi="宋体" w:cs="宋体"/>
                <w:color w:val="auto"/>
                <w:kern w:val="0"/>
                <w:szCs w:val="21"/>
                <w:highlight w:val="none"/>
                <w:vertAlign w:val="superscript"/>
              </w:rPr>
              <w:t>3</w:t>
            </w:r>
            <w:r>
              <w:rPr>
                <w:rFonts w:ascii="宋体" w:hAnsi="宋体" w:cs="宋体"/>
                <w:color w:val="auto"/>
                <w:kern w:val="0"/>
                <w:szCs w:val="21"/>
                <w:highlight w:val="none"/>
              </w:rPr>
              <w:t>/h</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全    压：2200Pa</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功    率：37 kW</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材    质：玻璃钢</w:t>
            </w:r>
          </w:p>
          <w:p>
            <w:pPr>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配置说明：配套电机、防震垫、隔音箱</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851" w:type="dxa"/>
            <w:vAlign w:val="center"/>
          </w:tcPr>
          <w:p>
            <w:pPr>
              <w:widowControl/>
              <w:spacing w:line="312" w:lineRule="auto"/>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杭州金智、苏州顶裕、南京恒驰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循环洗涤泵</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流    量：50m</w:t>
            </w:r>
            <w:r>
              <w:rPr>
                <w:rFonts w:hint="eastAsia" w:ascii="宋体" w:hAnsi="宋体" w:cs="宋体"/>
                <w:color w:val="auto"/>
                <w:kern w:val="0"/>
                <w:szCs w:val="21"/>
                <w:highlight w:val="none"/>
                <w:vertAlign w:val="superscript"/>
              </w:rPr>
              <w:t>3</w:t>
            </w:r>
            <w:r>
              <w:rPr>
                <w:rFonts w:hint="eastAsia" w:ascii="宋体" w:hAnsi="宋体" w:cs="宋体"/>
                <w:color w:val="auto"/>
                <w:kern w:val="0"/>
                <w:szCs w:val="21"/>
                <w:highlight w:val="none"/>
              </w:rPr>
              <w:t>/h</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扬    程：25m</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功    率：5.5 kW </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材    质：不锈钢316</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851"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2用1备</w:t>
            </w:r>
          </w:p>
        </w:tc>
        <w:tc>
          <w:tcPr>
            <w:tcW w:w="1734"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南方泵业、广东粤华、上海凯泉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喷淋系统</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材    质：UPVC</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含喷淋管道、弯头等</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项</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电器柜</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材    质：不锈钢304</w:t>
            </w:r>
          </w:p>
          <w:p>
            <w:pPr>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配置说明：含PLC、触摸屏等</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件</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PH计</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量    程：0-14</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上海霖诺、台湾上泰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液位开关</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上海思派、佛山流仪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排放管道</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规    格：≥DN700</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高    度：15m</w:t>
            </w:r>
          </w:p>
          <w:p>
            <w:pPr>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材    质：玻璃钢</w:t>
            </w:r>
          </w:p>
          <w:p>
            <w:pPr>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配置说明：含碳钢防腐护塔、爬梯、避雷针、取样平台</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系统内</w:t>
            </w:r>
          </w:p>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连接管道</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规    格：≥DN700</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材    质：不锈钢304</w:t>
            </w:r>
          </w:p>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配置说明：含直管、弯头、法兰、阀门等</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批</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系统内电缆</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型    号：YJV，KVV</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批</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上上、晨光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49" w:type="dxa"/>
            <w:vAlign w:val="center"/>
          </w:tcPr>
          <w:p>
            <w:pPr>
              <w:pStyle w:val="58"/>
              <w:widowControl/>
              <w:numPr>
                <w:ilvl w:val="0"/>
                <w:numId w:val="10"/>
              </w:numPr>
              <w:spacing w:line="312" w:lineRule="auto"/>
              <w:ind w:left="0" w:firstLine="0" w:firstLineChars="0"/>
              <w:jc w:val="center"/>
              <w:rPr>
                <w:rFonts w:ascii="宋体" w:hAnsi="宋体" w:cs="宋体"/>
                <w:color w:val="auto"/>
                <w:kern w:val="0"/>
                <w:szCs w:val="21"/>
                <w:highlight w:val="none"/>
              </w:rPr>
            </w:pPr>
          </w:p>
        </w:tc>
        <w:tc>
          <w:tcPr>
            <w:tcW w:w="113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系统内</w:t>
            </w:r>
          </w:p>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安装配件</w:t>
            </w:r>
          </w:p>
        </w:tc>
        <w:tc>
          <w:tcPr>
            <w:tcW w:w="3401" w:type="dxa"/>
            <w:vAlign w:val="center"/>
          </w:tcPr>
          <w:p>
            <w:pPr>
              <w:widowControl/>
              <w:spacing w:line="312" w:lineRule="auto"/>
              <w:rPr>
                <w:rFonts w:ascii="宋体" w:hAnsi="宋体" w:cs="宋体"/>
                <w:color w:val="auto"/>
                <w:kern w:val="0"/>
                <w:szCs w:val="21"/>
                <w:highlight w:val="none"/>
              </w:rPr>
            </w:pPr>
            <w:r>
              <w:rPr>
                <w:rFonts w:hint="eastAsia" w:ascii="宋体" w:hAnsi="宋体" w:cs="宋体"/>
                <w:color w:val="auto"/>
                <w:kern w:val="0"/>
                <w:szCs w:val="21"/>
                <w:highlight w:val="none"/>
              </w:rPr>
              <w:t>配置说明：紧固件，螺栓，垫片</w:t>
            </w:r>
          </w:p>
        </w:tc>
        <w:tc>
          <w:tcPr>
            <w:tcW w:w="427"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批</w:t>
            </w:r>
          </w:p>
        </w:tc>
        <w:tc>
          <w:tcPr>
            <w:tcW w:w="566" w:type="dxa"/>
            <w:vAlign w:val="center"/>
          </w:tcPr>
          <w:p>
            <w:pPr>
              <w:widowControl/>
              <w:spacing w:line="312"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851" w:type="dxa"/>
            <w:vAlign w:val="center"/>
          </w:tcPr>
          <w:p>
            <w:pPr>
              <w:widowControl/>
              <w:spacing w:line="312" w:lineRule="auto"/>
              <w:jc w:val="center"/>
              <w:rPr>
                <w:rFonts w:ascii="宋体" w:hAnsi="宋体" w:cs="宋体"/>
                <w:color w:val="auto"/>
                <w:kern w:val="0"/>
                <w:szCs w:val="21"/>
                <w:highlight w:val="none"/>
              </w:rPr>
            </w:pPr>
          </w:p>
        </w:tc>
        <w:tc>
          <w:tcPr>
            <w:tcW w:w="1734" w:type="dxa"/>
            <w:vAlign w:val="center"/>
          </w:tcPr>
          <w:p>
            <w:pPr>
              <w:widowControl/>
              <w:spacing w:line="312" w:lineRule="auto"/>
              <w:jc w:val="center"/>
              <w:rPr>
                <w:rFonts w:ascii="宋体" w:hAnsi="宋体" w:cs="宋体"/>
                <w:color w:val="auto"/>
                <w:kern w:val="0"/>
                <w:szCs w:val="21"/>
                <w:highlight w:val="none"/>
              </w:rPr>
            </w:pPr>
          </w:p>
        </w:tc>
      </w:tr>
    </w:tbl>
    <w:p>
      <w:pPr>
        <w:pStyle w:val="57"/>
        <w:spacing w:line="312" w:lineRule="auto"/>
        <w:ind w:firstLine="420"/>
        <w:rPr>
          <w:rFonts w:ascii="宋体" w:hAnsi="宋体" w:cs="宋体"/>
          <w:color w:val="auto"/>
          <w:szCs w:val="21"/>
          <w:highlight w:val="none"/>
        </w:rPr>
      </w:pPr>
      <w:bookmarkStart w:id="333" w:name="_Toc25065261"/>
      <w:r>
        <w:rPr>
          <w:rFonts w:hint="eastAsia" w:ascii="宋体" w:hAnsi="宋体" w:cs="宋体"/>
          <w:color w:val="auto"/>
          <w:szCs w:val="21"/>
          <w:highlight w:val="none"/>
        </w:rPr>
        <w:t>以上清单作为供货最低要求，投标人提供的设备材料数量、材质、规格不能低于清单所要求的。供货商提供的除臭装置应为成套装置，是交钥匙工程，如有设备清单中未包括或设备材料数量不足但确系实际成套装置所需要的，投标人须在投标阶段自行考虑，将其计入总报价中。</w:t>
      </w:r>
    </w:p>
    <w:p>
      <w:pPr>
        <w:pStyle w:val="3"/>
        <w:spacing w:line="312" w:lineRule="auto"/>
        <w:jc w:val="both"/>
        <w:rPr>
          <w:rFonts w:cs="宋体"/>
          <w:color w:val="auto"/>
          <w:sz w:val="21"/>
          <w:szCs w:val="21"/>
          <w:highlight w:val="none"/>
        </w:rPr>
      </w:pPr>
      <w:r>
        <w:rPr>
          <w:rFonts w:hint="eastAsia" w:cs="宋体"/>
          <w:color w:val="auto"/>
          <w:sz w:val="21"/>
          <w:szCs w:val="21"/>
          <w:highlight w:val="none"/>
        </w:rPr>
        <w:t>3.基本要求</w:t>
      </w:r>
    </w:p>
    <w:p>
      <w:pPr>
        <w:pStyle w:val="4"/>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参考标准</w:t>
      </w:r>
    </w:p>
    <w:p>
      <w:pPr>
        <w:pStyle w:val="57"/>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投标人供货范围的设备、材料标准择优采用国标、部标、行业标准，对国外引进的材料、设备、参考国际标准。主要标准有：</w:t>
      </w:r>
    </w:p>
    <w:p>
      <w:pPr>
        <w:pStyle w:val="2"/>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1、GB18918-2002   《城镇污水处理厂污染物排放标准》</w:t>
      </w:r>
    </w:p>
    <w:p>
      <w:pPr>
        <w:pStyle w:val="2"/>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2、GB3095         《大气环境质量标准》</w:t>
      </w:r>
    </w:p>
    <w:p>
      <w:pPr>
        <w:pStyle w:val="2"/>
        <w:tabs>
          <w:tab w:val="left" w:pos="2625"/>
        </w:tabs>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3、GB16297-1996    《大气污染物综合排放标准》</w:t>
      </w:r>
    </w:p>
    <w:p>
      <w:pPr>
        <w:pStyle w:val="2"/>
        <w:tabs>
          <w:tab w:val="left" w:pos="2865"/>
        </w:tabs>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4、GB14554-93</w:t>
      </w:r>
      <w:r>
        <w:rPr>
          <w:rFonts w:hint="eastAsia" w:ascii="宋体" w:hAnsi="宋体" w:cs="宋体"/>
          <w:color w:val="auto"/>
          <w:szCs w:val="21"/>
          <w:highlight w:val="none"/>
        </w:rPr>
        <w:tab/>
      </w:r>
      <w:r>
        <w:rPr>
          <w:rFonts w:hint="eastAsia" w:ascii="宋体" w:hAnsi="宋体" w:cs="宋体"/>
          <w:color w:val="auto"/>
          <w:szCs w:val="21"/>
          <w:highlight w:val="none"/>
        </w:rPr>
        <w:t>《恶臭污染物排放标准值》</w:t>
      </w:r>
    </w:p>
    <w:p>
      <w:pPr>
        <w:pStyle w:val="2"/>
        <w:tabs>
          <w:tab w:val="left" w:pos="2865"/>
        </w:tabs>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5、GB12348</w:t>
      </w:r>
      <w:r>
        <w:rPr>
          <w:rFonts w:hint="eastAsia" w:ascii="宋体" w:hAnsi="宋体" w:cs="宋体"/>
          <w:color w:val="auto"/>
          <w:szCs w:val="21"/>
          <w:highlight w:val="none"/>
        </w:rPr>
        <w:tab/>
      </w:r>
      <w:r>
        <w:rPr>
          <w:rFonts w:hint="eastAsia" w:ascii="宋体" w:hAnsi="宋体" w:cs="宋体"/>
          <w:color w:val="auto"/>
          <w:szCs w:val="21"/>
          <w:highlight w:val="none"/>
        </w:rPr>
        <w:t>《工厂企业边界噪声标准》</w:t>
      </w:r>
    </w:p>
    <w:p>
      <w:pPr>
        <w:pStyle w:val="2"/>
        <w:tabs>
          <w:tab w:val="left" w:pos="2865"/>
        </w:tabs>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6、GB/T14675</w:t>
      </w:r>
      <w:r>
        <w:rPr>
          <w:rFonts w:hint="eastAsia" w:ascii="宋体" w:hAnsi="宋体" w:cs="宋体"/>
          <w:color w:val="auto"/>
          <w:szCs w:val="21"/>
          <w:highlight w:val="none"/>
        </w:rPr>
        <w:tab/>
      </w:r>
      <w:r>
        <w:rPr>
          <w:rFonts w:hint="eastAsia" w:ascii="宋体" w:hAnsi="宋体" w:cs="宋体"/>
          <w:color w:val="auto"/>
          <w:szCs w:val="21"/>
          <w:highlight w:val="none"/>
        </w:rPr>
        <w:t>《空气质量恶臭的测定、三点比较式臭袋法》</w:t>
      </w:r>
    </w:p>
    <w:p>
      <w:pPr>
        <w:pStyle w:val="2"/>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7、GB50019-2003    《釆暖通风与空气调节设计规范》</w:t>
      </w:r>
    </w:p>
    <w:p>
      <w:pPr>
        <w:pStyle w:val="2"/>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8、GB50231-98      《机械设备安装工程施工及验收通用规范》</w:t>
      </w:r>
    </w:p>
    <w:p>
      <w:pPr>
        <w:pStyle w:val="2"/>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9、GB50243-2002    《通风与空调工程施工质量验收规范》</w:t>
      </w:r>
    </w:p>
    <w:p>
      <w:pPr>
        <w:pStyle w:val="2"/>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10、GB3797-89      《装有电子器件电控箱技术条件》</w:t>
      </w:r>
    </w:p>
    <w:p>
      <w:pPr>
        <w:pStyle w:val="2"/>
        <w:spacing w:after="0"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11、HG/T21633-1991 《玻璃钢管和管件》</w:t>
      </w:r>
    </w:p>
    <w:p>
      <w:pPr>
        <w:pStyle w:val="4"/>
        <w:spacing w:line="312" w:lineRule="auto"/>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4.除臭系统一般技术要求</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（1）设计使用年限</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设计的材料和设备均应有较长的使用期，并应适合长期的每天二十四小时的连续运转或按设定的时间间隔断续运行，且只须进行最少量的维修。在标书澄清时可以要求承包商对任何部件使用期作出证明，承包商可以用相类似设备的使用记录或用设计强度数据来证明。</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常规的维护和修理应尽可能的不要求高技术的人员来服务。</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整体使用寿命不低于10年。</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（2）材料</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工程中所使用的材料必须是最适合该工作的，并应是新的，一流的商业质量，无缺陷的，且应选择使用寿命长、维护要求低的材料。</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所有和腐蚀气体直接接触的材料及设备等应是抗腐蚀的。直接与各种化学制品接触的部件应具有对这些化学制品有完全的抗腐蚀与抗磨损的能力，并能保证这些部件不会随时间而消逝或暴露在日光下或任何其它原因引起老化。</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当合同上规定需要提供样品时，则这些样品应由承包商在所承包的任何工程中，需要使用这些样品所代表的那些材料前，不少于30工作日，自费提交。这些样品应获得业主的认可，而这些样品所代表的材料，在未获得认可时则不得进行制造或用于任何工程。</w:t>
      </w:r>
    </w:p>
    <w:p>
      <w:pPr>
        <w:pStyle w:val="4"/>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设计要求</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（3）工艺流程</w:t>
      </w:r>
    </w:p>
    <w:p>
      <w:pP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      恶臭气体—高效生物除臭装置—风机—高空达标排放</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（4）设计处理量</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3"/>
        <w:gridCol w:w="3288"/>
        <w:gridCol w:w="2148"/>
        <w:gridCol w:w="142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3"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3288"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处理区域</w:t>
            </w:r>
          </w:p>
        </w:tc>
        <w:tc>
          <w:tcPr>
            <w:tcW w:w="2148"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风量（m³/h）</w:t>
            </w:r>
          </w:p>
        </w:tc>
        <w:tc>
          <w:tcPr>
            <w:tcW w:w="1424" w:type="dxa"/>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3"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3288"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泵站</w:t>
            </w:r>
          </w:p>
        </w:tc>
        <w:tc>
          <w:tcPr>
            <w:tcW w:w="2148" w:type="dxa"/>
            <w:vAlign w:val="center"/>
          </w:tcPr>
          <w:p>
            <w:pPr>
              <w:spacing w:line="312" w:lineRule="auto"/>
              <w:jc w:val="center"/>
              <w:rPr>
                <w:rFonts w:ascii="宋体" w:hAnsi="宋体" w:cs="宋体"/>
                <w:strike/>
                <w:color w:val="auto"/>
                <w:szCs w:val="21"/>
                <w:highlight w:val="none"/>
              </w:rPr>
            </w:pPr>
            <w:r>
              <w:rPr>
                <w:rFonts w:ascii="宋体" w:hAnsi="宋体" w:cs="宋体"/>
                <w:color w:val="auto"/>
                <w:szCs w:val="21"/>
                <w:highlight w:val="none"/>
              </w:rPr>
              <w:t>30000m³/h</w:t>
            </w:r>
          </w:p>
        </w:tc>
        <w:tc>
          <w:tcPr>
            <w:tcW w:w="1424" w:type="dxa"/>
            <w:vAlign w:val="center"/>
          </w:tcPr>
          <w:p>
            <w:pPr>
              <w:spacing w:line="312" w:lineRule="auto"/>
              <w:jc w:val="center"/>
              <w:rPr>
                <w:rFonts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3"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3288" w:type="dxa"/>
            <w:vAlign w:val="center"/>
          </w:tcPr>
          <w:p>
            <w:pPr>
              <w:spacing w:line="312" w:lineRule="auto"/>
              <w:jc w:val="center"/>
              <w:rPr>
                <w:rFonts w:ascii="宋体" w:hAnsi="宋体" w:cs="宋体"/>
                <w:color w:val="auto"/>
                <w:szCs w:val="21"/>
                <w:highlight w:val="none"/>
              </w:rPr>
            </w:pPr>
          </w:p>
        </w:tc>
        <w:tc>
          <w:tcPr>
            <w:tcW w:w="2148" w:type="dxa"/>
            <w:vAlign w:val="center"/>
          </w:tcPr>
          <w:p>
            <w:pPr>
              <w:spacing w:line="312" w:lineRule="auto"/>
              <w:jc w:val="center"/>
              <w:rPr>
                <w:rFonts w:ascii="宋体" w:hAnsi="宋体" w:cs="宋体"/>
                <w:color w:val="auto"/>
                <w:szCs w:val="21"/>
                <w:highlight w:val="none"/>
              </w:rPr>
            </w:pPr>
            <w:r>
              <w:rPr>
                <w:rFonts w:ascii="宋体" w:hAnsi="宋体" w:cs="宋体"/>
                <w:color w:val="auto"/>
                <w:szCs w:val="21"/>
                <w:highlight w:val="none"/>
              </w:rPr>
              <w:t>30000m³/h</w:t>
            </w:r>
          </w:p>
        </w:tc>
        <w:tc>
          <w:tcPr>
            <w:tcW w:w="1424" w:type="dxa"/>
            <w:vAlign w:val="center"/>
          </w:tcPr>
          <w:p>
            <w:pPr>
              <w:spacing w:line="312" w:lineRule="auto"/>
              <w:jc w:val="center"/>
              <w:rPr>
                <w:rFonts w:ascii="宋体" w:hAnsi="宋体" w:cs="宋体"/>
                <w:color w:val="auto"/>
                <w:szCs w:val="21"/>
                <w:highlight w:val="none"/>
              </w:rPr>
            </w:pPr>
          </w:p>
        </w:tc>
      </w:tr>
    </w:tbl>
    <w:p>
      <w:pPr>
        <w:spacing w:line="312" w:lineRule="auto"/>
        <w:rPr>
          <w:rFonts w:ascii="宋体" w:hAnsi="宋体" w:cs="宋体"/>
          <w:color w:val="auto"/>
          <w:szCs w:val="21"/>
          <w:highlight w:val="none"/>
        </w:rPr>
      </w:pPr>
      <w:r>
        <w:rPr>
          <w:rFonts w:hint="eastAsia" w:ascii="宋体" w:hAnsi="宋体" w:cs="宋体"/>
          <w:color w:val="auto"/>
          <w:szCs w:val="21"/>
          <w:highlight w:val="none"/>
        </w:rPr>
        <w:t>本项目采用高效生物除臭工艺，处理风量为</w:t>
      </w:r>
      <w:r>
        <w:rPr>
          <w:rFonts w:hint="eastAsia" w:ascii="宋体" w:hAnsi="宋体" w:cs="宋体"/>
          <w:color w:val="auto"/>
          <w:szCs w:val="21"/>
          <w:highlight w:val="none"/>
          <w:lang w:bidi="en-US"/>
        </w:rPr>
        <w:t>30000m</w:t>
      </w:r>
      <w:r>
        <w:rPr>
          <w:rFonts w:hint="eastAsia" w:ascii="宋体" w:hAnsi="宋体" w:cs="宋体"/>
          <w:color w:val="auto"/>
          <w:szCs w:val="21"/>
          <w:highlight w:val="none"/>
          <w:vertAlign w:val="superscript"/>
          <w:lang w:bidi="en-US"/>
        </w:rPr>
        <w:t>3</w:t>
      </w:r>
      <w:r>
        <w:rPr>
          <w:rFonts w:hint="eastAsia" w:ascii="宋体" w:hAnsi="宋体" w:cs="宋体"/>
          <w:color w:val="auto"/>
          <w:szCs w:val="21"/>
          <w:highlight w:val="none"/>
          <w:lang w:bidi="en-US"/>
        </w:rPr>
        <w:t>/h×l</w:t>
      </w:r>
      <w:r>
        <w:rPr>
          <w:rFonts w:hint="eastAsia" w:ascii="宋体" w:hAnsi="宋体" w:cs="宋体"/>
          <w:color w:val="auto"/>
          <w:szCs w:val="21"/>
          <w:highlight w:val="none"/>
        </w:rPr>
        <w:t>套</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（5）臭气成分和浓度</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2939"/>
        <w:gridCol w:w="31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 w:hRule="atLeast"/>
          <w:jc w:val="center"/>
        </w:trPr>
        <w:tc>
          <w:tcPr>
            <w:tcW w:w="877"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2939"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名称</w:t>
            </w:r>
          </w:p>
        </w:tc>
        <w:tc>
          <w:tcPr>
            <w:tcW w:w="3191"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浓度（mg/m</w:t>
            </w:r>
            <w:r>
              <w:rPr>
                <w:rFonts w:hint="eastAsia" w:ascii="宋体" w:hAnsi="宋体" w:cs="宋体"/>
                <w:b/>
                <w:color w:val="auto"/>
                <w:szCs w:val="21"/>
                <w:highlight w:val="none"/>
                <w:vertAlign w:val="superscript"/>
              </w:rPr>
              <w:t>3</w:t>
            </w:r>
            <w:r>
              <w:rPr>
                <w:rFonts w:hint="eastAsia" w:ascii="宋体" w:hAnsi="宋体" w:cs="宋体"/>
                <w:b/>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5" w:hRule="atLeast"/>
          <w:jc w:val="center"/>
        </w:trPr>
        <w:tc>
          <w:tcPr>
            <w:tcW w:w="877" w:type="dxa"/>
            <w:vAlign w:val="center"/>
          </w:tcPr>
          <w:p>
            <w:pPr>
              <w:pStyle w:val="56"/>
              <w:spacing w:line="312" w:lineRule="auto"/>
              <w:rPr>
                <w:rFonts w:ascii="宋体" w:hAnsi="宋体" w:cs="宋体"/>
                <w:color w:val="auto"/>
                <w:szCs w:val="21"/>
                <w:highlight w:val="none"/>
              </w:rPr>
            </w:pPr>
            <w:r>
              <w:rPr>
                <w:rFonts w:hint="eastAsia" w:ascii="宋体" w:hAnsi="宋体" w:cs="宋体"/>
                <w:color w:val="auto"/>
                <w:szCs w:val="21"/>
                <w:highlight w:val="none"/>
              </w:rPr>
              <w:t>1</w:t>
            </w:r>
          </w:p>
        </w:tc>
        <w:tc>
          <w:tcPr>
            <w:tcW w:w="2939" w:type="dxa"/>
            <w:vAlign w:val="center"/>
          </w:tcPr>
          <w:p>
            <w:pPr>
              <w:spacing w:line="312" w:lineRule="auto"/>
              <w:ind w:hanging="425"/>
              <w:jc w:val="center"/>
              <w:rPr>
                <w:rFonts w:ascii="宋体" w:hAnsi="宋体" w:cs="宋体"/>
                <w:color w:val="auto"/>
                <w:szCs w:val="21"/>
                <w:highlight w:val="none"/>
              </w:rPr>
            </w:pPr>
            <w:r>
              <w:rPr>
                <w:rFonts w:hint="eastAsia" w:ascii="宋体" w:hAnsi="宋体" w:cs="宋体"/>
                <w:color w:val="auto"/>
                <w:szCs w:val="21"/>
                <w:highlight w:val="none"/>
              </w:rPr>
              <w:t>氨</w:t>
            </w:r>
          </w:p>
        </w:tc>
        <w:tc>
          <w:tcPr>
            <w:tcW w:w="3191" w:type="dxa"/>
            <w:vAlign w:val="center"/>
          </w:tcPr>
          <w:p>
            <w:pPr>
              <w:spacing w:line="312" w:lineRule="auto"/>
              <w:ind w:hanging="425"/>
              <w:jc w:val="center"/>
              <w:rPr>
                <w:rFonts w:ascii="宋体" w:hAnsi="宋体" w:cs="宋体"/>
                <w:color w:val="auto"/>
                <w:szCs w:val="21"/>
                <w:highlight w:val="none"/>
              </w:rPr>
            </w:pPr>
            <w:r>
              <w:rPr>
                <w:rFonts w:hint="eastAsia" w:ascii="宋体" w:hAnsi="宋体" w:cs="宋体"/>
                <w:color w:val="auto"/>
                <w:szCs w:val="21"/>
                <w:highlight w:val="none"/>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877" w:type="dxa"/>
            <w:vAlign w:val="center"/>
          </w:tcPr>
          <w:p>
            <w:pPr>
              <w:pStyle w:val="56"/>
              <w:spacing w:line="312" w:lineRule="auto"/>
              <w:rPr>
                <w:rFonts w:ascii="宋体" w:hAnsi="宋体" w:cs="宋体"/>
                <w:color w:val="auto"/>
                <w:szCs w:val="21"/>
                <w:highlight w:val="none"/>
              </w:rPr>
            </w:pPr>
            <w:r>
              <w:rPr>
                <w:rFonts w:hint="eastAsia" w:ascii="宋体" w:hAnsi="宋体" w:cs="宋体"/>
                <w:color w:val="auto"/>
                <w:szCs w:val="21"/>
                <w:highlight w:val="none"/>
              </w:rPr>
              <w:t>2</w:t>
            </w:r>
          </w:p>
        </w:tc>
        <w:tc>
          <w:tcPr>
            <w:tcW w:w="2939" w:type="dxa"/>
            <w:vAlign w:val="center"/>
          </w:tcPr>
          <w:p>
            <w:pPr>
              <w:spacing w:line="312" w:lineRule="auto"/>
              <w:ind w:hanging="425"/>
              <w:jc w:val="center"/>
              <w:rPr>
                <w:rFonts w:ascii="宋体" w:hAnsi="宋体" w:cs="宋体"/>
                <w:color w:val="auto"/>
                <w:szCs w:val="21"/>
                <w:highlight w:val="none"/>
              </w:rPr>
            </w:pPr>
            <w:r>
              <w:rPr>
                <w:rFonts w:hint="eastAsia" w:ascii="宋体" w:hAnsi="宋体" w:cs="宋体"/>
                <w:color w:val="auto"/>
                <w:szCs w:val="21"/>
                <w:highlight w:val="none"/>
              </w:rPr>
              <w:t>硫化氢</w:t>
            </w:r>
          </w:p>
        </w:tc>
        <w:tc>
          <w:tcPr>
            <w:tcW w:w="3191" w:type="dxa"/>
            <w:vAlign w:val="center"/>
          </w:tcPr>
          <w:p>
            <w:pPr>
              <w:spacing w:line="312" w:lineRule="auto"/>
              <w:ind w:hanging="425"/>
              <w:jc w:val="center"/>
              <w:rPr>
                <w:rFonts w:ascii="宋体" w:hAnsi="宋体" w:cs="宋体"/>
                <w:color w:val="auto"/>
                <w:szCs w:val="21"/>
                <w:highlight w:val="none"/>
              </w:rPr>
            </w:pPr>
            <w:r>
              <w:rPr>
                <w:rFonts w:hint="eastAsia" w:ascii="宋体" w:hAnsi="宋体" w:cs="宋体"/>
                <w:color w:val="auto"/>
                <w:szCs w:val="21"/>
                <w:highlight w:val="none"/>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877" w:type="dxa"/>
            <w:vAlign w:val="center"/>
          </w:tcPr>
          <w:p>
            <w:pPr>
              <w:pStyle w:val="56"/>
              <w:spacing w:line="312" w:lineRule="auto"/>
              <w:rPr>
                <w:rFonts w:ascii="宋体" w:hAnsi="宋体" w:cs="宋体"/>
                <w:color w:val="auto"/>
                <w:szCs w:val="21"/>
                <w:highlight w:val="none"/>
              </w:rPr>
            </w:pPr>
            <w:r>
              <w:rPr>
                <w:rFonts w:hint="eastAsia" w:ascii="宋体" w:hAnsi="宋体" w:cs="宋体"/>
                <w:color w:val="auto"/>
                <w:szCs w:val="21"/>
                <w:highlight w:val="none"/>
              </w:rPr>
              <w:t>4</w:t>
            </w:r>
          </w:p>
        </w:tc>
        <w:tc>
          <w:tcPr>
            <w:tcW w:w="2939" w:type="dxa"/>
            <w:vAlign w:val="center"/>
          </w:tcPr>
          <w:p>
            <w:pPr>
              <w:spacing w:line="312" w:lineRule="auto"/>
              <w:ind w:hanging="425"/>
              <w:jc w:val="center"/>
              <w:rPr>
                <w:rFonts w:ascii="宋体" w:hAnsi="宋体" w:cs="宋体"/>
                <w:color w:val="auto"/>
                <w:szCs w:val="21"/>
                <w:highlight w:val="none"/>
              </w:rPr>
            </w:pPr>
            <w:r>
              <w:rPr>
                <w:rFonts w:hint="eastAsia" w:ascii="宋体" w:hAnsi="宋体" w:cs="宋体"/>
                <w:color w:val="auto"/>
                <w:szCs w:val="21"/>
                <w:highlight w:val="none"/>
              </w:rPr>
              <w:t>臭气浓度</w:t>
            </w:r>
          </w:p>
        </w:tc>
        <w:tc>
          <w:tcPr>
            <w:tcW w:w="3191" w:type="dxa"/>
            <w:vAlign w:val="center"/>
          </w:tcPr>
          <w:p>
            <w:pPr>
              <w:spacing w:line="312" w:lineRule="auto"/>
              <w:ind w:hanging="425"/>
              <w:jc w:val="center"/>
              <w:rPr>
                <w:rFonts w:ascii="宋体" w:hAnsi="宋体" w:cs="宋体"/>
                <w:color w:val="auto"/>
                <w:szCs w:val="21"/>
                <w:highlight w:val="none"/>
              </w:rPr>
            </w:pPr>
            <w:r>
              <w:rPr>
                <w:rFonts w:hint="eastAsia" w:ascii="宋体" w:hAnsi="宋体" w:cs="宋体"/>
                <w:color w:val="auto"/>
                <w:szCs w:val="21"/>
                <w:highlight w:val="none"/>
              </w:rPr>
              <w:t>≤8000（无量纲）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877" w:type="dxa"/>
            <w:vAlign w:val="center"/>
          </w:tcPr>
          <w:p>
            <w:pPr>
              <w:pStyle w:val="56"/>
              <w:spacing w:line="312" w:lineRule="auto"/>
              <w:rPr>
                <w:rFonts w:ascii="宋体" w:hAnsi="宋体" w:cs="宋体"/>
                <w:color w:val="auto"/>
                <w:szCs w:val="21"/>
                <w:highlight w:val="none"/>
              </w:rPr>
            </w:pPr>
            <w:r>
              <w:rPr>
                <w:rFonts w:hint="eastAsia" w:ascii="宋体" w:hAnsi="宋体" w:cs="宋体"/>
                <w:color w:val="auto"/>
                <w:szCs w:val="21"/>
                <w:highlight w:val="none"/>
              </w:rPr>
              <w:t>5</w:t>
            </w:r>
          </w:p>
        </w:tc>
        <w:tc>
          <w:tcPr>
            <w:tcW w:w="2939" w:type="dxa"/>
            <w:vAlign w:val="center"/>
          </w:tcPr>
          <w:p>
            <w:pPr>
              <w:spacing w:line="312" w:lineRule="auto"/>
              <w:ind w:hanging="425"/>
              <w:jc w:val="center"/>
              <w:rPr>
                <w:rFonts w:ascii="宋体" w:hAnsi="宋体" w:cs="宋体"/>
                <w:color w:val="auto"/>
                <w:szCs w:val="21"/>
                <w:highlight w:val="none"/>
              </w:rPr>
            </w:pPr>
            <w:r>
              <w:rPr>
                <w:rFonts w:hint="eastAsia" w:ascii="宋体" w:hAnsi="宋体" w:cs="宋体"/>
                <w:color w:val="auto"/>
                <w:szCs w:val="21"/>
                <w:highlight w:val="none"/>
              </w:rPr>
              <w:t>温度</w:t>
            </w:r>
          </w:p>
        </w:tc>
        <w:tc>
          <w:tcPr>
            <w:tcW w:w="3191" w:type="dxa"/>
            <w:vAlign w:val="center"/>
          </w:tcPr>
          <w:p>
            <w:pPr>
              <w:spacing w:line="312" w:lineRule="auto"/>
              <w:ind w:hanging="425"/>
              <w:jc w:val="center"/>
              <w:rPr>
                <w:rFonts w:ascii="宋体" w:hAnsi="宋体" w:cs="宋体"/>
                <w:color w:val="auto"/>
                <w:szCs w:val="21"/>
                <w:highlight w:val="none"/>
                <w:lang w:eastAsia="ja-JP"/>
              </w:rPr>
            </w:pPr>
            <w:r>
              <w:rPr>
                <w:rFonts w:hint="eastAsia" w:ascii="宋体" w:hAnsi="宋体" w:cs="宋体"/>
                <w:color w:val="auto"/>
                <w:szCs w:val="21"/>
                <w:highlight w:val="none"/>
              </w:rPr>
              <w:t>常温</w:t>
            </w:r>
          </w:p>
        </w:tc>
      </w:tr>
    </w:tbl>
    <w:p>
      <w:pPr>
        <w:pStyle w:val="57"/>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主要成分及浓度：臭气含 H</w:t>
      </w:r>
      <w:r>
        <w:rPr>
          <w:rFonts w:hint="eastAsia" w:ascii="宋体" w:hAnsi="宋体" w:cs="宋体"/>
          <w:color w:val="auto"/>
          <w:szCs w:val="21"/>
          <w:highlight w:val="none"/>
          <w:vertAlign w:val="subscript"/>
        </w:rPr>
        <w:t>2</w:t>
      </w:r>
      <w:r>
        <w:rPr>
          <w:rFonts w:hint="eastAsia" w:ascii="宋体" w:hAnsi="宋体" w:cs="宋体"/>
          <w:color w:val="auto"/>
          <w:szCs w:val="21"/>
          <w:highlight w:val="none"/>
        </w:rPr>
        <w:t>S、NH</w:t>
      </w:r>
      <w:r>
        <w:rPr>
          <w:rFonts w:hint="eastAsia" w:ascii="宋体" w:hAnsi="宋体" w:cs="宋体"/>
          <w:color w:val="auto"/>
          <w:szCs w:val="21"/>
          <w:highlight w:val="none"/>
          <w:vertAlign w:val="subscript"/>
        </w:rPr>
        <w:t>3</w:t>
      </w:r>
      <w:r>
        <w:rPr>
          <w:rFonts w:hint="eastAsia" w:ascii="宋体" w:hAnsi="宋体" w:cs="宋体"/>
          <w:color w:val="auto"/>
          <w:szCs w:val="21"/>
          <w:highlight w:val="none"/>
        </w:rPr>
        <w:t>、胺类、硫醇、有机硫化物等微量有机组分。投标人应根据同类项目的设计经验，并结合现场勘查情况，并充分考虑工业废水处理工艺产生的浓度，确定各类有害气体在各区域的初始浓度。</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（6）除臭设备处理排放指标</w:t>
      </w:r>
    </w:p>
    <w:p>
      <w:pPr>
        <w:spacing w:line="312" w:lineRule="auto"/>
        <w:ind w:firstLine="420" w:firstLineChars="200"/>
        <w:rPr>
          <w:rFonts w:ascii="宋体" w:hAnsi="宋体" w:cs="宋体"/>
          <w:color w:val="auto"/>
          <w:szCs w:val="21"/>
          <w:highlight w:val="none"/>
        </w:rPr>
      </w:pPr>
      <w:bookmarkStart w:id="334" w:name="_Hlk41396758"/>
      <w:r>
        <w:rPr>
          <w:rFonts w:hint="eastAsia" w:ascii="宋体" w:hAnsi="宋体" w:cs="宋体"/>
          <w:color w:val="auto"/>
          <w:szCs w:val="21"/>
          <w:highlight w:val="none"/>
        </w:rPr>
        <w:t>在不考虑其他臭源的影响下，经除臭系统处理后的废气执行《恶臭污染物排放标准》（GB14554-93）中表2恶臭污染物15m排气筒高度排放标准值，具体参数见下表。</w:t>
      </w:r>
    </w:p>
    <w:p>
      <w:pPr>
        <w:pStyle w:val="77"/>
        <w:spacing w:line="312" w:lineRule="auto"/>
        <w:ind w:left="0"/>
        <w:rPr>
          <w:rFonts w:ascii="宋体" w:hAnsi="宋体" w:cs="宋体"/>
          <w:color w:val="auto"/>
          <w:highlight w:val="none"/>
        </w:rPr>
      </w:pPr>
      <w:r>
        <w:rPr>
          <w:rFonts w:hint="eastAsia" w:ascii="宋体" w:hAnsi="宋体" w:cs="宋体"/>
          <w:color w:val="auto"/>
          <w:highlight w:val="none"/>
        </w:rPr>
        <w:t xml:space="preserve">  恶臭污染物排放标准</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1833"/>
        <w:gridCol w:w="2167"/>
        <w:gridCol w:w="21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7" w:hRule="atLeast"/>
          <w:jc w:val="center"/>
        </w:trPr>
        <w:tc>
          <w:tcPr>
            <w:tcW w:w="840"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833"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控制项目</w:t>
            </w:r>
          </w:p>
        </w:tc>
        <w:tc>
          <w:tcPr>
            <w:tcW w:w="2167" w:type="dxa"/>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排气筒高度，m</w:t>
            </w:r>
          </w:p>
        </w:tc>
        <w:tc>
          <w:tcPr>
            <w:tcW w:w="2167" w:type="dxa"/>
            <w:vAlign w:val="center"/>
          </w:tcPr>
          <w:p>
            <w:pPr>
              <w:spacing w:line="312" w:lineRule="auto"/>
              <w:jc w:val="center"/>
              <w:rPr>
                <w:rFonts w:ascii="宋体" w:hAnsi="宋体" w:cs="宋体"/>
                <w:b/>
                <w:color w:val="auto"/>
                <w:szCs w:val="21"/>
                <w:highlight w:val="none"/>
              </w:rPr>
            </w:pPr>
            <w:r>
              <w:rPr>
                <w:rFonts w:hint="eastAsia" w:ascii="宋体" w:hAnsi="宋体" w:cs="宋体"/>
                <w:b/>
                <w:color w:val="auto"/>
                <w:szCs w:val="21"/>
                <w:highlight w:val="none"/>
              </w:rPr>
              <w:t>排放量，kg/h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1" w:hRule="atLeast"/>
          <w:jc w:val="center"/>
        </w:trPr>
        <w:tc>
          <w:tcPr>
            <w:tcW w:w="840" w:type="dxa"/>
            <w:vAlign w:val="center"/>
          </w:tcPr>
          <w:p>
            <w:pPr>
              <w:pStyle w:val="58"/>
              <w:numPr>
                <w:ilvl w:val="0"/>
                <w:numId w:val="11"/>
              </w:numPr>
              <w:spacing w:line="312" w:lineRule="auto"/>
              <w:ind w:left="0" w:firstLineChars="0"/>
              <w:jc w:val="center"/>
              <w:rPr>
                <w:rFonts w:ascii="宋体" w:hAnsi="宋体" w:cs="宋体"/>
                <w:color w:val="auto"/>
                <w:szCs w:val="21"/>
                <w:highlight w:val="none"/>
              </w:rPr>
            </w:pPr>
          </w:p>
        </w:tc>
        <w:tc>
          <w:tcPr>
            <w:tcW w:w="1833"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硫化氢</w:t>
            </w:r>
          </w:p>
        </w:tc>
        <w:tc>
          <w:tcPr>
            <w:tcW w:w="2167"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15</w:t>
            </w:r>
          </w:p>
        </w:tc>
        <w:tc>
          <w:tcPr>
            <w:tcW w:w="2167"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0.33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jc w:val="center"/>
        </w:trPr>
        <w:tc>
          <w:tcPr>
            <w:tcW w:w="840" w:type="dxa"/>
            <w:vAlign w:val="center"/>
          </w:tcPr>
          <w:p>
            <w:pPr>
              <w:pStyle w:val="58"/>
              <w:numPr>
                <w:ilvl w:val="0"/>
                <w:numId w:val="11"/>
              </w:numPr>
              <w:spacing w:line="312" w:lineRule="auto"/>
              <w:ind w:left="0" w:firstLineChars="0"/>
              <w:jc w:val="center"/>
              <w:rPr>
                <w:rFonts w:ascii="宋体" w:hAnsi="宋体" w:cs="宋体"/>
                <w:color w:val="auto"/>
                <w:szCs w:val="21"/>
                <w:highlight w:val="none"/>
              </w:rPr>
            </w:pPr>
          </w:p>
        </w:tc>
        <w:tc>
          <w:tcPr>
            <w:tcW w:w="1833"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氨</w:t>
            </w:r>
          </w:p>
        </w:tc>
        <w:tc>
          <w:tcPr>
            <w:tcW w:w="2167"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15</w:t>
            </w:r>
          </w:p>
        </w:tc>
        <w:tc>
          <w:tcPr>
            <w:tcW w:w="2167"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4.9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840" w:type="dxa"/>
            <w:vAlign w:val="center"/>
          </w:tcPr>
          <w:p>
            <w:pPr>
              <w:pStyle w:val="58"/>
              <w:numPr>
                <w:ilvl w:val="0"/>
                <w:numId w:val="11"/>
              </w:numPr>
              <w:spacing w:line="312" w:lineRule="auto"/>
              <w:ind w:left="0" w:firstLineChars="0"/>
              <w:jc w:val="center"/>
              <w:rPr>
                <w:rFonts w:ascii="宋体" w:hAnsi="宋体" w:cs="宋体"/>
                <w:color w:val="auto"/>
                <w:szCs w:val="21"/>
                <w:highlight w:val="none"/>
              </w:rPr>
            </w:pPr>
          </w:p>
        </w:tc>
        <w:tc>
          <w:tcPr>
            <w:tcW w:w="1833"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臭气浓度</w:t>
            </w:r>
          </w:p>
        </w:tc>
        <w:tc>
          <w:tcPr>
            <w:tcW w:w="2167" w:type="dxa"/>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15</w:t>
            </w:r>
          </w:p>
        </w:tc>
        <w:tc>
          <w:tcPr>
            <w:tcW w:w="2167" w:type="dxa"/>
            <w:vAlign w:val="center"/>
          </w:tcPr>
          <w:p>
            <w:pPr>
              <w:spacing w:line="312" w:lineRule="auto"/>
              <w:jc w:val="center"/>
              <w:rPr>
                <w:rFonts w:ascii="宋体" w:hAnsi="宋体" w:cs="宋体"/>
                <w:color w:val="auto"/>
                <w:szCs w:val="21"/>
                <w:highlight w:val="none"/>
              </w:rPr>
            </w:pPr>
            <w:r>
              <w:rPr>
                <w:rFonts w:hint="eastAsia" w:ascii="宋体" w:hAnsi="宋体" w:cs="宋体"/>
                <w:color w:val="auto"/>
                <w:szCs w:val="21"/>
                <w:highlight w:val="none"/>
              </w:rPr>
              <w:t>2000（无量纲）</w:t>
            </w:r>
          </w:p>
        </w:tc>
      </w:tr>
      <w:bookmarkEnd w:id="334"/>
    </w:tbl>
    <w:p>
      <w:pPr>
        <w:pStyle w:val="3"/>
        <w:spacing w:line="312" w:lineRule="auto"/>
        <w:jc w:val="both"/>
        <w:rPr>
          <w:rFonts w:cs="宋体"/>
          <w:color w:val="auto"/>
          <w:sz w:val="21"/>
          <w:szCs w:val="21"/>
          <w:highlight w:val="none"/>
        </w:rPr>
      </w:pPr>
      <w:r>
        <w:rPr>
          <w:rFonts w:hint="eastAsia" w:cs="宋体"/>
          <w:color w:val="auto"/>
          <w:sz w:val="21"/>
          <w:szCs w:val="21"/>
          <w:highlight w:val="none"/>
        </w:rPr>
        <w:t>5.除臭系统技术要求</w:t>
      </w:r>
    </w:p>
    <w:p>
      <w:pPr>
        <w:pStyle w:val="4"/>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（1）生物除臭装置</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技术要求</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本工程除臭工艺为高效生物滤池除臭工艺。</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除臭设备采用生物载体为填料的处理工艺，通过臭气收集系统使臭气通过填料进行生物降解，去除致臭成份，净化后可直接大气排放。</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根据标书要求确定其处理能力，该系统必须使处理后尾气达到相应的排放标准，同时具有除臭效率高、运行稳定可靠、管理方便、投资合理等优点。</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除臭设备的整体使用寿命须不低于10年。</w:t>
      </w:r>
    </w:p>
    <w:p>
      <w:pPr>
        <w:spacing w:line="312" w:lineRule="auto"/>
        <w:ind w:firstLine="562"/>
        <w:rPr>
          <w:rFonts w:ascii="宋体" w:hAnsi="宋体" w:cs="宋体"/>
          <w:b/>
          <w:color w:val="auto"/>
          <w:szCs w:val="21"/>
          <w:highlight w:val="none"/>
        </w:rPr>
      </w:pPr>
      <w:r>
        <w:rPr>
          <w:rFonts w:hint="eastAsia" w:ascii="宋体" w:hAnsi="宋体" w:cs="宋体"/>
          <w:b/>
          <w:color w:val="auto"/>
          <w:szCs w:val="21"/>
          <w:highlight w:val="none"/>
        </w:rPr>
        <w:t>除臭设备应满足以下工艺参数：除臭设备空塔流速（即臭气经生物滤床的流速）＜0.1</w:t>
      </w:r>
      <w:r>
        <w:rPr>
          <w:rFonts w:hint="eastAsia" w:ascii="宋体" w:hAnsi="宋体" w:cs="宋体"/>
          <w:b/>
          <w:bCs/>
          <w:color w:val="auto"/>
          <w:szCs w:val="21"/>
          <w:highlight w:val="none"/>
          <w:shd w:val="clear" w:color="auto" w:fill="FFFFFF"/>
        </w:rPr>
        <w:t>m/s</w:t>
      </w:r>
      <w:r>
        <w:rPr>
          <w:rFonts w:hint="eastAsia" w:ascii="宋体" w:hAnsi="宋体" w:cs="宋体"/>
          <w:b/>
          <w:color w:val="auto"/>
          <w:szCs w:val="21"/>
          <w:highlight w:val="none"/>
        </w:rPr>
        <w:t xml:space="preserve">，臭气在除臭设备内的总停留时间（吸附剂和臭气的接触时间）≥11s。 </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在设备调试初期阶段即可确保臭气排放达标、对人体无影响并能确保系统在长时间闲置之后能在短时间（5天）内启动。</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设备主体技术要求</w:t>
      </w:r>
    </w:p>
    <w:p>
      <w:pPr>
        <w:pStyle w:val="57"/>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除臭设备主体为固定式全封闭一体化撬装结构，外框结构为碳钢防腐材质，厚度≥5mm，壳体内部与臭气接触采用玻璃钢树脂进行防腐，内表面防腐层的连接口不允许有渗漏，阻止腐蚀气体同外框架的接触，整体玻璃钢防腐材料不应含有氧化镁、氯化镁、氢氧化镁、碳酸钙等无机玻璃钢材料附加添加剂，树脂含量不小于65%，内层防腐采用乙烯基材质。壳体外部采用油漆防腐。内部过滤层材质为不锈钢304材质。</w:t>
      </w:r>
    </w:p>
    <w:p>
      <w:pPr>
        <w:pStyle w:val="57"/>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整体箱体保证足够的刚度、强度、并具耐腐蚀、防紫外、耐老化等性能，确保主体设备的使用寿命大于10年。除臭设备必须配置风管接口、管道接口、填料、观察窗、喷淋加湿装置等完善的附件。</w:t>
      </w:r>
    </w:p>
    <w:p>
      <w:pPr>
        <w:pStyle w:val="57"/>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设备固定螺栓必需用不锈钢SS304材质。</w:t>
      </w:r>
    </w:p>
    <w:p>
      <w:pPr>
        <w:pStyle w:val="57"/>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除臭设备喷淋水泵应采用技术先进的国内外知名品牌产品，除臭设备喷淋用水取自厂内回用中水，就近自行联接（需加装阀门、过滤器）。除臭设备排污排至就近污水井。由招标方负责将喷淋供水系统及排污系统接至除臭装置基础1m处。所有水箱供水管（包括从厂区供水管接入水箱的补水管），水箱与泵体以及箱体连接管、排水管均须用1.0MP优质抗紫外UPVC管。</w:t>
      </w:r>
    </w:p>
    <w:p>
      <w:pPr>
        <w:pStyle w:val="57"/>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高效生物滤池除臭系统技术要求特点：</w:t>
      </w:r>
    </w:p>
    <w:p>
      <w:pPr>
        <w:pStyle w:val="57"/>
        <w:numPr>
          <w:ilvl w:val="0"/>
          <w:numId w:val="12"/>
        </w:numPr>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高效生物滤床阻力均匀 ，不大于800pa，且不会随运行时间增长而发生改变，运行费用低；</w:t>
      </w:r>
    </w:p>
    <w:p>
      <w:pPr>
        <w:pStyle w:val="57"/>
        <w:numPr>
          <w:ilvl w:val="0"/>
          <w:numId w:val="12"/>
        </w:numPr>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生物填料厚度适宜，需小于1.2m，气流分布均匀，气流与填料接触充分，容易获取营养，生物降解效果好；</w:t>
      </w:r>
    </w:p>
    <w:p>
      <w:pPr>
        <w:pStyle w:val="57"/>
        <w:numPr>
          <w:ilvl w:val="0"/>
          <w:numId w:val="12"/>
        </w:numPr>
        <w:spacing w:line="312" w:lineRule="auto"/>
        <w:ind w:firstLine="480" w:firstLineChars="0"/>
        <w:rPr>
          <w:rFonts w:ascii="宋体" w:hAnsi="宋体" w:cs="宋体"/>
          <w:b/>
          <w:color w:val="auto"/>
          <w:szCs w:val="21"/>
          <w:highlight w:val="none"/>
        </w:rPr>
      </w:pPr>
      <w:r>
        <w:rPr>
          <w:rFonts w:hint="eastAsia" w:ascii="宋体" w:hAnsi="宋体" w:cs="宋体"/>
          <w:b/>
          <w:color w:val="auto"/>
          <w:szCs w:val="21"/>
          <w:highlight w:val="none"/>
        </w:rPr>
        <w:t>为了避免生物滤床出现板结、短流，生物填料相对位置可以转动，可不定期发生改变，填料之间发生相互摩擦，有助于生物填料的生物膜界面不断更新，生物膜和废气的接触位置发生动态变化，确保生物滤床稳定运行；</w:t>
      </w:r>
    </w:p>
    <w:p>
      <w:pPr>
        <w:pStyle w:val="57"/>
        <w:numPr>
          <w:ilvl w:val="0"/>
          <w:numId w:val="12"/>
        </w:numPr>
        <w:spacing w:line="312" w:lineRule="auto"/>
        <w:ind w:firstLine="420"/>
        <w:rPr>
          <w:rFonts w:ascii="宋体" w:hAnsi="宋体" w:cs="宋体"/>
          <w:color w:val="auto"/>
          <w:szCs w:val="21"/>
          <w:highlight w:val="none"/>
        </w:rPr>
      </w:pPr>
      <w:r>
        <w:rPr>
          <w:rFonts w:hint="eastAsia" w:ascii="宋体" w:hAnsi="宋体" w:cs="宋体"/>
          <w:color w:val="auto"/>
          <w:szCs w:val="21"/>
          <w:highlight w:val="none"/>
        </w:rPr>
        <w:t>脱落的生物膜能及时排出系统，避免生物滤床出现堵塞现象，保证生物降解效果。</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填料技术要求</w:t>
      </w:r>
    </w:p>
    <w:p>
      <w:pPr>
        <w:spacing w:line="312" w:lineRule="auto"/>
        <w:ind w:firstLine="424" w:firstLineChars="202"/>
        <w:rPr>
          <w:rFonts w:ascii="宋体" w:hAnsi="宋体" w:cs="宋体"/>
          <w:color w:val="auto"/>
          <w:szCs w:val="21"/>
          <w:highlight w:val="none"/>
        </w:rPr>
      </w:pPr>
      <w:r>
        <w:rPr>
          <w:rFonts w:hint="eastAsia" w:ascii="宋体" w:hAnsi="宋体" w:cs="宋体"/>
          <w:color w:val="auto"/>
          <w:szCs w:val="21"/>
          <w:highlight w:val="none"/>
        </w:rPr>
        <w:t>（1）填料采用专用无机填料，填料需具有良好的保湿性和透气性，并有比表面积大、阻力小、抗酸耐腐蚀、无压密的特点，使用寿命长，正常运行期间无需更换。由于其独特的材质，抗生物降解，耐酸性较高，在与酸性类臭气接触后，不会发生质变，因而不会出现压实、板结的现象。</w:t>
      </w:r>
    </w:p>
    <w:p>
      <w:pPr>
        <w:spacing w:line="312" w:lineRule="auto"/>
        <w:ind w:firstLine="424" w:firstLineChars="202"/>
        <w:rPr>
          <w:rFonts w:ascii="宋体" w:hAnsi="宋体" w:cs="宋体"/>
          <w:color w:val="auto"/>
          <w:szCs w:val="21"/>
          <w:highlight w:val="none"/>
        </w:rPr>
      </w:pPr>
      <w:r>
        <w:rPr>
          <w:rFonts w:hint="eastAsia" w:ascii="宋体" w:hAnsi="宋体" w:cs="宋体"/>
          <w:color w:val="auto"/>
          <w:szCs w:val="21"/>
          <w:highlight w:val="none"/>
        </w:rPr>
        <w:t>（2）能够在运行初期、微生物驯养期间以及冲击负荷时达到除臭效果。</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（3）填料的使用寿命须不低于10年，正常运行下其间不得更换。不接受易腐烂、老化和风化的填料，如树皮填料；不接受本身具有强吸附能力的填料，如碳质填料等。</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菌种要求</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生物除臭设备中，菌种的好坏直接影响到处理效果，因此投标人及其技术依托单位必须有菌种筛选、培育、接种能力，并有菌种分离、接种、保藏、驯化等必需的设备设施，以提供满足实际需要的菌种，并能根据臭气成分培养出相应的菌种对致臭物质进行吸附降解，否则难以保证除臭效果。</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喷淋系统</w:t>
      </w:r>
    </w:p>
    <w:p>
      <w:pPr>
        <w:pStyle w:val="55"/>
        <w:spacing w:line="312" w:lineRule="auto"/>
        <w:ind w:firstLine="462"/>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喷淋管道采用UPVC材质，采用喷头/穿孔管形式，以保证气液接触的均匀性。</w:t>
      </w:r>
    </w:p>
    <w:p>
      <w:pPr>
        <w:pStyle w:val="4"/>
        <w:spacing w:line="312" w:lineRule="auto"/>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（2）风机</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技术要求</w:t>
      </w:r>
    </w:p>
    <w:p>
      <w:pPr>
        <w:spacing w:line="312" w:lineRule="auto"/>
        <w:ind w:firstLine="472" w:firstLineChars="225"/>
        <w:rPr>
          <w:rFonts w:ascii="宋体" w:hAnsi="宋体" w:cs="宋体"/>
          <w:color w:val="auto"/>
          <w:szCs w:val="21"/>
          <w:highlight w:val="none"/>
        </w:rPr>
      </w:pPr>
      <w:r>
        <w:rPr>
          <w:rFonts w:hint="eastAsia" w:ascii="宋体" w:hAnsi="宋体" w:cs="宋体"/>
          <w:color w:val="auto"/>
          <w:szCs w:val="21"/>
          <w:highlight w:val="none"/>
        </w:rPr>
        <w:t>风机为离心式风机，材质为玻璃钢，适应于腐蚀性空气条件下长期间断或24小时连续运行。</w:t>
      </w:r>
    </w:p>
    <w:p>
      <w:pPr>
        <w:spacing w:line="312"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（1）额定风量以20℃、湿度为65%为准，允许最高温度85℃，总绝对效率高于90％。</w:t>
      </w:r>
    </w:p>
    <w:p>
      <w:pPr>
        <w:spacing w:line="312"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（2）风机设置防振垫，隔振效率≥80％。</w:t>
      </w:r>
    </w:p>
    <w:p>
      <w:pP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  （3）风机有足够的流量和功率，风压在最大抽气量的条件下，具有高于系统压力损失10％的余量。</w:t>
      </w:r>
    </w:p>
    <w:p>
      <w:pP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  （4）轴与壳体贯通处，无气体泄漏。</w:t>
      </w:r>
    </w:p>
    <w:p>
      <w:pPr>
        <w:widowControl/>
        <w:tabs>
          <w:tab w:val="left" w:pos="360"/>
          <w:tab w:val="left" w:pos="1020"/>
          <w:tab w:val="left" w:pos="1090"/>
        </w:tabs>
        <w:overflowPunct w:val="0"/>
        <w:autoSpaceDE w:val="0"/>
        <w:autoSpaceDN w:val="0"/>
        <w:adjustRightInd w:val="0"/>
        <w:spacing w:line="312" w:lineRule="auto"/>
        <w:ind w:firstLine="210" w:firstLineChars="10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（5）风机配套隔音防护罩，满足下列要求：</w:t>
      </w:r>
    </w:p>
    <w:p>
      <w:pPr>
        <w:widowControl/>
        <w:numPr>
          <w:ilvl w:val="3"/>
          <w:numId w:val="13"/>
        </w:numPr>
        <w:tabs>
          <w:tab w:val="left" w:pos="360"/>
          <w:tab w:val="left" w:pos="2268"/>
        </w:tabs>
        <w:overflowPunct w:val="0"/>
        <w:autoSpaceDE w:val="0"/>
        <w:autoSpaceDN w:val="0"/>
        <w:adjustRightInd w:val="0"/>
        <w:spacing w:line="312" w:lineRule="auto"/>
        <w:ind w:left="0" w:hanging="36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箱体成整体性，强度优越，结构紧蹙，有检修通道，满足隔音、保温及防潮之效果。</w:t>
      </w:r>
    </w:p>
    <w:p>
      <w:pPr>
        <w:widowControl/>
        <w:numPr>
          <w:ilvl w:val="3"/>
          <w:numId w:val="13"/>
        </w:numPr>
        <w:tabs>
          <w:tab w:val="left" w:pos="360"/>
          <w:tab w:val="left" w:pos="2268"/>
        </w:tabs>
        <w:overflowPunct w:val="0"/>
        <w:autoSpaceDE w:val="0"/>
        <w:autoSpaceDN w:val="0"/>
        <w:adjustRightInd w:val="0"/>
        <w:spacing w:line="312" w:lineRule="auto"/>
        <w:ind w:left="0" w:hanging="36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材料：铝合金框条+玻璃钢面板+玻璃纤维消音棉+玻璃钢面板。</w:t>
      </w:r>
    </w:p>
    <w:p>
      <w:pPr>
        <w:widowControl/>
        <w:numPr>
          <w:ilvl w:val="3"/>
          <w:numId w:val="13"/>
        </w:numPr>
        <w:tabs>
          <w:tab w:val="left" w:pos="360"/>
          <w:tab w:val="left" w:pos="2268"/>
        </w:tabs>
        <w:overflowPunct w:val="0"/>
        <w:autoSpaceDE w:val="0"/>
        <w:autoSpaceDN w:val="0"/>
        <w:adjustRightInd w:val="0"/>
        <w:spacing w:line="312" w:lineRule="auto"/>
        <w:ind w:left="0" w:hanging="36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便于现场吊装，有吊环及承重之共同基座。</w:t>
      </w:r>
    </w:p>
    <w:p>
      <w:pPr>
        <w:widowControl/>
        <w:numPr>
          <w:ilvl w:val="3"/>
          <w:numId w:val="13"/>
        </w:numPr>
        <w:tabs>
          <w:tab w:val="left" w:pos="360"/>
          <w:tab w:val="left" w:pos="2268"/>
        </w:tabs>
        <w:overflowPunct w:val="0"/>
        <w:autoSpaceDE w:val="0"/>
        <w:autoSpaceDN w:val="0"/>
        <w:adjustRightInd w:val="0"/>
        <w:spacing w:line="312" w:lineRule="auto"/>
        <w:ind w:left="0" w:hanging="36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距风机一米处噪声小于85分贝。</w:t>
      </w:r>
    </w:p>
    <w:p>
      <w:pP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  （6）能自动控制开停，也能由时间控制器控制开停，现场设有手动控制开头。</w:t>
      </w:r>
    </w:p>
    <w:p>
      <w:pPr>
        <w:pStyle w:val="58"/>
        <w:numPr>
          <w:ilvl w:val="0"/>
          <w:numId w:val="14"/>
        </w:numPr>
        <w:spacing w:line="312" w:lineRule="auto"/>
        <w:ind w:left="0" w:firstLine="0" w:firstLineChars="0"/>
        <w:rPr>
          <w:rFonts w:ascii="宋体" w:hAnsi="宋体" w:cs="宋体"/>
          <w:color w:val="auto"/>
          <w:szCs w:val="21"/>
          <w:highlight w:val="none"/>
        </w:rPr>
      </w:pPr>
      <w:r>
        <w:rPr>
          <w:rFonts w:hint="eastAsia" w:ascii="宋体" w:hAnsi="宋体" w:cs="宋体"/>
          <w:color w:val="auto"/>
          <w:szCs w:val="21"/>
          <w:highlight w:val="none"/>
        </w:rPr>
        <w:t>排风机压力应满足包括以下方面的压力损失：</w:t>
      </w:r>
    </w:p>
    <w:p>
      <w:pPr>
        <w:pStyle w:val="58"/>
        <w:numPr>
          <w:ilvl w:val="0"/>
          <w:numId w:val="15"/>
        </w:numPr>
        <w:spacing w:line="312" w:lineRule="auto"/>
        <w:ind w:left="0" w:firstLineChars="0"/>
        <w:rPr>
          <w:rFonts w:ascii="宋体" w:hAnsi="宋体" w:cs="宋体"/>
          <w:color w:val="auto"/>
          <w:szCs w:val="21"/>
          <w:highlight w:val="none"/>
        </w:rPr>
      </w:pPr>
      <w:r>
        <w:rPr>
          <w:rFonts w:hint="eastAsia" w:ascii="宋体" w:hAnsi="宋体" w:cs="宋体"/>
          <w:color w:val="auto"/>
          <w:szCs w:val="21"/>
          <w:highlight w:val="none"/>
        </w:rPr>
        <w:t>考虑臭气收集风管的管道风压损失；</w:t>
      </w:r>
    </w:p>
    <w:p>
      <w:pPr>
        <w:pStyle w:val="58"/>
        <w:numPr>
          <w:ilvl w:val="0"/>
          <w:numId w:val="15"/>
        </w:numPr>
        <w:spacing w:line="312" w:lineRule="auto"/>
        <w:ind w:left="0" w:firstLineChars="0"/>
        <w:rPr>
          <w:rFonts w:ascii="宋体" w:hAnsi="宋体" w:cs="宋体"/>
          <w:color w:val="auto"/>
          <w:szCs w:val="21"/>
          <w:highlight w:val="none"/>
        </w:rPr>
      </w:pPr>
      <w:r>
        <w:rPr>
          <w:rFonts w:hint="eastAsia" w:ascii="宋体" w:hAnsi="宋体" w:cs="宋体"/>
          <w:color w:val="auto"/>
          <w:szCs w:val="21"/>
          <w:highlight w:val="none"/>
        </w:rPr>
        <w:t>考虑除臭设备系统风压损失。</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技术要求</w:t>
      </w:r>
    </w:p>
    <w:p>
      <w:pPr>
        <w:spacing w:line="312" w:lineRule="auto"/>
        <w:ind w:firstLine="413" w:firstLineChars="197"/>
        <w:rPr>
          <w:rStyle w:val="35"/>
          <w:rFonts w:hint="default" w:cs="宋体"/>
          <w:color w:val="auto"/>
          <w:sz w:val="21"/>
          <w:szCs w:val="21"/>
          <w:highlight w:val="none"/>
        </w:rPr>
      </w:pPr>
      <w:r>
        <w:rPr>
          <w:rStyle w:val="35"/>
          <w:rFonts w:hint="default" w:cs="宋体"/>
          <w:color w:val="auto"/>
          <w:sz w:val="21"/>
          <w:szCs w:val="21"/>
          <w:highlight w:val="none"/>
        </w:rPr>
        <w:t>除臭系统所用水泵全部采用耐腐蚀泵，保持足够的流量和扬程，能24小时连续运转。电机防护等级为IP55，绝缘等级为F。</w:t>
      </w:r>
    </w:p>
    <w:p>
      <w:pPr>
        <w:spacing w:line="312" w:lineRule="auto"/>
        <w:ind w:firstLine="413" w:firstLineChars="197"/>
        <w:rPr>
          <w:rFonts w:ascii="宋体" w:hAnsi="宋体" w:cs="宋体"/>
          <w:color w:val="auto"/>
          <w:szCs w:val="21"/>
          <w:highlight w:val="none"/>
        </w:rPr>
      </w:pPr>
      <w:r>
        <w:rPr>
          <w:rStyle w:val="35"/>
          <w:rFonts w:hint="default" w:cs="宋体"/>
          <w:color w:val="auto"/>
          <w:sz w:val="21"/>
          <w:szCs w:val="21"/>
          <w:highlight w:val="none"/>
        </w:rPr>
        <w:t xml:space="preserve"> 水泵应配用耐腐蚀泵的壳体、主轴及叶轮等所有部件，过滤部件采用不锈钢316材质。水泵的流量、扬程应与除臭系统设备相匹配。水泵应加装不锈钢防雨罩，带控制隔离阀、滤网、接头、法兰管、喷嘴组件等。</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除臭控制系统</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控制要求</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臭系统采取三级控制结构设计：现场手动、就地自动和监控中心控制。现场手动控制具有最高的控制优先级，就地自动控制其次，现场手动控制是由现场控制柜的控制按钮和触摸屏完成，同时具有触摸屏虚拟按钮和柜门实体按钮的功能；就地自动是通过</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PLC 完成信息采集、指令执行以及运行优化等达到除臭系统的自动运行目的。监控中心控制是指设置在控制室的自控系统对除臭系统进行远程控制，控制功能为手动和自动的结合体，除臭系统运行中的所有数据均需在自控系统操作界面上体现。</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除臭系统成套设备需配置 1 套 PLC 控制系统，预留以太网接口。设备系统内部的联锁、联动、自动等自动化功能由投标人根据工艺要求自行编制程序。中标人编制的 PLC 程序等软件知识产权均与招标人共有，中标人在完成所有软件编制后应移交招标人。如在试运行中出现程序优化等变动，应在变动结束后与招标人同步。</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除臭系统采用 PLC 全自动控制，现场控制柜配备国内外知名品牌触摸屏， 具有直观的人机界面，参数方便修改，控制面板上能显示系统单体部件的工作状态或参数。保证除臭系统在正常运行所需的各种控制及显示功能，至少包括以下功能：参数显示；设备的控制及工作状态显示；设备的电流和电压显示；设备的故障报警及分级处理；风机、水泵实际运行相关参数显示、修改；各电动阀门的工况显示以及按业主要求需显示的各工艺设备参数等。除臭系统除实现除臭过程全自动控制的常规功能外，还具备完善的故障自诊断和处理能力，系统在无人值守条件下的安全可靠运行。</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运行模式</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运行模式：除臭系统内各主要设备（风机、水泵、阀门）均要求可以手动和自动两种方式操控。在自控状态下，除臭系统要求可以按照时间控制模式或联动控制模式实现自动连续运行。风机应采用变频工作，每套除臭系统配套1台变频器，变频器应选用西门子、施耐德、ABB 或同档次及以上品牌。</w:t>
      </w:r>
    </w:p>
    <w:p>
      <w:pPr>
        <w:pStyle w:val="5"/>
        <w:spacing w:before="0" w:after="0" w:line="312" w:lineRule="auto"/>
        <w:rPr>
          <w:rFonts w:ascii="宋体" w:hAnsi="宋体" w:cs="宋体"/>
          <w:color w:val="auto"/>
          <w:sz w:val="21"/>
          <w:szCs w:val="21"/>
          <w:highlight w:val="none"/>
        </w:rPr>
      </w:pPr>
      <w:r>
        <w:rPr>
          <w:rFonts w:hint="eastAsia" w:ascii="宋体" w:hAnsi="宋体" w:cs="宋体"/>
          <w:color w:val="auto"/>
          <w:sz w:val="21"/>
          <w:szCs w:val="21"/>
          <w:highlight w:val="none"/>
        </w:rPr>
        <w:t>控制柜及电缆要求</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由配套供应的电气控制柜（箱），箱体采用内外双层门结构，控制柜（箱）室外落地支架安装，采用厚度不小于1.5mm 的不锈钢板制作，门锁铰链采用不锈钢304材质, 防护等级 IP55。控制柜（箱）及支架、固定螺栓均采用 304 不锈钢材质。</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现场电气控制柜（箱）需满足防潮、防小动物入侵。电缆进出口用封口泥封堵。</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现场控制柜内的 PLC 采用西门子 S7-200smart 系列或同档次以上品牌产品，主要电器元件选用西门子、施耐德、ABB 或同档次及以上品牌。控制柜必须带有工业以太网通讯接口模块，以便与原厂区自控系统通讯。</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1）电气设备和系统符合中国国家标准和规范、国际电工技术委员会标准。</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2）控制系统适合业主提供电源：380V±10%，50Hz±3%。</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3）配套的各台电机满足拖动设备的负载特性。</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4）电动机的绝缘等级为F级。防护等级不低于户外IP55，户内IP54。</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5）主体设备配有成套电气传动设备、仪器仪表、检测元件、电控设备以及相应的电力、控制、信号电缆。</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6）所有仪表测量性能（精度、灵敏度、量程等）可满足工艺测量和控制要求。所选的检测仪表必须考虑介质的腐蚀性，分析仪表选择质量可靠的国产仪表，并与目前使用的系统相匹配；</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7）具备控制整个设备系统的PLC系统，实现对所有设备、仪表的自动监测和控制。系统设备保证达到无人在场条件下能全自动运行和控制。</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8）控制系统采用可编程序控制器。控制柜上设有现场/远程控制转换开关、紧急停车按钮、声光报警系统；</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9）作为中央控制系统的一个子系统，具有标准开放的通讯协议及相关软硬件接口的配合，能实现中央控制系统对系统的自动监测控制。</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控制系统中预留足够接点，便于将供货范围之外的但需要系统进行控制的设备纳入该控制系统中。控制系统的PLC系统输入输出模块点数留有至少10%的冗余余量，预留通讯接口，以便今后采集信息及信息联网。系统检验</w:t>
      </w:r>
    </w:p>
    <w:bookmarkEnd w:id="333"/>
    <w:p>
      <w:pPr>
        <w:pStyle w:val="3"/>
        <w:spacing w:line="312" w:lineRule="auto"/>
        <w:jc w:val="both"/>
        <w:rPr>
          <w:rFonts w:cs="宋体"/>
          <w:color w:val="auto"/>
          <w:sz w:val="21"/>
          <w:szCs w:val="21"/>
          <w:highlight w:val="none"/>
        </w:rPr>
      </w:pPr>
      <w:r>
        <w:rPr>
          <w:rFonts w:hint="eastAsia" w:cs="宋体"/>
          <w:color w:val="auto"/>
          <w:sz w:val="21"/>
          <w:szCs w:val="21"/>
          <w:highlight w:val="none"/>
        </w:rPr>
        <w:t>涂漆、标志色及标牌</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所有外表面的油漆应适合指定的环境条件。油漆（包括底漆和面漆）、发运准备以及涂装程序应经承包商批准。最终色码应符合买方的要求。</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所有设备和配件应装设有刻文的标识牌；标牌材质应为不锈钢。</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所有标牌和文字应足够大以便在正常运行和维修的位置容易读到。 </w:t>
      </w:r>
    </w:p>
    <w:p>
      <w:pPr>
        <w:spacing w:line="312"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所有警示或危险告示应为黄底黑字；所有其他标牌则为白底黑字。</w:t>
      </w:r>
    </w:p>
    <w:p>
      <w:pPr>
        <w:rPr>
          <w:rFonts w:ascii="宋体" w:hAnsi="宋体" w:cs="宋体"/>
          <w:color w:val="auto"/>
          <w:highlight w:val="none"/>
        </w:rPr>
      </w:pPr>
    </w:p>
    <w:p>
      <w:pPr>
        <w:rPr>
          <w:rFonts w:ascii="宋体" w:hAnsi="宋体" w:cs="宋体"/>
          <w:color w:val="auto"/>
          <w:highlight w:val="none"/>
        </w:rPr>
      </w:pPr>
      <w:r>
        <w:rPr>
          <w:rFonts w:hint="eastAsia" w:ascii="宋体" w:hAnsi="宋体" w:cs="宋体"/>
          <w:color w:val="auto"/>
          <w:highlight w:val="none"/>
        </w:rPr>
        <w:br w:type="page"/>
      </w:r>
    </w:p>
    <w:p>
      <w:pPr>
        <w:keepNext/>
        <w:keepLines/>
        <w:spacing w:before="340" w:after="330" w:line="576" w:lineRule="auto"/>
        <w:jc w:val="center"/>
        <w:outlineLvl w:val="0"/>
        <w:rPr>
          <w:rFonts w:ascii="宋体" w:hAnsi="宋体" w:cs="宋体"/>
          <w:b/>
          <w:bCs/>
          <w:color w:val="auto"/>
          <w:kern w:val="44"/>
          <w:sz w:val="32"/>
          <w:szCs w:val="32"/>
          <w:highlight w:val="none"/>
        </w:rPr>
      </w:pPr>
      <w:r>
        <w:rPr>
          <w:rFonts w:hint="eastAsia" w:ascii="宋体" w:hAnsi="宋体" w:cs="宋体"/>
          <w:b/>
          <w:bCs/>
          <w:color w:val="auto"/>
          <w:kern w:val="44"/>
          <w:sz w:val="32"/>
          <w:szCs w:val="32"/>
          <w:highlight w:val="none"/>
        </w:rPr>
        <w:t>第八章  投标文件格式</w:t>
      </w:r>
    </w:p>
    <w:p>
      <w:pPr>
        <w:shd w:val="clear" w:color="auto" w:fill="FFFFFF"/>
        <w:jc w:val="center"/>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（项目名称）招标</w:t>
      </w:r>
    </w:p>
    <w:p>
      <w:pPr>
        <w:shd w:val="clear" w:color="auto" w:fill="FFFFFF"/>
        <w:spacing w:before="312" w:beforeLines="100"/>
        <w:jc w:val="center"/>
        <w:rPr>
          <w:rFonts w:ascii="宋体" w:hAnsi="宋体" w:cs="宋体"/>
          <w:color w:val="auto"/>
          <w:sz w:val="44"/>
          <w:szCs w:val="44"/>
          <w:highlight w:val="none"/>
        </w:rPr>
      </w:pPr>
      <w:r>
        <w:rPr>
          <w:rFonts w:hint="eastAsia" w:ascii="宋体" w:hAnsi="宋体" w:cs="宋体"/>
          <w:color w:val="auto"/>
          <w:sz w:val="44"/>
          <w:szCs w:val="44"/>
          <w:highlight w:val="none"/>
        </w:rPr>
        <w:t>投  标  文  件</w:t>
      </w: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r>
        <w:rPr>
          <w:rFonts w:hint="eastAsia" w:ascii="宋体" w:hAnsi="宋体" w:cs="宋体"/>
          <w:color w:val="auto"/>
          <w:sz w:val="32"/>
          <w:szCs w:val="32"/>
          <w:highlight w:val="none"/>
        </w:rPr>
        <w:t>（商务标）</w:t>
      </w: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（盖章）</w:t>
      </w:r>
    </w:p>
    <w:p>
      <w:pPr>
        <w:shd w:val="clear" w:color="auto" w:fill="FFFFFF"/>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（盖法定代表人印章）</w:t>
      </w:r>
    </w:p>
    <w:p>
      <w:pPr>
        <w:shd w:val="clear" w:color="auto" w:fill="FFFFFF"/>
        <w:rPr>
          <w:rFonts w:ascii="宋体" w:hAnsi="宋体" w:cs="宋体"/>
          <w:color w:val="auto"/>
          <w:sz w:val="28"/>
          <w:szCs w:val="28"/>
          <w:highlight w:val="none"/>
        </w:rPr>
      </w:pPr>
    </w:p>
    <w:p>
      <w:pPr>
        <w:shd w:val="clear" w:color="auto" w:fill="FFFFFF"/>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jc w:val="center"/>
        <w:rPr>
          <w:rFonts w:ascii="宋体" w:hAnsi="宋体" w:cs="宋体"/>
          <w:color w:val="auto"/>
          <w:sz w:val="28"/>
          <w:szCs w:val="28"/>
          <w:highlight w:val="none"/>
        </w:rPr>
      </w:pPr>
      <w:r>
        <w:rPr>
          <w:rFonts w:hint="eastAsia" w:ascii="宋体" w:hAnsi="宋体" w:cs="宋体"/>
          <w:color w:val="auto"/>
          <w:szCs w:val="21"/>
          <w:highlight w:val="none"/>
        </w:rPr>
        <w:br w:type="page"/>
      </w:r>
      <w:r>
        <w:rPr>
          <w:rFonts w:hint="eastAsia" w:ascii="宋体" w:hAnsi="宋体" w:cs="宋体"/>
          <w:b/>
          <w:color w:val="auto"/>
          <w:sz w:val="32"/>
          <w:szCs w:val="32"/>
          <w:highlight w:val="none"/>
        </w:rPr>
        <w:t>目   录</w:t>
      </w:r>
      <w:r>
        <w:rPr>
          <w:rFonts w:hint="eastAsia" w:ascii="宋体" w:hAnsi="宋体" w:cs="宋体"/>
          <w:b/>
          <w:color w:val="auto"/>
          <w:sz w:val="32"/>
          <w:szCs w:val="32"/>
          <w:highlight w:val="none"/>
        </w:rPr>
        <w:cr/>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商务标内容：</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（1）授权委托书（附件一）</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（2）投标函（附件二）</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（3）投标承诺书（附件三）</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（4）投标设备材料报价明细表（附件四）</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（5）随机专用工具及备品备件明细表（附件五）</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（6）供招标人选购的备品备件一览表（附件六）</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（7）驻项目现场的工程技术、管理人员</w:t>
      </w:r>
    </w:p>
    <w:p>
      <w:pPr>
        <w:spacing w:line="500" w:lineRule="exact"/>
        <w:ind w:firstLine="420" w:firstLineChars="200"/>
        <w:rPr>
          <w:rFonts w:ascii="宋体" w:hAnsi="宋体" w:cs="宋体"/>
          <w:color w:val="auto"/>
          <w:highlight w:val="none"/>
        </w:rPr>
      </w:pPr>
      <w:r>
        <w:rPr>
          <w:rFonts w:hint="eastAsia" w:ascii="宋体" w:hAnsi="宋体" w:cs="宋体"/>
          <w:color w:val="auto"/>
          <w:highlight w:val="none"/>
        </w:rPr>
        <w:t>（8）投标人需要说明的其他文件和说明（如有，格式自拟）</w:t>
      </w:r>
    </w:p>
    <w:p>
      <w:pPr>
        <w:spacing w:after="120"/>
        <w:ind w:left="420" w:leftChars="200"/>
        <w:rPr>
          <w:rFonts w:ascii="宋体" w:hAnsi="宋体" w:cs="宋体"/>
          <w:bCs/>
          <w:color w:val="auto"/>
          <w:sz w:val="16"/>
          <w:highlight w:val="none"/>
        </w:rPr>
      </w:pPr>
      <w:r>
        <w:rPr>
          <w:rFonts w:hint="eastAsia" w:ascii="宋体" w:hAnsi="宋体" w:cs="宋体"/>
          <w:bCs/>
          <w:color w:val="auto"/>
          <w:sz w:val="16"/>
          <w:highlight w:val="none"/>
        </w:rPr>
        <w:br w:type="page"/>
      </w:r>
      <w:r>
        <w:rPr>
          <w:rFonts w:hint="eastAsia" w:ascii="宋体" w:hAnsi="宋体" w:cs="宋体"/>
          <w:color w:val="auto"/>
          <w:szCs w:val="21"/>
          <w:highlight w:val="none"/>
        </w:rPr>
        <w:t>附件一</w:t>
      </w:r>
    </w:p>
    <w:p>
      <w:pPr>
        <w:spacing w:after="120"/>
        <w:ind w:left="420" w:leftChars="200"/>
        <w:rPr>
          <w:rFonts w:ascii="宋体" w:hAnsi="宋体" w:cs="宋体"/>
          <w:b/>
          <w:color w:val="auto"/>
          <w:sz w:val="16"/>
          <w:highlight w:val="none"/>
        </w:rPr>
      </w:pPr>
    </w:p>
    <w:p>
      <w:pPr>
        <w:spacing w:after="120"/>
        <w:ind w:left="420" w:leftChars="200"/>
        <w:jc w:val="center"/>
        <w:rPr>
          <w:rFonts w:ascii="宋体" w:hAnsi="宋体" w:cs="宋体"/>
          <w:b/>
          <w:color w:val="auto"/>
          <w:sz w:val="16"/>
          <w:highlight w:val="none"/>
        </w:rPr>
      </w:pPr>
      <w:r>
        <w:rPr>
          <w:rFonts w:hint="eastAsia" w:ascii="宋体" w:hAnsi="宋体" w:cs="宋体"/>
          <w:b/>
          <w:color w:val="auto"/>
          <w:sz w:val="32"/>
          <w:szCs w:val="32"/>
          <w:highlight w:val="none"/>
        </w:rPr>
        <w:t>授 权 委 托 书</w:t>
      </w:r>
      <w:r>
        <w:rPr>
          <w:rFonts w:hint="eastAsia" w:ascii="宋体" w:hAnsi="宋体" w:cs="宋体"/>
          <w:b/>
          <w:color w:val="auto"/>
          <w:sz w:val="32"/>
          <w:szCs w:val="32"/>
          <w:highlight w:val="none"/>
        </w:rPr>
        <w:cr/>
      </w:r>
    </w:p>
    <w:p>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本人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（投标人名称）的法定代表人，现委托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（姓名）为我方代理人。代理人根据授权，以我方名义签署、澄清、说明、补正、递交、撤回、修改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（项目名称）投标文件、签订合同和处理有关事宜， 其法律后果由我方承担。</w:t>
      </w:r>
      <w:r>
        <w:rPr>
          <w:rFonts w:hint="eastAsia" w:ascii="宋体" w:hAnsi="宋体" w:cs="宋体"/>
          <w:color w:val="auto"/>
          <w:szCs w:val="21"/>
          <w:highlight w:val="none"/>
        </w:rPr>
        <w:cr/>
      </w:r>
      <w:r>
        <w:rPr>
          <w:rFonts w:hint="eastAsia" w:ascii="宋体" w:hAnsi="宋体" w:cs="宋体"/>
          <w:color w:val="auto"/>
          <w:szCs w:val="21"/>
          <w:highlight w:val="none"/>
        </w:rPr>
        <w:t xml:space="preserve">    委托期限：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rPr>
        <w:cr/>
      </w:r>
      <w:r>
        <w:rPr>
          <w:rFonts w:hint="eastAsia" w:ascii="宋体" w:hAnsi="宋体" w:cs="宋体"/>
          <w:color w:val="auto"/>
          <w:szCs w:val="21"/>
          <w:highlight w:val="none"/>
        </w:rPr>
        <w:t xml:space="preserve">    代理人无转委托权。</w:t>
      </w:r>
      <w:r>
        <w:rPr>
          <w:rFonts w:hint="eastAsia" w:ascii="宋体" w:hAnsi="宋体" w:cs="宋体"/>
          <w:color w:val="auto"/>
          <w:szCs w:val="21"/>
          <w:highlight w:val="none"/>
        </w:rPr>
        <w:cr/>
      </w:r>
    </w:p>
    <w:p>
      <w:pPr>
        <w:spacing w:line="500" w:lineRule="exact"/>
        <w:ind w:firstLine="420"/>
        <w:rPr>
          <w:rFonts w:ascii="宋体" w:hAnsi="宋体" w:cs="宋体"/>
          <w:color w:val="auto"/>
          <w:szCs w:val="21"/>
          <w:highlight w:val="none"/>
        </w:rPr>
      </w:pPr>
    </w:p>
    <w:p>
      <w:pPr>
        <w:spacing w:line="500" w:lineRule="exact"/>
        <w:ind w:firstLine="420"/>
        <w:rPr>
          <w:rFonts w:ascii="宋体" w:hAnsi="宋体" w:cs="宋体"/>
          <w:color w:val="auto"/>
          <w:szCs w:val="21"/>
          <w:highlight w:val="none"/>
        </w:rPr>
      </w:pPr>
    </w:p>
    <w:p>
      <w:pPr>
        <w:spacing w:line="500" w:lineRule="exact"/>
        <w:ind w:firstLine="420"/>
        <w:rPr>
          <w:rFonts w:ascii="宋体" w:hAnsi="宋体" w:cs="宋体"/>
          <w:color w:val="auto"/>
          <w:szCs w:val="21"/>
          <w:highlight w:val="none"/>
        </w:rPr>
      </w:pPr>
    </w:p>
    <w:p>
      <w:pPr>
        <w:spacing w:line="500" w:lineRule="exact"/>
        <w:ind w:firstLine="420"/>
        <w:rPr>
          <w:rFonts w:ascii="宋体" w:hAnsi="宋体" w:cs="宋体"/>
          <w:color w:val="auto"/>
          <w:szCs w:val="21"/>
          <w:highlight w:val="none"/>
        </w:rPr>
      </w:pPr>
    </w:p>
    <w:p>
      <w:pPr>
        <w:spacing w:line="500" w:lineRule="exact"/>
        <w:ind w:left="2402" w:leftChars="1144"/>
        <w:rPr>
          <w:rFonts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r>
        <w:rPr>
          <w:rFonts w:hint="eastAsia" w:ascii="宋体" w:hAnsi="宋体" w:cs="宋体"/>
          <w:color w:val="auto"/>
          <w:szCs w:val="21"/>
          <w:highlight w:val="none"/>
        </w:rPr>
        <w:cr/>
      </w: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r>
        <w:rPr>
          <w:rFonts w:hint="eastAsia" w:ascii="宋体" w:hAnsi="宋体" w:cs="宋体"/>
          <w:color w:val="auto"/>
          <w:szCs w:val="21"/>
          <w:highlight w:val="none"/>
        </w:rPr>
        <w:cr/>
      </w: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cr/>
      </w:r>
      <w:r>
        <w:rPr>
          <w:rFonts w:hint="eastAsia" w:ascii="宋体" w:hAnsi="宋体" w:cs="宋体"/>
          <w:color w:val="auto"/>
          <w:szCs w:val="21"/>
          <w:highlight w:val="none"/>
        </w:rPr>
        <w:t>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r>
        <w:rPr>
          <w:rFonts w:hint="eastAsia" w:ascii="宋体" w:hAnsi="宋体" w:cs="宋体"/>
          <w:color w:val="auto"/>
          <w:szCs w:val="21"/>
          <w:highlight w:val="none"/>
        </w:rPr>
        <w:cr/>
      </w: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p>
      <w:pPr>
        <w:spacing w:line="500" w:lineRule="exact"/>
        <w:ind w:left="2402" w:leftChars="1144"/>
        <w:rPr>
          <w:rFonts w:ascii="宋体" w:hAnsi="宋体" w:cs="宋体"/>
          <w:color w:val="auto"/>
          <w:szCs w:val="21"/>
          <w:highlight w:val="none"/>
        </w:rPr>
      </w:pPr>
    </w:p>
    <w:p>
      <w:pPr>
        <w:spacing w:line="500" w:lineRule="exact"/>
        <w:ind w:firstLine="4620" w:firstLineChars="2200"/>
        <w:rPr>
          <w:rFonts w:ascii="宋体" w:hAnsi="宋体" w:cs="宋体"/>
          <w:color w:val="auto"/>
          <w:szCs w:val="21"/>
          <w:highlight w:val="none"/>
        </w:rPr>
      </w:pPr>
      <w:r>
        <w:rPr>
          <w:rFonts w:hint="eastAsia" w:ascii="宋体" w:hAnsi="宋体" w:cs="宋体"/>
          <w:color w:val="auto"/>
          <w:szCs w:val="21"/>
          <w:highlight w:val="none"/>
        </w:rPr>
        <w:t xml:space="preserve">年  月  日 </w:t>
      </w:r>
    </w:p>
    <w:p>
      <w:pPr>
        <w:spacing w:line="500" w:lineRule="exact"/>
        <w:rPr>
          <w:rFonts w:ascii="宋体" w:hAnsi="宋体" w:cs="宋体"/>
          <w:bCs/>
          <w:color w:val="auto"/>
          <w:highlight w:val="none"/>
        </w:rPr>
      </w:pPr>
      <w:r>
        <w:rPr>
          <w:rFonts w:hint="eastAsia" w:ascii="宋体" w:hAnsi="宋体" w:cs="宋体"/>
          <w:color w:val="auto"/>
          <w:szCs w:val="21"/>
          <w:highlight w:val="none"/>
        </w:rPr>
        <w:br w:type="page"/>
      </w:r>
      <w:r>
        <w:rPr>
          <w:rFonts w:hint="eastAsia" w:ascii="宋体" w:hAnsi="宋体" w:cs="宋体"/>
          <w:bCs/>
          <w:color w:val="auto"/>
          <w:highlight w:val="none"/>
        </w:rPr>
        <w:t>附件二</w:t>
      </w:r>
    </w:p>
    <w:p>
      <w:pPr>
        <w:spacing w:line="500" w:lineRule="exact"/>
        <w:rPr>
          <w:rFonts w:ascii="宋体" w:hAnsi="宋体" w:cs="宋体"/>
          <w:color w:val="auto"/>
          <w:szCs w:val="21"/>
          <w:highlight w:val="none"/>
        </w:rPr>
      </w:pP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工程 投 标 函</w:t>
      </w:r>
    </w:p>
    <w:p>
      <w:pPr>
        <w:spacing w:line="420" w:lineRule="exac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r>
        <w:rPr>
          <w:rFonts w:hint="eastAsia" w:ascii="宋体" w:hAnsi="宋体" w:cs="宋体"/>
          <w:color w:val="auto"/>
          <w:szCs w:val="21"/>
          <w:highlight w:val="none"/>
        </w:rPr>
        <w:cr/>
      </w:r>
      <w:r>
        <w:rPr>
          <w:rFonts w:hint="eastAsia" w:ascii="宋体" w:hAnsi="宋体" w:cs="宋体"/>
          <w:color w:val="auto"/>
          <w:szCs w:val="21"/>
          <w:highlight w:val="none"/>
        </w:rPr>
        <w:t xml:space="preserve">    1．我方已仔细研究了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（项目名称）招标文件的全部内容，愿意以人民币（大写）</w:t>
      </w:r>
      <w:r>
        <w:rPr>
          <w:rFonts w:hint="eastAsia" w:ascii="宋体" w:hAnsi="宋体" w:cs="宋体"/>
          <w:color w:val="auto"/>
          <w:szCs w:val="21"/>
          <w:highlight w:val="none"/>
          <w:u w:val="single"/>
        </w:rPr>
        <w:t xml:space="preserve">                            元整</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小写￥                 </w:t>
      </w:r>
      <w:r>
        <w:rPr>
          <w:rFonts w:hint="eastAsia" w:ascii="宋体" w:hAnsi="宋体" w:cs="宋体"/>
          <w:color w:val="auto"/>
          <w:szCs w:val="21"/>
          <w:highlight w:val="none"/>
        </w:rPr>
        <w:t>）的条件承包上述项目，</w:t>
      </w:r>
      <w:r>
        <w:rPr>
          <w:rFonts w:hint="eastAsia" w:ascii="宋体" w:hAnsi="宋体" w:cs="宋体"/>
          <w:color w:val="auto"/>
          <w:kern w:val="0"/>
          <w:szCs w:val="21"/>
          <w:highlight w:val="none"/>
        </w:rPr>
        <w:t>交货期：</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，按合同约定实施和</w:t>
      </w:r>
      <w:r>
        <w:rPr>
          <w:rFonts w:hint="eastAsia" w:ascii="宋体" w:hAnsi="宋体" w:cs="宋体"/>
          <w:color w:val="auto"/>
          <w:szCs w:val="21"/>
          <w:highlight w:val="none"/>
        </w:rPr>
        <w:t>完成承包项目，工程质量达到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rPr>
        <w:cr/>
      </w:r>
      <w:r>
        <w:rPr>
          <w:rFonts w:hint="eastAsia" w:ascii="宋体" w:hAnsi="宋体" w:cs="宋体"/>
          <w:color w:val="auto"/>
          <w:szCs w:val="21"/>
          <w:highlight w:val="none"/>
        </w:rPr>
        <w:t xml:space="preserve">    2．我方承诺在投标有效期内不修改、撤销投标文件。</w:t>
      </w:r>
    </w:p>
    <w:p>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3．如我方中标： </w:t>
      </w:r>
      <w:r>
        <w:rPr>
          <w:rFonts w:hint="eastAsia" w:ascii="宋体" w:hAnsi="宋体" w:cs="宋体"/>
          <w:color w:val="auto"/>
          <w:szCs w:val="21"/>
          <w:highlight w:val="none"/>
        </w:rPr>
        <w:cr/>
      </w:r>
      <w:r>
        <w:rPr>
          <w:rFonts w:hint="eastAsia" w:ascii="宋体" w:hAnsi="宋体" w:cs="宋体"/>
          <w:color w:val="auto"/>
          <w:szCs w:val="21"/>
          <w:highlight w:val="none"/>
        </w:rPr>
        <w:t xml:space="preserve">      （1）我方承诺在收到中标通知书后，在中标通知书规定的期限内与你方签订合同。 </w:t>
      </w:r>
      <w:r>
        <w:rPr>
          <w:rFonts w:hint="eastAsia" w:ascii="宋体" w:hAnsi="宋体" w:cs="宋体"/>
          <w:color w:val="auto"/>
          <w:szCs w:val="21"/>
          <w:highlight w:val="none"/>
        </w:rPr>
        <w:cr/>
      </w:r>
      <w:r>
        <w:rPr>
          <w:rFonts w:hint="eastAsia" w:ascii="宋体" w:hAnsi="宋体" w:cs="宋体"/>
          <w:color w:val="auto"/>
          <w:szCs w:val="21"/>
          <w:highlight w:val="none"/>
        </w:rPr>
        <w:t xml:space="preserve">      （2）随同本投标函递交的投标函附录属于合同文件的组成部分。 </w:t>
      </w:r>
      <w:r>
        <w:rPr>
          <w:rFonts w:hint="eastAsia" w:ascii="宋体" w:hAnsi="宋体" w:cs="宋体"/>
          <w:color w:val="auto"/>
          <w:szCs w:val="21"/>
          <w:highlight w:val="none"/>
        </w:rPr>
        <w:cr/>
      </w:r>
      <w:r>
        <w:rPr>
          <w:rFonts w:hint="eastAsia" w:ascii="宋体" w:hAnsi="宋体" w:cs="宋体"/>
          <w:color w:val="auto"/>
          <w:szCs w:val="21"/>
          <w:highlight w:val="none"/>
        </w:rPr>
        <w:t xml:space="preserve">      （3）我方承诺按照招标文件规定向你方递交履约担保。 </w:t>
      </w:r>
      <w:r>
        <w:rPr>
          <w:rFonts w:hint="eastAsia" w:ascii="宋体" w:hAnsi="宋体" w:cs="宋体"/>
          <w:color w:val="auto"/>
          <w:szCs w:val="21"/>
          <w:highlight w:val="none"/>
        </w:rPr>
        <w:cr/>
      </w:r>
      <w:r>
        <w:rPr>
          <w:rFonts w:hint="eastAsia" w:ascii="宋体" w:hAnsi="宋体" w:cs="宋体"/>
          <w:color w:val="auto"/>
          <w:szCs w:val="21"/>
          <w:highlight w:val="none"/>
        </w:rPr>
        <w:t xml:space="preserve">      （4）我方承诺在合同约定的期限内完成并移交全部合同工程。 </w:t>
      </w:r>
      <w:r>
        <w:rPr>
          <w:rFonts w:hint="eastAsia" w:ascii="宋体" w:hAnsi="宋体" w:cs="宋体"/>
          <w:color w:val="auto"/>
          <w:szCs w:val="21"/>
          <w:highlight w:val="none"/>
        </w:rPr>
        <w:cr/>
      </w:r>
      <w:r>
        <w:rPr>
          <w:rFonts w:hint="eastAsia" w:ascii="宋体" w:hAnsi="宋体" w:cs="宋体"/>
          <w:color w:val="auto"/>
          <w:szCs w:val="21"/>
          <w:highlight w:val="none"/>
        </w:rPr>
        <w:t xml:space="preserve">    4．我方在此声明，所递交的投标文件及有关资料内容完整、真实和准确。 </w:t>
      </w:r>
      <w:r>
        <w:rPr>
          <w:rFonts w:hint="eastAsia" w:ascii="宋体" w:hAnsi="宋体" w:cs="宋体"/>
          <w:color w:val="auto"/>
          <w:szCs w:val="21"/>
          <w:highlight w:val="none"/>
        </w:rPr>
        <w:cr/>
      </w:r>
      <w:r>
        <w:rPr>
          <w:rFonts w:hint="eastAsia" w:ascii="宋体" w:hAnsi="宋体" w:cs="宋体"/>
          <w:color w:val="auto"/>
          <w:szCs w:val="21"/>
          <w:highlight w:val="none"/>
        </w:rPr>
        <w:t xml:space="preserve">    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（其他补充说明）。</w:t>
      </w:r>
      <w:r>
        <w:rPr>
          <w:rFonts w:hint="eastAsia" w:ascii="宋体" w:hAnsi="宋体" w:cs="宋体"/>
          <w:color w:val="auto"/>
          <w:szCs w:val="21"/>
          <w:highlight w:val="none"/>
        </w:rPr>
        <w:cr/>
      </w:r>
    </w:p>
    <w:p>
      <w:pPr>
        <w:spacing w:line="420" w:lineRule="exact"/>
        <w:ind w:firstLine="420" w:firstLineChars="200"/>
        <w:rPr>
          <w:rFonts w:ascii="宋体" w:hAnsi="宋体" w:cs="宋体"/>
          <w:color w:val="auto"/>
          <w:szCs w:val="21"/>
          <w:highlight w:val="none"/>
        </w:rPr>
      </w:pPr>
    </w:p>
    <w:p>
      <w:pPr>
        <w:spacing w:line="54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（盖投标人公章）</w:t>
      </w:r>
      <w:r>
        <w:rPr>
          <w:rFonts w:hint="eastAsia" w:ascii="宋体" w:hAnsi="宋体" w:cs="宋体"/>
          <w:color w:val="auto"/>
          <w:szCs w:val="21"/>
          <w:highlight w:val="none"/>
        </w:rPr>
        <w:cr/>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（盖法定代表人印章）</w:t>
      </w:r>
      <w:r>
        <w:rPr>
          <w:rFonts w:hint="eastAsia" w:ascii="宋体" w:hAnsi="宋体" w:cs="宋体"/>
          <w:color w:val="auto"/>
          <w:szCs w:val="21"/>
          <w:highlight w:val="none"/>
        </w:rPr>
        <w:cr/>
      </w:r>
      <w:r>
        <w:rPr>
          <w:rFonts w:hint="eastAsia" w:ascii="宋体" w:hAnsi="宋体" w:cs="宋体"/>
          <w:color w:val="auto"/>
          <w:szCs w:val="21"/>
          <w:highlight w:val="none"/>
        </w:rPr>
        <w:t xml:space="preserve">                                  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cr/>
      </w:r>
      <w:r>
        <w:rPr>
          <w:rFonts w:hint="eastAsia" w:ascii="宋体" w:hAnsi="宋体" w:cs="宋体"/>
          <w:color w:val="auto"/>
          <w:szCs w:val="21"/>
          <w:highlight w:val="none"/>
        </w:rPr>
        <w:t xml:space="preserve">                                  网址：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cr/>
      </w:r>
      <w:r>
        <w:rPr>
          <w:rFonts w:hint="eastAsia" w:ascii="宋体" w:hAnsi="宋体" w:cs="宋体"/>
          <w:color w:val="auto"/>
          <w:szCs w:val="21"/>
          <w:highlight w:val="none"/>
        </w:rPr>
        <w:t xml:space="preserve">                                  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cr/>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w:t>
      </w:r>
    </w:p>
    <w:p>
      <w:pPr>
        <w:spacing w:line="540" w:lineRule="exact"/>
        <w:rPr>
          <w:rFonts w:ascii="宋体" w:hAnsi="宋体" w:cs="宋体"/>
          <w:color w:val="auto"/>
          <w:szCs w:val="21"/>
          <w:highlight w:val="none"/>
        </w:rPr>
      </w:pP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cr/>
      </w:r>
    </w:p>
    <w:p>
      <w:pPr>
        <w:spacing w:line="540" w:lineRule="exact"/>
        <w:ind w:firstLine="5355" w:firstLineChars="2550"/>
        <w:rPr>
          <w:rFonts w:ascii="宋体" w:hAnsi="宋体" w:cs="宋体"/>
          <w:bCs/>
          <w:color w:val="auto"/>
          <w:highlight w:val="none"/>
        </w:rPr>
      </w:pPr>
      <w:r>
        <w:rPr>
          <w:rFonts w:hint="eastAsia" w:ascii="宋体" w:hAnsi="宋体" w:cs="宋体"/>
          <w:color w:val="auto"/>
          <w:szCs w:val="21"/>
          <w:highlight w:val="none"/>
        </w:rPr>
        <w:t xml:space="preserve">年  月  日 </w:t>
      </w:r>
      <w:r>
        <w:rPr>
          <w:rFonts w:hint="eastAsia" w:ascii="宋体" w:hAnsi="宋体" w:cs="宋体"/>
          <w:color w:val="auto"/>
          <w:szCs w:val="21"/>
          <w:highlight w:val="none"/>
        </w:rPr>
        <w:cr/>
      </w:r>
      <w:r>
        <w:rPr>
          <w:rFonts w:hint="eastAsia" w:ascii="宋体" w:hAnsi="宋体" w:cs="宋体"/>
          <w:bCs/>
          <w:color w:val="auto"/>
          <w:highlight w:val="none"/>
        </w:rPr>
        <w:br w:type="page"/>
      </w:r>
      <w:r>
        <w:rPr>
          <w:rFonts w:hint="eastAsia" w:ascii="宋体" w:hAnsi="宋体" w:cs="宋体"/>
          <w:bCs/>
          <w:color w:val="auto"/>
          <w:highlight w:val="none"/>
        </w:rPr>
        <w:t>附件三</w:t>
      </w:r>
    </w:p>
    <w:p>
      <w:pPr>
        <w:spacing w:line="540" w:lineRule="exact"/>
        <w:ind w:firstLine="5355" w:firstLineChars="2550"/>
        <w:rPr>
          <w:rFonts w:ascii="宋体" w:hAnsi="宋体" w:cs="宋体"/>
          <w:bCs/>
          <w:color w:val="auto"/>
          <w:highlight w:val="none"/>
        </w:rPr>
      </w:pPr>
    </w:p>
    <w:p>
      <w:pPr>
        <w:spacing w:line="54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投 标 承 诺 书</w:t>
      </w:r>
    </w:p>
    <w:p>
      <w:pPr>
        <w:spacing w:line="540" w:lineRule="exact"/>
        <w:jc w:val="center"/>
        <w:rPr>
          <w:rFonts w:ascii="宋体" w:hAnsi="宋体" w:cs="宋体"/>
          <w:b/>
          <w:color w:val="auto"/>
          <w:kern w:val="0"/>
          <w:sz w:val="32"/>
          <w:szCs w:val="32"/>
          <w:highlight w:val="none"/>
        </w:rPr>
      </w:pPr>
    </w:p>
    <w:p>
      <w:pPr>
        <w:spacing w:line="540" w:lineRule="exact"/>
        <w:rPr>
          <w:rFonts w:ascii="宋体" w:hAnsi="宋体" w:cs="宋体"/>
          <w:color w:val="auto"/>
          <w:kern w:val="0"/>
          <w:szCs w:val="21"/>
          <w:highlight w:val="none"/>
        </w:rPr>
      </w:pPr>
      <w:r>
        <w:rPr>
          <w:rFonts w:hint="eastAsia" w:ascii="宋体" w:hAnsi="宋体" w:cs="宋体"/>
          <w:color w:val="auto"/>
          <w:kern w:val="0"/>
          <w:szCs w:val="21"/>
          <w:highlight w:val="none"/>
        </w:rPr>
        <w:t>致：</w:t>
      </w:r>
      <w:r>
        <w:rPr>
          <w:rFonts w:hint="eastAsia"/>
          <w:color w:val="auto"/>
          <w:kern w:val="0"/>
          <w:szCs w:val="21"/>
          <w:highlight w:val="none"/>
          <w:u w:val="single"/>
        </w:rPr>
        <w:t xml:space="preserve">                     </w:t>
      </w:r>
      <w:r>
        <w:rPr>
          <w:rFonts w:hint="eastAsia"/>
          <w:color w:val="auto"/>
          <w:kern w:val="0"/>
          <w:szCs w:val="21"/>
          <w:highlight w:val="none"/>
        </w:rPr>
        <w:t>（招标人）</w:t>
      </w:r>
    </w:p>
    <w:p>
      <w:pPr>
        <w:spacing w:line="540" w:lineRule="exact"/>
        <w:ind w:firstLine="570"/>
        <w:rPr>
          <w:rFonts w:ascii="宋体" w:hAnsi="宋体" w:cs="宋体"/>
          <w:color w:val="auto"/>
          <w:kern w:val="0"/>
          <w:szCs w:val="21"/>
          <w:highlight w:val="none"/>
        </w:rPr>
      </w:pPr>
      <w:r>
        <w:rPr>
          <w:rFonts w:hint="eastAsia" w:ascii="宋体" w:hAnsi="宋体" w:cs="宋体"/>
          <w:color w:val="auto"/>
          <w:kern w:val="0"/>
          <w:szCs w:val="21"/>
          <w:highlight w:val="none"/>
        </w:rPr>
        <w:t>根据贵公司</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日发布的</w:t>
      </w:r>
      <w:r>
        <w:rPr>
          <w:rFonts w:hint="eastAsia" w:ascii="宋体" w:hAnsi="宋体" w:cs="宋体"/>
          <w:color w:val="auto"/>
          <w:kern w:val="0"/>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kern w:val="0"/>
          <w:szCs w:val="21"/>
          <w:highlight w:val="none"/>
        </w:rPr>
        <w:t>招标公告，现决定参加</w:t>
      </w:r>
      <w:r>
        <w:rPr>
          <w:rFonts w:hint="eastAsia" w:ascii="宋体" w:hAnsi="宋体" w:cs="宋体"/>
          <w:color w:val="auto"/>
          <w:kern w:val="0"/>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kern w:val="0"/>
          <w:szCs w:val="21"/>
          <w:highlight w:val="none"/>
        </w:rPr>
        <w:t>的竞标，我</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（法定代表人），委托</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（单位全称）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（职务）</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（姓名），作为全权代表，在此做如下法律承诺：</w:t>
      </w:r>
    </w:p>
    <w:p>
      <w:pPr>
        <w:spacing w:line="540" w:lineRule="exact"/>
        <w:ind w:firstLine="570"/>
        <w:rPr>
          <w:rFonts w:ascii="宋体" w:hAnsi="宋体" w:cs="宋体"/>
          <w:color w:val="auto"/>
          <w:kern w:val="0"/>
          <w:szCs w:val="21"/>
          <w:highlight w:val="none"/>
        </w:rPr>
      </w:pPr>
      <w:r>
        <w:rPr>
          <w:rFonts w:hint="eastAsia" w:ascii="宋体" w:hAnsi="宋体" w:cs="宋体"/>
          <w:color w:val="auto"/>
          <w:kern w:val="0"/>
          <w:szCs w:val="21"/>
          <w:highlight w:val="none"/>
        </w:rPr>
        <w:t>1、严格遵守《中华人民共和国民法典》和《绍兴市工程建设项目招标投标管理办法》的一切规定，履行相关义务。</w:t>
      </w:r>
    </w:p>
    <w:p>
      <w:pPr>
        <w:spacing w:line="540" w:lineRule="exact"/>
        <w:ind w:firstLine="570"/>
        <w:rPr>
          <w:rFonts w:ascii="宋体" w:hAnsi="宋体" w:cs="宋体"/>
          <w:color w:val="auto"/>
          <w:kern w:val="0"/>
          <w:szCs w:val="21"/>
          <w:highlight w:val="none"/>
        </w:rPr>
      </w:pPr>
      <w:r>
        <w:rPr>
          <w:rFonts w:hint="eastAsia" w:ascii="宋体" w:hAnsi="宋体" w:cs="宋体"/>
          <w:color w:val="auto"/>
          <w:kern w:val="0"/>
          <w:szCs w:val="21"/>
          <w:highlight w:val="none"/>
        </w:rPr>
        <w:t>2、投标文件的内容真实可靠。</w:t>
      </w:r>
    </w:p>
    <w:p>
      <w:pPr>
        <w:spacing w:line="540" w:lineRule="exact"/>
        <w:ind w:firstLine="570"/>
        <w:rPr>
          <w:rFonts w:ascii="宋体" w:hAnsi="宋体" w:cs="宋体"/>
          <w:color w:val="auto"/>
          <w:kern w:val="0"/>
          <w:szCs w:val="21"/>
          <w:highlight w:val="none"/>
        </w:rPr>
      </w:pPr>
      <w:r>
        <w:rPr>
          <w:rFonts w:hint="eastAsia" w:ascii="宋体" w:hAnsi="宋体" w:cs="宋体"/>
          <w:color w:val="auto"/>
          <w:kern w:val="0"/>
          <w:szCs w:val="21"/>
          <w:highlight w:val="none"/>
        </w:rPr>
        <w:t>3、如果中标，我单位将按照招标文件的具体规定与贵公司签订合同书，并且严格履行合同义务，如在合同执行过程中出现违约行为，愿承担违约责任。</w:t>
      </w:r>
    </w:p>
    <w:p>
      <w:pPr>
        <w:spacing w:line="540" w:lineRule="exact"/>
        <w:ind w:firstLine="570"/>
        <w:rPr>
          <w:rFonts w:ascii="宋体" w:hAnsi="宋体" w:cs="宋体"/>
          <w:color w:val="auto"/>
          <w:kern w:val="0"/>
          <w:szCs w:val="21"/>
          <w:highlight w:val="none"/>
        </w:rPr>
      </w:pPr>
      <w:r>
        <w:rPr>
          <w:rFonts w:hint="eastAsia" w:ascii="宋体" w:hAnsi="宋体" w:cs="宋体"/>
          <w:color w:val="auto"/>
          <w:kern w:val="0"/>
          <w:szCs w:val="21"/>
          <w:highlight w:val="none"/>
        </w:rPr>
        <w:t>4、同意向招标人提供任何与该项投标有关的资料。</w:t>
      </w:r>
    </w:p>
    <w:p>
      <w:pPr>
        <w:spacing w:line="540" w:lineRule="exact"/>
        <w:ind w:firstLine="570"/>
        <w:rPr>
          <w:rFonts w:ascii="宋体" w:hAnsi="宋体" w:cs="宋体"/>
          <w:color w:val="auto"/>
          <w:kern w:val="0"/>
          <w:szCs w:val="21"/>
          <w:highlight w:val="none"/>
        </w:rPr>
      </w:pPr>
      <w:r>
        <w:rPr>
          <w:rFonts w:hint="eastAsia" w:ascii="宋体" w:hAnsi="宋体" w:cs="宋体"/>
          <w:color w:val="auto"/>
          <w:kern w:val="0"/>
          <w:szCs w:val="21"/>
          <w:highlight w:val="none"/>
        </w:rPr>
        <w:t>5、我方同意所提交的投标文件在投标文件有效期内有效，我方将受此约束。</w:t>
      </w:r>
    </w:p>
    <w:p>
      <w:pPr>
        <w:spacing w:line="540" w:lineRule="exact"/>
        <w:ind w:firstLine="570"/>
        <w:rPr>
          <w:rFonts w:ascii="宋体" w:hAnsi="宋体" w:cs="宋体"/>
          <w:color w:val="auto"/>
          <w:kern w:val="0"/>
          <w:szCs w:val="21"/>
          <w:highlight w:val="none"/>
        </w:rPr>
      </w:pPr>
      <w:r>
        <w:rPr>
          <w:rFonts w:hint="eastAsia" w:ascii="宋体" w:hAnsi="宋体" w:cs="宋体"/>
          <w:color w:val="auto"/>
          <w:kern w:val="0"/>
          <w:szCs w:val="21"/>
          <w:highlight w:val="none"/>
        </w:rPr>
        <w:t>6、所有有关本次投标的联络请函、电下列地址：</w:t>
      </w:r>
    </w:p>
    <w:p>
      <w:pPr>
        <w:spacing w:line="540" w:lineRule="exact"/>
        <w:rPr>
          <w:rFonts w:ascii="宋体" w:hAnsi="宋体" w:cs="宋体"/>
          <w:color w:val="auto"/>
          <w:kern w:val="0"/>
          <w:szCs w:val="21"/>
          <w:highlight w:val="none"/>
        </w:rPr>
      </w:pPr>
    </w:p>
    <w:p>
      <w:pPr>
        <w:spacing w:line="540" w:lineRule="exact"/>
        <w:ind w:firstLine="570"/>
        <w:rPr>
          <w:rFonts w:ascii="宋体" w:hAnsi="宋体" w:cs="宋体"/>
          <w:color w:val="auto"/>
          <w:kern w:val="0"/>
          <w:szCs w:val="21"/>
          <w:highlight w:val="none"/>
        </w:rPr>
      </w:pPr>
    </w:p>
    <w:p>
      <w:pPr>
        <w:spacing w:line="540" w:lineRule="exact"/>
        <w:rPr>
          <w:rFonts w:ascii="宋体" w:hAnsi="宋体" w:cs="宋体"/>
          <w:color w:val="auto"/>
          <w:kern w:val="0"/>
          <w:szCs w:val="21"/>
          <w:highlight w:val="none"/>
        </w:rPr>
      </w:pPr>
      <w:r>
        <w:rPr>
          <w:rFonts w:hint="eastAsia" w:ascii="宋体" w:hAnsi="宋体" w:cs="宋体"/>
          <w:color w:val="auto"/>
          <w:kern w:val="0"/>
          <w:szCs w:val="21"/>
          <w:highlight w:val="none"/>
        </w:rPr>
        <w:t>地址：                               邮编：</w:t>
      </w:r>
    </w:p>
    <w:p>
      <w:pPr>
        <w:spacing w:line="540" w:lineRule="exact"/>
        <w:rPr>
          <w:rFonts w:ascii="宋体" w:hAnsi="宋体" w:cs="宋体"/>
          <w:color w:val="auto"/>
          <w:kern w:val="0"/>
          <w:szCs w:val="21"/>
          <w:highlight w:val="none"/>
        </w:rPr>
      </w:pPr>
      <w:r>
        <w:rPr>
          <w:rFonts w:hint="eastAsia" w:ascii="宋体" w:hAnsi="宋体" w:cs="宋体"/>
          <w:color w:val="auto"/>
          <w:kern w:val="0"/>
          <w:szCs w:val="21"/>
          <w:highlight w:val="none"/>
        </w:rPr>
        <w:t>电话：                               传真：</w:t>
      </w:r>
    </w:p>
    <w:p>
      <w:pPr>
        <w:spacing w:line="540" w:lineRule="exact"/>
        <w:rPr>
          <w:rFonts w:ascii="宋体" w:hAnsi="宋体" w:cs="宋体"/>
          <w:color w:val="auto"/>
          <w:kern w:val="0"/>
          <w:szCs w:val="21"/>
          <w:highlight w:val="none"/>
        </w:rPr>
      </w:pPr>
      <w:r>
        <w:rPr>
          <w:rFonts w:hint="eastAsia" w:ascii="宋体" w:hAnsi="宋体" w:cs="宋体"/>
          <w:color w:val="auto"/>
          <w:kern w:val="0"/>
          <w:szCs w:val="21"/>
          <w:highlight w:val="none"/>
        </w:rPr>
        <w:t>法定代表人：                                 （</w:t>
      </w:r>
      <w:r>
        <w:rPr>
          <w:rFonts w:hint="eastAsia" w:ascii="宋体" w:hAnsi="宋体" w:cs="宋体"/>
          <w:color w:val="auto"/>
          <w:szCs w:val="21"/>
          <w:highlight w:val="none"/>
        </w:rPr>
        <w:t>盖法定代表人印章</w:t>
      </w:r>
      <w:r>
        <w:rPr>
          <w:rFonts w:hint="eastAsia" w:ascii="宋体" w:hAnsi="宋体" w:cs="宋体"/>
          <w:color w:val="auto"/>
          <w:kern w:val="0"/>
          <w:szCs w:val="21"/>
          <w:highlight w:val="none"/>
        </w:rPr>
        <w:t>）</w:t>
      </w:r>
    </w:p>
    <w:p>
      <w:pPr>
        <w:spacing w:line="540" w:lineRule="exact"/>
        <w:rPr>
          <w:color w:val="auto"/>
          <w:highlight w:val="none"/>
        </w:rPr>
      </w:pPr>
      <w:r>
        <w:rPr>
          <w:rFonts w:hint="eastAsia" w:ascii="宋体" w:hAnsi="宋体" w:cs="宋体"/>
          <w:color w:val="auto"/>
          <w:kern w:val="0"/>
          <w:szCs w:val="21"/>
          <w:highlight w:val="none"/>
        </w:rPr>
        <w:t>投标人全称：                                 （</w:t>
      </w:r>
      <w:r>
        <w:rPr>
          <w:rFonts w:hint="eastAsia" w:ascii="宋体" w:hAnsi="宋体" w:cs="宋体"/>
          <w:color w:val="auto"/>
          <w:szCs w:val="21"/>
          <w:highlight w:val="none"/>
        </w:rPr>
        <w:t>盖投标人公章</w:t>
      </w:r>
      <w:r>
        <w:rPr>
          <w:rFonts w:hint="eastAsia" w:ascii="宋体" w:hAnsi="宋体" w:cs="宋体"/>
          <w:color w:val="auto"/>
          <w:kern w:val="0"/>
          <w:szCs w:val="21"/>
          <w:highlight w:val="none"/>
        </w:rPr>
        <w:t>）</w:t>
      </w:r>
    </w:p>
    <w:p>
      <w:pPr>
        <w:spacing w:after="120"/>
        <w:ind w:left="420" w:leftChars="200"/>
        <w:rPr>
          <w:rFonts w:ascii="宋体" w:hAnsi="宋体" w:cs="宋体"/>
          <w:color w:val="auto"/>
          <w:kern w:val="0"/>
          <w:szCs w:val="21"/>
          <w:highlight w:val="none"/>
        </w:rPr>
      </w:pPr>
    </w:p>
    <w:p>
      <w:pPr>
        <w:spacing w:after="120"/>
        <w:ind w:left="420" w:leftChars="200"/>
        <w:rPr>
          <w:rFonts w:ascii="宋体" w:hAnsi="宋体" w:cs="宋体"/>
          <w:color w:val="auto"/>
          <w:kern w:val="0"/>
          <w:szCs w:val="21"/>
          <w:highlight w:val="none"/>
        </w:rPr>
      </w:pPr>
      <w:r>
        <w:rPr>
          <w:rFonts w:hint="eastAsia" w:ascii="宋体" w:hAnsi="宋体" w:cs="宋体"/>
          <w:color w:val="auto"/>
          <w:kern w:val="0"/>
          <w:szCs w:val="21"/>
          <w:highlight w:val="none"/>
        </w:rPr>
        <w:t>年     月    日</w:t>
      </w:r>
    </w:p>
    <w:p>
      <w:pPr>
        <w:spacing w:line="540" w:lineRule="exact"/>
        <w:jc w:val="left"/>
        <w:rPr>
          <w:rFonts w:ascii="宋体" w:hAnsi="宋体" w:cs="宋体"/>
          <w:bCs/>
          <w:color w:val="auto"/>
          <w:highlight w:val="none"/>
        </w:rPr>
        <w:sectPr>
          <w:headerReference r:id="rId7" w:type="first"/>
          <w:footerReference r:id="rId10" w:type="first"/>
          <w:headerReference r:id="rId6" w:type="default"/>
          <w:footerReference r:id="rId8" w:type="default"/>
          <w:footerReference r:id="rId9" w:type="even"/>
          <w:pgSz w:w="11906" w:h="16838"/>
          <w:pgMar w:top="1418" w:right="1418" w:bottom="1418" w:left="1418" w:header="851" w:footer="992" w:gutter="0"/>
          <w:cols w:space="720" w:num="1"/>
          <w:titlePg/>
          <w:rtlGutter w:val="1"/>
          <w:docGrid w:type="lines" w:linePitch="312" w:charSpace="0"/>
        </w:sectPr>
      </w:pPr>
    </w:p>
    <w:p>
      <w:pPr>
        <w:spacing w:line="540" w:lineRule="exact"/>
        <w:jc w:val="left"/>
        <w:rPr>
          <w:rFonts w:ascii="宋体" w:hAnsi="宋体" w:cs="宋体"/>
          <w:bCs/>
          <w:color w:val="auto"/>
          <w:highlight w:val="none"/>
        </w:rPr>
      </w:pPr>
      <w:r>
        <w:rPr>
          <w:rFonts w:hint="eastAsia" w:ascii="宋体" w:hAnsi="宋体" w:cs="宋体"/>
          <w:bCs/>
          <w:color w:val="auto"/>
          <w:highlight w:val="none"/>
        </w:rPr>
        <w:t>附件四</w:t>
      </w:r>
    </w:p>
    <w:p>
      <w:pPr>
        <w:spacing w:line="540" w:lineRule="exact"/>
        <w:jc w:val="center"/>
        <w:rPr>
          <w:rFonts w:ascii="宋体" w:hAnsi="宋体" w:cs="宋体"/>
          <w:color w:val="auto"/>
          <w:sz w:val="44"/>
          <w:szCs w:val="44"/>
          <w:highlight w:val="none"/>
        </w:rPr>
      </w:pPr>
      <w:r>
        <w:rPr>
          <w:rFonts w:hint="eastAsia" w:ascii="宋体" w:hAnsi="宋体" w:cs="宋体"/>
          <w:b/>
          <w:color w:val="auto"/>
          <w:kern w:val="0"/>
          <w:sz w:val="32"/>
          <w:szCs w:val="32"/>
          <w:highlight w:val="none"/>
        </w:rPr>
        <w:t>投标设备材料报价明细表</w:t>
      </w:r>
    </w:p>
    <w:p>
      <w:pPr>
        <w:spacing w:after="120"/>
        <w:rPr>
          <w:rFonts w:ascii="宋体" w:hAnsi="宋体" w:cs="宋体"/>
          <w:color w:val="auto"/>
          <w:highlight w:val="none"/>
          <w:u w:val="single"/>
        </w:rPr>
      </w:pPr>
      <w:r>
        <w:rPr>
          <w:rFonts w:hint="eastAsia" w:ascii="宋体" w:hAnsi="宋体" w:cs="宋体"/>
          <w:color w:val="auto"/>
          <w:szCs w:val="21"/>
          <w:highlight w:val="none"/>
        </w:rPr>
        <w:t>项目名称：                                                                                                                   单位：元</w:t>
      </w:r>
    </w:p>
    <w:tbl>
      <w:tblPr>
        <w:tblStyle w:val="28"/>
        <w:tblW w:w="15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584"/>
        <w:gridCol w:w="2551"/>
        <w:gridCol w:w="1641"/>
        <w:gridCol w:w="1276"/>
        <w:gridCol w:w="1276"/>
        <w:gridCol w:w="1701"/>
        <w:gridCol w:w="2126"/>
        <w:gridCol w:w="1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9" w:hRule="atLeast"/>
          <w:jc w:val="center"/>
        </w:trPr>
        <w:tc>
          <w:tcPr>
            <w:tcW w:w="648"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584"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货物名称</w:t>
            </w:r>
          </w:p>
        </w:tc>
        <w:tc>
          <w:tcPr>
            <w:tcW w:w="2551"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型号规格</w:t>
            </w:r>
          </w:p>
        </w:tc>
        <w:tc>
          <w:tcPr>
            <w:tcW w:w="1641"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品牌及产地</w:t>
            </w:r>
          </w:p>
        </w:tc>
        <w:tc>
          <w:tcPr>
            <w:tcW w:w="1276"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276"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1701"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综合单价（元）</w:t>
            </w:r>
          </w:p>
        </w:tc>
        <w:tc>
          <w:tcPr>
            <w:tcW w:w="2126"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合价</w:t>
            </w:r>
          </w:p>
        </w:tc>
        <w:tc>
          <w:tcPr>
            <w:tcW w:w="1303" w:type="dxa"/>
            <w:tcBorders>
              <w:bottom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vAlign w:val="center"/>
          </w:tcPr>
          <w:p>
            <w:pPr>
              <w:spacing w:line="360" w:lineRule="exact"/>
              <w:jc w:val="center"/>
              <w:rPr>
                <w:rFonts w:ascii="宋体" w:hAnsi="宋体" w:cs="宋体"/>
                <w:color w:val="auto"/>
                <w:kern w:val="0"/>
                <w:sz w:val="20"/>
                <w:szCs w:val="21"/>
                <w:highlight w:val="none"/>
              </w:rPr>
            </w:pPr>
          </w:p>
        </w:tc>
        <w:tc>
          <w:tcPr>
            <w:tcW w:w="2584" w:type="dxa"/>
            <w:vAlign w:val="center"/>
          </w:tcPr>
          <w:p>
            <w:pPr>
              <w:spacing w:line="360" w:lineRule="exact"/>
              <w:jc w:val="center"/>
              <w:rPr>
                <w:rFonts w:ascii="宋体" w:hAnsi="宋体" w:cs="宋体"/>
                <w:color w:val="auto"/>
                <w:kern w:val="0"/>
                <w:sz w:val="20"/>
                <w:szCs w:val="21"/>
                <w:highlight w:val="none"/>
              </w:rPr>
            </w:pPr>
          </w:p>
        </w:tc>
        <w:tc>
          <w:tcPr>
            <w:tcW w:w="2551" w:type="dxa"/>
            <w:vAlign w:val="center"/>
          </w:tcPr>
          <w:p>
            <w:pPr>
              <w:spacing w:line="360" w:lineRule="exact"/>
              <w:jc w:val="center"/>
              <w:rPr>
                <w:rFonts w:ascii="宋体" w:hAnsi="宋体" w:cs="宋体"/>
                <w:color w:val="auto"/>
                <w:kern w:val="0"/>
                <w:sz w:val="20"/>
                <w:szCs w:val="21"/>
                <w:highlight w:val="none"/>
              </w:rPr>
            </w:pPr>
          </w:p>
        </w:tc>
        <w:tc>
          <w:tcPr>
            <w:tcW w:w="1641"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276" w:type="dxa"/>
            <w:vAlign w:val="center"/>
          </w:tcPr>
          <w:p>
            <w:pPr>
              <w:spacing w:line="360" w:lineRule="exact"/>
              <w:jc w:val="center"/>
              <w:rPr>
                <w:rFonts w:ascii="宋体" w:hAnsi="宋体" w:cs="宋体"/>
                <w:color w:val="auto"/>
                <w:kern w:val="0"/>
                <w:sz w:val="20"/>
                <w:szCs w:val="21"/>
                <w:highlight w:val="none"/>
              </w:rPr>
            </w:pPr>
          </w:p>
        </w:tc>
        <w:tc>
          <w:tcPr>
            <w:tcW w:w="1701" w:type="dxa"/>
          </w:tcPr>
          <w:p>
            <w:pPr>
              <w:spacing w:line="360" w:lineRule="exact"/>
              <w:jc w:val="center"/>
              <w:rPr>
                <w:rFonts w:ascii="宋体" w:hAnsi="宋体" w:cs="宋体"/>
                <w:color w:val="auto"/>
                <w:kern w:val="0"/>
                <w:sz w:val="20"/>
                <w:szCs w:val="21"/>
                <w:highlight w:val="none"/>
              </w:rPr>
            </w:pPr>
          </w:p>
        </w:tc>
        <w:tc>
          <w:tcPr>
            <w:tcW w:w="2126" w:type="dxa"/>
            <w:vAlign w:val="center"/>
          </w:tcPr>
          <w:p>
            <w:pPr>
              <w:spacing w:line="360" w:lineRule="exact"/>
              <w:jc w:val="center"/>
              <w:rPr>
                <w:rFonts w:ascii="宋体" w:hAnsi="宋体" w:cs="宋体"/>
                <w:color w:val="auto"/>
                <w:kern w:val="0"/>
                <w:sz w:val="20"/>
                <w:szCs w:val="21"/>
                <w:highlight w:val="none"/>
              </w:rPr>
            </w:pPr>
          </w:p>
        </w:tc>
        <w:tc>
          <w:tcPr>
            <w:tcW w:w="1303" w:type="dxa"/>
          </w:tcPr>
          <w:p>
            <w:pPr>
              <w:spacing w:line="360" w:lineRule="exact"/>
              <w:jc w:val="center"/>
              <w:rPr>
                <w:rFonts w:ascii="宋体" w:hAnsi="宋体" w:cs="宋体"/>
                <w:color w:val="auto"/>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8" w:type="dxa"/>
          </w:tcPr>
          <w:p>
            <w:pPr>
              <w:spacing w:line="360" w:lineRule="exact"/>
              <w:rPr>
                <w:rFonts w:ascii="宋体" w:hAnsi="宋体" w:cs="宋体"/>
                <w:color w:val="auto"/>
                <w:kern w:val="0"/>
                <w:sz w:val="20"/>
                <w:szCs w:val="21"/>
                <w:highlight w:val="none"/>
              </w:rPr>
            </w:pPr>
          </w:p>
        </w:tc>
        <w:tc>
          <w:tcPr>
            <w:tcW w:w="13155" w:type="dxa"/>
            <w:gridSpan w:val="7"/>
          </w:tcPr>
          <w:p>
            <w:pPr>
              <w:spacing w:line="360" w:lineRule="exact"/>
              <w:rPr>
                <w:rFonts w:ascii="宋体" w:hAnsi="宋体" w:cs="宋体"/>
                <w:color w:val="auto"/>
                <w:kern w:val="0"/>
                <w:sz w:val="20"/>
                <w:szCs w:val="21"/>
                <w:highlight w:val="none"/>
              </w:rPr>
            </w:pPr>
            <w:r>
              <w:rPr>
                <w:rFonts w:hint="eastAsia" w:ascii="宋体" w:hAnsi="宋体" w:cs="宋体"/>
                <w:color w:val="auto"/>
                <w:kern w:val="0"/>
                <w:sz w:val="20"/>
                <w:szCs w:val="21"/>
                <w:highlight w:val="none"/>
              </w:rPr>
              <w:t>投标总价：（大写）</w:t>
            </w:r>
            <w:r>
              <w:rPr>
                <w:rFonts w:hint="eastAsia" w:ascii="宋体" w:hAnsi="宋体" w:cs="宋体"/>
                <w:color w:val="auto"/>
                <w:kern w:val="0"/>
                <w:sz w:val="20"/>
                <w:szCs w:val="21"/>
                <w:highlight w:val="none"/>
                <w:u w:val="single"/>
              </w:rPr>
              <w:t xml:space="preserve">                                  </w:t>
            </w:r>
            <w:r>
              <w:rPr>
                <w:rFonts w:hint="eastAsia" w:ascii="宋体" w:hAnsi="宋体" w:cs="宋体"/>
                <w:b/>
                <w:color w:val="auto"/>
                <w:kern w:val="0"/>
                <w:sz w:val="20"/>
                <w:szCs w:val="21"/>
                <w:highlight w:val="none"/>
              </w:rPr>
              <w:t>（￥：</w:t>
            </w:r>
            <w:r>
              <w:rPr>
                <w:rFonts w:hint="eastAsia" w:ascii="宋体" w:hAnsi="宋体" w:cs="宋体"/>
                <w:b/>
                <w:color w:val="auto"/>
                <w:kern w:val="0"/>
                <w:sz w:val="20"/>
                <w:szCs w:val="21"/>
                <w:highlight w:val="none"/>
                <w:u w:val="single"/>
              </w:rPr>
              <w:t xml:space="preserve">              </w:t>
            </w:r>
            <w:r>
              <w:rPr>
                <w:rFonts w:hint="eastAsia" w:ascii="宋体" w:hAnsi="宋体" w:cs="宋体"/>
                <w:b/>
                <w:color w:val="auto"/>
                <w:kern w:val="0"/>
                <w:sz w:val="20"/>
                <w:szCs w:val="21"/>
                <w:highlight w:val="none"/>
              </w:rPr>
              <w:t>）</w:t>
            </w:r>
          </w:p>
        </w:tc>
        <w:tc>
          <w:tcPr>
            <w:tcW w:w="1303" w:type="dxa"/>
          </w:tcPr>
          <w:p>
            <w:pPr>
              <w:spacing w:line="360" w:lineRule="exact"/>
              <w:rPr>
                <w:rFonts w:ascii="宋体" w:hAnsi="宋体" w:cs="宋体"/>
                <w:color w:val="auto"/>
                <w:kern w:val="0"/>
                <w:sz w:val="20"/>
                <w:szCs w:val="21"/>
                <w:highlight w:val="none"/>
              </w:rPr>
            </w:pPr>
          </w:p>
        </w:tc>
      </w:tr>
    </w:tbl>
    <w:p>
      <w:pPr>
        <w:spacing w:line="440" w:lineRule="exact"/>
        <w:ind w:firstLine="420" w:firstLineChars="200"/>
        <w:rPr>
          <w:rFonts w:ascii="宋体" w:hAnsi="宋体" w:cs="宋体"/>
          <w:color w:val="auto"/>
          <w:highlight w:val="none"/>
        </w:rPr>
      </w:pPr>
      <w:r>
        <w:rPr>
          <w:rFonts w:hint="eastAsia" w:ascii="宋体" w:hAnsi="宋体" w:cs="宋体"/>
          <w:color w:val="auto"/>
          <w:highlight w:val="none"/>
        </w:rPr>
        <w:t>注：1、上述费用必须列出具体数据，不得简单的写“已含”。</w:t>
      </w:r>
    </w:p>
    <w:p>
      <w:pPr>
        <w:spacing w:line="440" w:lineRule="exact"/>
        <w:ind w:firstLine="840" w:firstLineChars="400"/>
        <w:rPr>
          <w:rFonts w:ascii="宋体" w:hAnsi="宋体" w:cs="宋体"/>
          <w:color w:val="auto"/>
          <w:highlight w:val="none"/>
        </w:rPr>
      </w:pPr>
      <w:r>
        <w:rPr>
          <w:rFonts w:hint="eastAsia" w:ascii="宋体" w:hAnsi="宋体" w:cs="宋体"/>
          <w:color w:val="auto"/>
          <w:highlight w:val="none"/>
        </w:rPr>
        <w:t>2、本表所填内容必须与上述“</w:t>
      </w:r>
      <w:r>
        <w:rPr>
          <w:rFonts w:hint="eastAsia" w:ascii="宋体" w:hAnsi="宋体" w:cs="宋体"/>
          <w:b/>
          <w:bCs/>
          <w:color w:val="auto"/>
          <w:sz w:val="24"/>
          <w:highlight w:val="none"/>
        </w:rPr>
        <w:t>主要设备材料清单</w:t>
      </w:r>
      <w:r>
        <w:rPr>
          <w:rFonts w:hint="eastAsia" w:ascii="宋体" w:hAnsi="宋体" w:cs="宋体"/>
          <w:color w:val="auto"/>
          <w:highlight w:val="none"/>
        </w:rPr>
        <w:t>”对应内容相一致。</w:t>
      </w:r>
    </w:p>
    <w:p>
      <w:pPr>
        <w:spacing w:line="360" w:lineRule="auto"/>
        <w:ind w:firstLine="843" w:firstLineChars="400"/>
        <w:rPr>
          <w:rFonts w:ascii="宋体" w:hAnsi="宋体" w:cs="宋体"/>
          <w:color w:val="auto"/>
          <w:highlight w:val="none"/>
        </w:rPr>
      </w:pPr>
      <w:r>
        <w:rPr>
          <w:rFonts w:hint="eastAsia" w:ascii="宋体" w:hAnsi="宋体" w:cs="宋体"/>
          <w:b/>
          <w:color w:val="auto"/>
          <w:kern w:val="1"/>
          <w:szCs w:val="21"/>
          <w:highlight w:val="none"/>
        </w:rPr>
        <w:t>3、所有设备、材料等所有内容均列入本表，如设备所需的安装材料、附件等没有单独列出，视作隐含在其他子项中，中标后价格不予调整。</w:t>
      </w:r>
    </w:p>
    <w:p>
      <w:pPr>
        <w:spacing w:line="360" w:lineRule="exact"/>
        <w:ind w:firstLine="840" w:firstLineChars="400"/>
        <w:rPr>
          <w:rFonts w:ascii="宋体" w:hAnsi="宋体" w:cs="宋体"/>
          <w:color w:val="auto"/>
          <w:highlight w:val="none"/>
        </w:rPr>
      </w:pPr>
      <w:r>
        <w:rPr>
          <w:rFonts w:hint="eastAsia" w:ascii="宋体" w:hAnsi="宋体" w:cs="宋体"/>
          <w:color w:val="auto"/>
          <w:highlight w:val="none"/>
        </w:rPr>
        <w:t>4、综合单价即包含设备材料所需的设备费、税费、运费、管理费、安装（指导安装）费等一切不可预见费用。</w:t>
      </w:r>
    </w:p>
    <w:p>
      <w:pPr>
        <w:widowControl/>
        <w:spacing w:before="156" w:beforeLines="50" w:after="156" w:afterLines="50" w:line="360" w:lineRule="auto"/>
        <w:ind w:firstLine="840" w:firstLineChars="400"/>
        <w:rPr>
          <w:rFonts w:ascii="宋体" w:hAnsi="宋体" w:cs="宋体"/>
          <w:color w:val="auto"/>
          <w:highlight w:val="none"/>
        </w:rPr>
      </w:pPr>
      <w:r>
        <w:rPr>
          <w:rFonts w:hint="eastAsia" w:ascii="宋体" w:hAnsi="宋体" w:cs="宋体"/>
          <w:color w:val="auto"/>
          <w:highlight w:val="none"/>
        </w:rPr>
        <w:t>5、品牌及产地栏不可简单填写国产，若简单描述国产一旦中标则由招标人在推荐生产厂或品牌范围内确定，投标人须无条件服从，价格不予调整。未按要求执行的则按违约论处，包括但不限于解除合同，扣除履约保证金等措施。</w:t>
      </w:r>
    </w:p>
    <w:p>
      <w:pPr>
        <w:spacing w:after="120"/>
        <w:ind w:firstLine="210" w:firstLineChars="100"/>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b/>
          <w:bCs/>
          <w:color w:val="auto"/>
          <w:highlight w:val="none"/>
        </w:rPr>
        <w:t>6、投标总报价必须且只能精确到元；否则作废标处理。</w:t>
      </w:r>
    </w:p>
    <w:p>
      <w:pPr>
        <w:spacing w:line="360" w:lineRule="exact"/>
        <w:rPr>
          <w:rFonts w:ascii="宋体" w:hAnsi="宋体" w:cs="宋体"/>
          <w:color w:val="auto"/>
          <w:highlight w:val="none"/>
        </w:rPr>
      </w:pPr>
      <w:r>
        <w:rPr>
          <w:rFonts w:hint="eastAsia" w:ascii="宋体" w:hAnsi="宋体" w:cs="宋体"/>
          <w:color w:val="auto"/>
          <w:highlight w:val="none"/>
        </w:rPr>
        <w:t xml:space="preserve">        7、本表格可自行扩展。</w:t>
      </w:r>
    </w:p>
    <w:p>
      <w:pPr>
        <w:spacing w:after="120"/>
        <w:rPr>
          <w:rFonts w:ascii="宋体" w:hAnsi="宋体" w:cs="宋体"/>
          <w:color w:val="auto"/>
          <w:kern w:val="0"/>
          <w:szCs w:val="21"/>
          <w:highlight w:val="none"/>
        </w:rPr>
      </w:pPr>
    </w:p>
    <w:p>
      <w:pPr>
        <w:spacing w:after="120"/>
        <w:rPr>
          <w:rFonts w:ascii="宋体" w:hAnsi="宋体" w:cs="宋体"/>
          <w:color w:val="auto"/>
          <w:szCs w:val="21"/>
          <w:highlight w:val="none"/>
        </w:rPr>
      </w:pPr>
      <w:r>
        <w:rPr>
          <w:rFonts w:hint="eastAsia" w:ascii="宋体" w:hAnsi="宋体" w:cs="宋体"/>
          <w:color w:val="auto"/>
          <w:kern w:val="0"/>
          <w:szCs w:val="21"/>
          <w:highlight w:val="none"/>
        </w:rPr>
        <w:t>法定代表人：（</w:t>
      </w:r>
      <w:r>
        <w:rPr>
          <w:rFonts w:hint="eastAsia" w:ascii="宋体" w:hAnsi="宋体" w:cs="宋体"/>
          <w:color w:val="auto"/>
          <w:szCs w:val="21"/>
          <w:highlight w:val="none"/>
        </w:rPr>
        <w:t>盖法定代表人印章</w:t>
      </w:r>
      <w:r>
        <w:rPr>
          <w:rFonts w:hint="eastAsia" w:ascii="宋体" w:hAnsi="宋体" w:cs="宋体"/>
          <w:color w:val="auto"/>
          <w:kern w:val="0"/>
          <w:szCs w:val="21"/>
          <w:highlight w:val="none"/>
        </w:rPr>
        <w:t>）</w:t>
      </w:r>
      <w:r>
        <w:rPr>
          <w:rFonts w:hint="eastAsia" w:ascii="宋体" w:hAnsi="宋体" w:cs="宋体"/>
          <w:color w:val="auto"/>
          <w:szCs w:val="21"/>
          <w:highlight w:val="none"/>
        </w:rPr>
        <w:t xml:space="preserve">                               投标人(盖投标人公章)：</w:t>
      </w:r>
    </w:p>
    <w:p>
      <w:pPr>
        <w:autoSpaceDE w:val="0"/>
        <w:autoSpaceDN w:val="0"/>
        <w:adjustRightInd w:val="0"/>
        <w:spacing w:after="120" w:line="400" w:lineRule="exact"/>
        <w:ind w:firstLine="10920" w:firstLineChars="5200"/>
        <w:rPr>
          <w:rFonts w:ascii="宋体" w:hAnsi="宋体" w:cs="宋体"/>
          <w:color w:val="auto"/>
          <w:szCs w:val="21"/>
          <w:highlight w:val="none"/>
          <w:lang w:val="zh-CN"/>
        </w:rPr>
      </w:pPr>
      <w:r>
        <w:rPr>
          <w:rFonts w:hint="eastAsia" w:ascii="宋体" w:hAnsi="宋体" w:cs="宋体"/>
          <w:color w:val="auto"/>
          <w:szCs w:val="21"/>
          <w:highlight w:val="none"/>
        </w:rPr>
        <w:t>日期：</w:t>
      </w:r>
    </w:p>
    <w:p>
      <w:pPr>
        <w:autoSpaceDE w:val="0"/>
        <w:autoSpaceDN w:val="0"/>
        <w:adjustRightInd w:val="0"/>
        <w:spacing w:after="120" w:line="400" w:lineRule="exact"/>
        <w:ind w:firstLine="5400"/>
        <w:rPr>
          <w:rFonts w:ascii="宋体" w:hAnsi="宋体" w:cs="宋体"/>
          <w:color w:val="auto"/>
          <w:szCs w:val="21"/>
          <w:highlight w:val="none"/>
          <w:lang w:val="zh-CN"/>
        </w:rPr>
      </w:pPr>
    </w:p>
    <w:p>
      <w:pPr>
        <w:rPr>
          <w:rFonts w:ascii="宋体" w:hAnsi="宋体" w:cs="宋体"/>
          <w:b/>
          <w:bCs/>
          <w:color w:val="auto"/>
          <w:szCs w:val="21"/>
          <w:highlight w:val="none"/>
          <w:lang w:val="zh-CN"/>
        </w:rPr>
        <w:sectPr>
          <w:pgSz w:w="16838" w:h="11906" w:orient="landscape"/>
          <w:pgMar w:top="1418" w:right="1418" w:bottom="1418" w:left="1418" w:header="851" w:footer="992" w:gutter="0"/>
          <w:cols w:space="720" w:num="1"/>
          <w:titlePg/>
          <w:rtlGutter w:val="1"/>
          <w:docGrid w:type="lines" w:linePitch="312" w:charSpace="0"/>
        </w:sectPr>
      </w:pPr>
    </w:p>
    <w:p>
      <w:pPr>
        <w:spacing w:line="540" w:lineRule="exact"/>
        <w:jc w:val="left"/>
        <w:rPr>
          <w:rFonts w:cs="宋体"/>
          <w:b/>
          <w:bCs/>
          <w:color w:val="auto"/>
          <w:highlight w:val="none"/>
          <w:lang w:val="zh-CN"/>
        </w:rPr>
      </w:pPr>
      <w:r>
        <w:rPr>
          <w:rFonts w:hint="eastAsia"/>
          <w:bCs/>
          <w:color w:val="auto"/>
          <w:highlight w:val="none"/>
        </w:rPr>
        <w:t>附件五</w:t>
      </w:r>
    </w:p>
    <w:p>
      <w:pPr>
        <w:spacing w:line="540" w:lineRule="exact"/>
        <w:jc w:val="center"/>
        <w:rPr>
          <w:b/>
          <w:color w:val="auto"/>
          <w:kern w:val="0"/>
          <w:sz w:val="32"/>
          <w:szCs w:val="32"/>
          <w:highlight w:val="none"/>
        </w:rPr>
      </w:pPr>
      <w:r>
        <w:rPr>
          <w:rFonts w:hint="eastAsia"/>
          <w:b/>
          <w:color w:val="auto"/>
          <w:kern w:val="0"/>
          <w:sz w:val="32"/>
          <w:szCs w:val="32"/>
          <w:highlight w:val="none"/>
        </w:rPr>
        <w:t>随机专用工具及备品备件明细表</w:t>
      </w:r>
    </w:p>
    <w:p>
      <w:pPr>
        <w:spacing w:line="540" w:lineRule="exact"/>
        <w:jc w:val="center"/>
        <w:rPr>
          <w:b/>
          <w:color w:val="auto"/>
          <w:kern w:val="0"/>
          <w:sz w:val="32"/>
          <w:szCs w:val="3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1452"/>
        <w:gridCol w:w="1095"/>
        <w:gridCol w:w="850"/>
        <w:gridCol w:w="992"/>
        <w:gridCol w:w="995"/>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trPr>
        <w:tc>
          <w:tcPr>
            <w:tcW w:w="2192" w:type="dxa"/>
            <w:vMerge w:val="restart"/>
            <w:vAlign w:val="center"/>
          </w:tcPr>
          <w:p>
            <w:pPr>
              <w:snapToGrid w:val="0"/>
              <w:spacing w:before="156" w:beforeLines="50" w:after="120" w:line="300" w:lineRule="auto"/>
              <w:rPr>
                <w:color w:val="auto"/>
                <w:szCs w:val="21"/>
                <w:highlight w:val="none"/>
              </w:rPr>
            </w:pPr>
            <w:r>
              <w:rPr>
                <w:rFonts w:hint="eastAsia"/>
                <w:color w:val="auto"/>
                <w:szCs w:val="21"/>
                <w:highlight w:val="none"/>
              </w:rPr>
              <w:t>投标设备名称及编号</w:t>
            </w:r>
          </w:p>
        </w:tc>
        <w:tc>
          <w:tcPr>
            <w:tcW w:w="1452" w:type="dxa"/>
            <w:vMerge w:val="restart"/>
            <w:vAlign w:val="center"/>
          </w:tcPr>
          <w:p>
            <w:pPr>
              <w:snapToGrid w:val="0"/>
              <w:spacing w:before="156" w:beforeLines="50" w:after="120" w:line="300" w:lineRule="auto"/>
              <w:rPr>
                <w:color w:val="auto"/>
                <w:szCs w:val="21"/>
                <w:highlight w:val="none"/>
              </w:rPr>
            </w:pPr>
            <w:r>
              <w:rPr>
                <w:rFonts w:hint="eastAsia"/>
                <w:color w:val="auto"/>
                <w:szCs w:val="21"/>
                <w:highlight w:val="none"/>
              </w:rPr>
              <w:t>名称</w:t>
            </w:r>
          </w:p>
        </w:tc>
        <w:tc>
          <w:tcPr>
            <w:tcW w:w="1095" w:type="dxa"/>
            <w:vMerge w:val="restart"/>
            <w:vAlign w:val="center"/>
          </w:tcPr>
          <w:p>
            <w:pPr>
              <w:snapToGrid w:val="0"/>
              <w:spacing w:before="156" w:beforeLines="50" w:after="120" w:line="300" w:lineRule="auto"/>
              <w:rPr>
                <w:color w:val="auto"/>
                <w:szCs w:val="21"/>
                <w:highlight w:val="none"/>
              </w:rPr>
            </w:pPr>
            <w:r>
              <w:rPr>
                <w:rFonts w:hint="eastAsia"/>
                <w:color w:val="auto"/>
                <w:szCs w:val="21"/>
                <w:highlight w:val="none"/>
              </w:rPr>
              <w:t>数量</w:t>
            </w:r>
          </w:p>
        </w:tc>
        <w:tc>
          <w:tcPr>
            <w:tcW w:w="850" w:type="dxa"/>
            <w:vMerge w:val="restart"/>
            <w:vAlign w:val="center"/>
          </w:tcPr>
          <w:p>
            <w:pPr>
              <w:snapToGrid w:val="0"/>
              <w:spacing w:before="156" w:beforeLines="50" w:after="120" w:line="300" w:lineRule="auto"/>
              <w:rPr>
                <w:color w:val="auto"/>
                <w:szCs w:val="21"/>
                <w:highlight w:val="none"/>
              </w:rPr>
            </w:pPr>
            <w:r>
              <w:rPr>
                <w:rFonts w:hint="eastAsia"/>
                <w:color w:val="auto"/>
                <w:szCs w:val="21"/>
                <w:highlight w:val="none"/>
              </w:rPr>
              <w:t>单位</w:t>
            </w:r>
          </w:p>
        </w:tc>
        <w:tc>
          <w:tcPr>
            <w:tcW w:w="1987" w:type="dxa"/>
            <w:gridSpan w:val="2"/>
            <w:vAlign w:val="center"/>
          </w:tcPr>
          <w:p>
            <w:pPr>
              <w:snapToGrid w:val="0"/>
              <w:spacing w:before="156" w:beforeLines="50" w:after="120" w:line="300" w:lineRule="auto"/>
              <w:jc w:val="center"/>
              <w:rPr>
                <w:color w:val="auto"/>
                <w:szCs w:val="21"/>
                <w:highlight w:val="none"/>
              </w:rPr>
            </w:pPr>
            <w:r>
              <w:rPr>
                <w:rFonts w:hint="eastAsia"/>
                <w:color w:val="auto"/>
                <w:szCs w:val="21"/>
                <w:highlight w:val="none"/>
              </w:rPr>
              <w:t>价格（元）</w:t>
            </w:r>
          </w:p>
        </w:tc>
        <w:tc>
          <w:tcPr>
            <w:tcW w:w="1518" w:type="dxa"/>
            <w:vMerge w:val="restart"/>
            <w:vAlign w:val="center"/>
          </w:tcPr>
          <w:p>
            <w:pPr>
              <w:snapToGrid w:val="0"/>
              <w:spacing w:before="156" w:beforeLines="50" w:after="120" w:line="30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2192" w:type="dxa"/>
            <w:vMerge w:val="continue"/>
          </w:tcPr>
          <w:p>
            <w:pPr>
              <w:snapToGrid w:val="0"/>
              <w:spacing w:before="156" w:beforeLines="50" w:after="120" w:line="300" w:lineRule="auto"/>
              <w:rPr>
                <w:color w:val="auto"/>
                <w:szCs w:val="21"/>
                <w:highlight w:val="none"/>
              </w:rPr>
            </w:pPr>
          </w:p>
        </w:tc>
        <w:tc>
          <w:tcPr>
            <w:tcW w:w="1452" w:type="dxa"/>
            <w:vMerge w:val="continue"/>
          </w:tcPr>
          <w:p>
            <w:pPr>
              <w:snapToGrid w:val="0"/>
              <w:spacing w:before="156" w:beforeLines="50" w:after="120" w:line="300" w:lineRule="auto"/>
              <w:rPr>
                <w:color w:val="auto"/>
                <w:szCs w:val="21"/>
                <w:highlight w:val="none"/>
              </w:rPr>
            </w:pPr>
          </w:p>
        </w:tc>
        <w:tc>
          <w:tcPr>
            <w:tcW w:w="1095" w:type="dxa"/>
            <w:vMerge w:val="continue"/>
          </w:tcPr>
          <w:p>
            <w:pPr>
              <w:snapToGrid w:val="0"/>
              <w:spacing w:before="156" w:beforeLines="50" w:after="120" w:line="300" w:lineRule="auto"/>
              <w:rPr>
                <w:color w:val="auto"/>
                <w:szCs w:val="21"/>
                <w:highlight w:val="none"/>
              </w:rPr>
            </w:pPr>
          </w:p>
        </w:tc>
        <w:tc>
          <w:tcPr>
            <w:tcW w:w="850" w:type="dxa"/>
            <w:vMerge w:val="continue"/>
          </w:tcPr>
          <w:p>
            <w:pPr>
              <w:snapToGrid w:val="0"/>
              <w:spacing w:before="156" w:beforeLines="50" w:after="120" w:line="300" w:lineRule="auto"/>
              <w:rPr>
                <w:color w:val="auto"/>
                <w:szCs w:val="21"/>
                <w:highlight w:val="none"/>
              </w:rPr>
            </w:pPr>
          </w:p>
        </w:tc>
        <w:tc>
          <w:tcPr>
            <w:tcW w:w="992" w:type="dxa"/>
            <w:vAlign w:val="center"/>
          </w:tcPr>
          <w:p>
            <w:pPr>
              <w:snapToGrid w:val="0"/>
              <w:spacing w:before="156" w:beforeLines="50" w:after="120" w:line="300" w:lineRule="auto"/>
              <w:jc w:val="center"/>
              <w:rPr>
                <w:color w:val="auto"/>
                <w:szCs w:val="21"/>
                <w:highlight w:val="none"/>
              </w:rPr>
            </w:pPr>
            <w:r>
              <w:rPr>
                <w:rFonts w:hint="eastAsia"/>
                <w:color w:val="auto"/>
                <w:szCs w:val="21"/>
                <w:highlight w:val="none"/>
              </w:rPr>
              <w:t>单价</w:t>
            </w:r>
          </w:p>
        </w:tc>
        <w:tc>
          <w:tcPr>
            <w:tcW w:w="995" w:type="dxa"/>
          </w:tcPr>
          <w:p>
            <w:pPr>
              <w:snapToGrid w:val="0"/>
              <w:spacing w:before="156" w:beforeLines="50" w:after="120" w:line="300" w:lineRule="auto"/>
              <w:jc w:val="center"/>
              <w:rPr>
                <w:color w:val="auto"/>
                <w:szCs w:val="21"/>
                <w:highlight w:val="none"/>
              </w:rPr>
            </w:pPr>
            <w:r>
              <w:rPr>
                <w:rFonts w:hint="eastAsia"/>
                <w:color w:val="auto"/>
                <w:szCs w:val="21"/>
                <w:highlight w:val="none"/>
              </w:rPr>
              <w:t>总价</w:t>
            </w:r>
          </w:p>
        </w:tc>
        <w:tc>
          <w:tcPr>
            <w:tcW w:w="1518" w:type="dxa"/>
            <w:vMerge w:val="continue"/>
          </w:tcPr>
          <w:p>
            <w:pPr>
              <w:snapToGrid w:val="0"/>
              <w:spacing w:before="156" w:beforeLines="50" w:after="120" w:line="30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9094" w:type="dxa"/>
            <w:gridSpan w:val="7"/>
          </w:tcPr>
          <w:p>
            <w:pPr>
              <w:snapToGrid w:val="0"/>
              <w:spacing w:before="156" w:beforeLines="50" w:after="120" w:line="300" w:lineRule="auto"/>
              <w:rPr>
                <w:b/>
                <w:color w:val="auto"/>
                <w:szCs w:val="21"/>
                <w:highlight w:val="none"/>
              </w:rPr>
            </w:pPr>
            <w:r>
              <w:rPr>
                <w:rFonts w:hint="eastAsia"/>
                <w:b/>
                <w:color w:val="auto"/>
                <w:szCs w:val="21"/>
                <w:highlight w:val="none"/>
              </w:rPr>
              <w:t>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restart"/>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jc w:val="center"/>
              <w:rPr>
                <w:color w:val="auto"/>
                <w:szCs w:val="21"/>
                <w:highlight w:val="none"/>
              </w:rPr>
            </w:pPr>
          </w:p>
        </w:tc>
        <w:tc>
          <w:tcPr>
            <w:tcW w:w="995" w:type="dxa"/>
          </w:tcPr>
          <w:p>
            <w:pPr>
              <w:snapToGrid w:val="0"/>
              <w:spacing w:before="156" w:beforeLines="50" w:after="120" w:line="300" w:lineRule="auto"/>
              <w:jc w:val="center"/>
              <w:rPr>
                <w:color w:val="auto"/>
                <w:szCs w:val="21"/>
                <w:highlight w:val="none"/>
              </w:rPr>
            </w:pPr>
          </w:p>
        </w:tc>
        <w:tc>
          <w:tcPr>
            <w:tcW w:w="1518" w:type="dxa"/>
          </w:tcPr>
          <w:p>
            <w:pPr>
              <w:snapToGrid w:val="0"/>
              <w:spacing w:before="156" w:beforeLines="50" w:after="120" w:line="30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continue"/>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restart"/>
          </w:tcPr>
          <w:p>
            <w:pPr>
              <w:snapToGrid w:val="0"/>
              <w:spacing w:before="156" w:beforeLines="50" w:after="120" w:line="300" w:lineRule="auto"/>
              <w:rPr>
                <w:color w:val="auto"/>
                <w:szCs w:val="21"/>
                <w:highlight w:val="none"/>
              </w:rPr>
            </w:pPr>
          </w:p>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continue"/>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9094" w:type="dxa"/>
            <w:gridSpan w:val="7"/>
          </w:tcPr>
          <w:p>
            <w:pPr>
              <w:snapToGrid w:val="0"/>
              <w:spacing w:before="156" w:beforeLines="50" w:after="120" w:line="300" w:lineRule="auto"/>
              <w:rPr>
                <w:b/>
                <w:color w:val="auto"/>
                <w:szCs w:val="21"/>
                <w:highlight w:val="none"/>
              </w:rPr>
            </w:pPr>
            <w:r>
              <w:rPr>
                <w:rFonts w:hint="eastAsia"/>
                <w:b/>
                <w:color w:val="auto"/>
                <w:szCs w:val="21"/>
                <w:highlight w:val="none"/>
              </w:rPr>
              <w:t>备品备件：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restart"/>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jc w:val="center"/>
              <w:rPr>
                <w:color w:val="auto"/>
                <w:szCs w:val="21"/>
                <w:highlight w:val="none"/>
              </w:rPr>
            </w:pPr>
          </w:p>
        </w:tc>
        <w:tc>
          <w:tcPr>
            <w:tcW w:w="995" w:type="dxa"/>
          </w:tcPr>
          <w:p>
            <w:pPr>
              <w:snapToGrid w:val="0"/>
              <w:spacing w:before="156" w:beforeLines="50" w:after="120" w:line="300" w:lineRule="auto"/>
              <w:jc w:val="center"/>
              <w:rPr>
                <w:color w:val="auto"/>
                <w:szCs w:val="21"/>
                <w:highlight w:val="none"/>
              </w:rPr>
            </w:pPr>
          </w:p>
        </w:tc>
        <w:tc>
          <w:tcPr>
            <w:tcW w:w="1518" w:type="dxa"/>
          </w:tcPr>
          <w:p>
            <w:pPr>
              <w:snapToGrid w:val="0"/>
              <w:spacing w:before="156" w:beforeLines="50" w:after="120" w:line="30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continue"/>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restart"/>
          </w:tcPr>
          <w:p>
            <w:pPr>
              <w:snapToGrid w:val="0"/>
              <w:spacing w:before="156" w:beforeLines="50" w:after="120" w:line="300" w:lineRule="auto"/>
              <w:rPr>
                <w:color w:val="auto"/>
                <w:szCs w:val="21"/>
                <w:highlight w:val="none"/>
              </w:rPr>
            </w:pPr>
          </w:p>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continue"/>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restart"/>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192" w:type="dxa"/>
            <w:vMerge w:val="continue"/>
          </w:tcPr>
          <w:p>
            <w:pPr>
              <w:snapToGrid w:val="0"/>
              <w:spacing w:before="156" w:beforeLines="50" w:after="120" w:line="300" w:lineRule="auto"/>
              <w:rPr>
                <w:color w:val="auto"/>
                <w:szCs w:val="21"/>
                <w:highlight w:val="none"/>
              </w:rPr>
            </w:pPr>
          </w:p>
        </w:tc>
        <w:tc>
          <w:tcPr>
            <w:tcW w:w="1452" w:type="dxa"/>
          </w:tcPr>
          <w:p>
            <w:pPr>
              <w:snapToGrid w:val="0"/>
              <w:spacing w:before="156" w:beforeLines="50" w:after="120" w:line="300" w:lineRule="auto"/>
              <w:rPr>
                <w:color w:val="auto"/>
                <w:szCs w:val="21"/>
                <w:highlight w:val="none"/>
              </w:rPr>
            </w:pPr>
          </w:p>
        </w:tc>
        <w:tc>
          <w:tcPr>
            <w:tcW w:w="1095" w:type="dxa"/>
          </w:tcPr>
          <w:p>
            <w:pPr>
              <w:snapToGrid w:val="0"/>
              <w:spacing w:before="156" w:beforeLines="50" w:after="120" w:line="300" w:lineRule="auto"/>
              <w:rPr>
                <w:color w:val="auto"/>
                <w:szCs w:val="21"/>
                <w:highlight w:val="none"/>
              </w:rPr>
            </w:pPr>
          </w:p>
        </w:tc>
        <w:tc>
          <w:tcPr>
            <w:tcW w:w="850" w:type="dxa"/>
          </w:tcPr>
          <w:p>
            <w:pPr>
              <w:snapToGrid w:val="0"/>
              <w:spacing w:before="156" w:beforeLines="50" w:after="120" w:line="300" w:lineRule="auto"/>
              <w:rPr>
                <w:color w:val="auto"/>
                <w:szCs w:val="21"/>
                <w:highlight w:val="none"/>
              </w:rPr>
            </w:pPr>
          </w:p>
        </w:tc>
        <w:tc>
          <w:tcPr>
            <w:tcW w:w="992" w:type="dxa"/>
          </w:tcPr>
          <w:p>
            <w:pPr>
              <w:snapToGrid w:val="0"/>
              <w:spacing w:before="156" w:beforeLines="50" w:after="120" w:line="300" w:lineRule="auto"/>
              <w:rPr>
                <w:color w:val="auto"/>
                <w:szCs w:val="21"/>
                <w:highlight w:val="none"/>
              </w:rPr>
            </w:pPr>
          </w:p>
        </w:tc>
        <w:tc>
          <w:tcPr>
            <w:tcW w:w="995" w:type="dxa"/>
          </w:tcPr>
          <w:p>
            <w:pPr>
              <w:snapToGrid w:val="0"/>
              <w:spacing w:before="156" w:beforeLines="50" w:after="120" w:line="300" w:lineRule="auto"/>
              <w:rPr>
                <w:color w:val="auto"/>
                <w:szCs w:val="21"/>
                <w:highlight w:val="none"/>
              </w:rPr>
            </w:pPr>
          </w:p>
        </w:tc>
        <w:tc>
          <w:tcPr>
            <w:tcW w:w="1518" w:type="dxa"/>
          </w:tcPr>
          <w:p>
            <w:pPr>
              <w:snapToGrid w:val="0"/>
              <w:spacing w:before="156" w:beforeLines="50" w:after="120" w:line="300" w:lineRule="auto"/>
              <w:rPr>
                <w:color w:val="auto"/>
                <w:szCs w:val="21"/>
                <w:highlight w:val="none"/>
              </w:rPr>
            </w:pPr>
          </w:p>
        </w:tc>
      </w:tr>
    </w:tbl>
    <w:p>
      <w:pPr>
        <w:snapToGrid w:val="0"/>
        <w:spacing w:after="120" w:line="300" w:lineRule="auto"/>
        <w:rPr>
          <w:color w:val="auto"/>
          <w:szCs w:val="21"/>
          <w:highlight w:val="none"/>
        </w:rPr>
      </w:pPr>
      <w:r>
        <w:rPr>
          <w:rFonts w:hint="eastAsia"/>
          <w:color w:val="auto"/>
          <w:szCs w:val="21"/>
          <w:highlight w:val="none"/>
        </w:rPr>
        <w:t>注：1. 本表所列为随投标设备所带的专用工具和备品备件。</w:t>
      </w:r>
    </w:p>
    <w:p>
      <w:pPr>
        <w:snapToGrid w:val="0"/>
        <w:spacing w:after="120" w:line="300" w:lineRule="auto"/>
        <w:rPr>
          <w:color w:val="auto"/>
          <w:szCs w:val="21"/>
          <w:highlight w:val="none"/>
        </w:rPr>
      </w:pPr>
      <w:r>
        <w:rPr>
          <w:rFonts w:hint="eastAsia"/>
          <w:color w:val="auto"/>
          <w:szCs w:val="21"/>
          <w:highlight w:val="none"/>
        </w:rPr>
        <w:t xml:space="preserve">    2. 本表中所列价格应计入投标总价。</w:t>
      </w:r>
    </w:p>
    <w:p>
      <w:pPr>
        <w:pStyle w:val="63"/>
        <w:spacing w:after="156"/>
        <w:ind w:firstLine="0" w:firstLineChars="0"/>
        <w:rPr>
          <w:rFonts w:ascii="宋体" w:hAnsi="宋体"/>
          <w:color w:val="auto"/>
          <w:sz w:val="21"/>
          <w:szCs w:val="21"/>
          <w:highlight w:val="none"/>
        </w:rPr>
      </w:pPr>
    </w:p>
    <w:p>
      <w:pPr>
        <w:spacing w:after="120"/>
        <w:rPr>
          <w:color w:val="auto"/>
          <w:szCs w:val="21"/>
          <w:highlight w:val="none"/>
        </w:rPr>
      </w:pPr>
      <w:r>
        <w:rPr>
          <w:rFonts w:hint="eastAsia"/>
          <w:color w:val="auto"/>
          <w:kern w:val="0"/>
          <w:szCs w:val="21"/>
          <w:highlight w:val="none"/>
        </w:rPr>
        <w:t>法定代表人：（</w:t>
      </w:r>
      <w:r>
        <w:rPr>
          <w:rFonts w:hint="eastAsia"/>
          <w:color w:val="auto"/>
          <w:szCs w:val="21"/>
          <w:highlight w:val="none"/>
        </w:rPr>
        <w:t>盖法定代表人印章</w:t>
      </w:r>
      <w:r>
        <w:rPr>
          <w:rFonts w:hint="eastAsia"/>
          <w:color w:val="auto"/>
          <w:kern w:val="0"/>
          <w:szCs w:val="21"/>
          <w:highlight w:val="none"/>
        </w:rPr>
        <w:t xml:space="preserve">）        </w:t>
      </w:r>
      <w:r>
        <w:rPr>
          <w:rFonts w:hint="eastAsia"/>
          <w:color w:val="auto"/>
          <w:szCs w:val="21"/>
          <w:highlight w:val="none"/>
        </w:rPr>
        <w:t xml:space="preserve">       投标人(盖投标人公章)：</w:t>
      </w:r>
    </w:p>
    <w:p>
      <w:pPr>
        <w:spacing w:after="120"/>
        <w:rPr>
          <w:color w:val="auto"/>
          <w:szCs w:val="21"/>
          <w:highlight w:val="none"/>
        </w:rPr>
      </w:pPr>
    </w:p>
    <w:p>
      <w:pPr>
        <w:spacing w:after="120"/>
        <w:rPr>
          <w:color w:val="auto"/>
          <w:szCs w:val="21"/>
          <w:highlight w:val="none"/>
        </w:rPr>
      </w:pPr>
      <w:r>
        <w:rPr>
          <w:rFonts w:hint="eastAsia"/>
          <w:color w:val="auto"/>
          <w:szCs w:val="21"/>
          <w:highlight w:val="none"/>
        </w:rPr>
        <w:t>日期：</w:t>
      </w:r>
      <w:bookmarkStart w:id="335" w:name="_Toc317847131"/>
    </w:p>
    <w:p>
      <w:pPr>
        <w:spacing w:after="120"/>
        <w:rPr>
          <w:bCs/>
          <w:color w:val="auto"/>
          <w:highlight w:val="none"/>
        </w:rPr>
      </w:pPr>
      <w:r>
        <w:rPr>
          <w:color w:val="auto"/>
          <w:szCs w:val="21"/>
          <w:highlight w:val="none"/>
        </w:rPr>
        <w:br w:type="page"/>
      </w:r>
      <w:r>
        <w:rPr>
          <w:rFonts w:hint="eastAsia"/>
          <w:bCs/>
          <w:color w:val="auto"/>
          <w:highlight w:val="none"/>
        </w:rPr>
        <w:t>附件六</w:t>
      </w:r>
    </w:p>
    <w:p>
      <w:pPr>
        <w:spacing w:line="540" w:lineRule="exact"/>
        <w:jc w:val="center"/>
        <w:rPr>
          <w:b/>
          <w:color w:val="auto"/>
          <w:kern w:val="0"/>
          <w:sz w:val="32"/>
          <w:szCs w:val="32"/>
          <w:highlight w:val="none"/>
        </w:rPr>
      </w:pPr>
      <w:r>
        <w:rPr>
          <w:rFonts w:hint="eastAsia"/>
          <w:b/>
          <w:color w:val="auto"/>
          <w:kern w:val="0"/>
          <w:sz w:val="32"/>
          <w:szCs w:val="32"/>
          <w:highlight w:val="none"/>
        </w:rPr>
        <w:t>供招标人选购的备品备件一览表</w:t>
      </w:r>
      <w:bookmarkEnd w:id="335"/>
    </w:p>
    <w:p>
      <w:pPr>
        <w:spacing w:line="540" w:lineRule="exact"/>
        <w:jc w:val="center"/>
        <w:rPr>
          <w:b/>
          <w:color w:val="auto"/>
          <w:kern w:val="0"/>
          <w:sz w:val="32"/>
          <w:szCs w:val="32"/>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560"/>
        <w:gridCol w:w="851"/>
        <w:gridCol w:w="850"/>
        <w:gridCol w:w="992"/>
        <w:gridCol w:w="995"/>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vAlign w:val="center"/>
          </w:tcPr>
          <w:p>
            <w:pPr>
              <w:snapToGrid w:val="0"/>
              <w:spacing w:after="120" w:line="300" w:lineRule="auto"/>
              <w:rPr>
                <w:color w:val="auto"/>
                <w:szCs w:val="21"/>
                <w:highlight w:val="none"/>
              </w:rPr>
            </w:pPr>
            <w:r>
              <w:rPr>
                <w:rFonts w:hint="eastAsia" w:cs="Arial"/>
                <w:color w:val="auto"/>
                <w:szCs w:val="21"/>
                <w:highlight w:val="none"/>
              </w:rPr>
              <w:t>投标设备名称</w:t>
            </w:r>
            <w:r>
              <w:rPr>
                <w:rFonts w:hint="eastAsia"/>
                <w:color w:val="auto"/>
                <w:szCs w:val="21"/>
                <w:highlight w:val="none"/>
              </w:rPr>
              <w:t>及编号</w:t>
            </w:r>
          </w:p>
        </w:tc>
        <w:tc>
          <w:tcPr>
            <w:tcW w:w="1560" w:type="dxa"/>
            <w:vMerge w:val="restart"/>
            <w:vAlign w:val="center"/>
          </w:tcPr>
          <w:p>
            <w:pPr>
              <w:snapToGrid w:val="0"/>
              <w:spacing w:after="120" w:line="300" w:lineRule="auto"/>
              <w:rPr>
                <w:color w:val="auto"/>
                <w:szCs w:val="21"/>
                <w:highlight w:val="none"/>
              </w:rPr>
            </w:pPr>
            <w:r>
              <w:rPr>
                <w:rFonts w:hint="eastAsia"/>
                <w:color w:val="auto"/>
                <w:szCs w:val="21"/>
                <w:highlight w:val="none"/>
              </w:rPr>
              <w:t>备件名称</w:t>
            </w:r>
          </w:p>
        </w:tc>
        <w:tc>
          <w:tcPr>
            <w:tcW w:w="851" w:type="dxa"/>
            <w:vMerge w:val="restart"/>
            <w:vAlign w:val="center"/>
          </w:tcPr>
          <w:p>
            <w:pPr>
              <w:snapToGrid w:val="0"/>
              <w:spacing w:after="120" w:line="300" w:lineRule="auto"/>
              <w:rPr>
                <w:color w:val="auto"/>
                <w:szCs w:val="21"/>
                <w:highlight w:val="none"/>
              </w:rPr>
            </w:pPr>
            <w:r>
              <w:rPr>
                <w:rFonts w:hint="eastAsia"/>
                <w:color w:val="auto"/>
                <w:szCs w:val="21"/>
                <w:highlight w:val="none"/>
              </w:rPr>
              <w:t>数量</w:t>
            </w:r>
          </w:p>
        </w:tc>
        <w:tc>
          <w:tcPr>
            <w:tcW w:w="850" w:type="dxa"/>
            <w:vMerge w:val="restart"/>
            <w:vAlign w:val="center"/>
          </w:tcPr>
          <w:p>
            <w:pPr>
              <w:snapToGrid w:val="0"/>
              <w:spacing w:after="120" w:line="300" w:lineRule="auto"/>
              <w:rPr>
                <w:color w:val="auto"/>
                <w:szCs w:val="21"/>
                <w:highlight w:val="none"/>
              </w:rPr>
            </w:pPr>
            <w:r>
              <w:rPr>
                <w:rFonts w:hint="eastAsia"/>
                <w:color w:val="auto"/>
                <w:szCs w:val="21"/>
                <w:highlight w:val="none"/>
              </w:rPr>
              <w:t>单位</w:t>
            </w:r>
          </w:p>
        </w:tc>
        <w:tc>
          <w:tcPr>
            <w:tcW w:w="1987" w:type="dxa"/>
            <w:gridSpan w:val="2"/>
            <w:vAlign w:val="center"/>
          </w:tcPr>
          <w:p>
            <w:pPr>
              <w:snapToGrid w:val="0"/>
              <w:spacing w:after="120" w:line="300" w:lineRule="auto"/>
              <w:jc w:val="center"/>
              <w:rPr>
                <w:color w:val="auto"/>
                <w:szCs w:val="21"/>
                <w:highlight w:val="none"/>
              </w:rPr>
            </w:pPr>
            <w:r>
              <w:rPr>
                <w:rFonts w:hint="eastAsia"/>
                <w:color w:val="auto"/>
                <w:szCs w:val="21"/>
                <w:highlight w:val="none"/>
              </w:rPr>
              <w:t>价格（元）</w:t>
            </w:r>
          </w:p>
        </w:tc>
        <w:tc>
          <w:tcPr>
            <w:tcW w:w="1274" w:type="dxa"/>
            <w:vMerge w:val="restart"/>
            <w:vAlign w:val="center"/>
          </w:tcPr>
          <w:p>
            <w:pPr>
              <w:snapToGrid w:val="0"/>
              <w:spacing w:after="120" w:line="30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napToGrid w:val="0"/>
              <w:spacing w:after="120" w:line="300" w:lineRule="auto"/>
              <w:rPr>
                <w:color w:val="auto"/>
                <w:szCs w:val="21"/>
                <w:highlight w:val="none"/>
              </w:rPr>
            </w:pPr>
          </w:p>
        </w:tc>
        <w:tc>
          <w:tcPr>
            <w:tcW w:w="1560" w:type="dxa"/>
            <w:vMerge w:val="continue"/>
          </w:tcPr>
          <w:p>
            <w:pPr>
              <w:snapToGrid w:val="0"/>
              <w:spacing w:after="120" w:line="300" w:lineRule="auto"/>
              <w:rPr>
                <w:color w:val="auto"/>
                <w:szCs w:val="21"/>
                <w:highlight w:val="none"/>
              </w:rPr>
            </w:pPr>
          </w:p>
        </w:tc>
        <w:tc>
          <w:tcPr>
            <w:tcW w:w="851" w:type="dxa"/>
            <w:vMerge w:val="continue"/>
          </w:tcPr>
          <w:p>
            <w:pPr>
              <w:snapToGrid w:val="0"/>
              <w:spacing w:after="120" w:line="300" w:lineRule="auto"/>
              <w:rPr>
                <w:color w:val="auto"/>
                <w:szCs w:val="21"/>
                <w:highlight w:val="none"/>
              </w:rPr>
            </w:pPr>
          </w:p>
        </w:tc>
        <w:tc>
          <w:tcPr>
            <w:tcW w:w="850" w:type="dxa"/>
            <w:vMerge w:val="continue"/>
          </w:tcPr>
          <w:p>
            <w:pPr>
              <w:snapToGrid w:val="0"/>
              <w:spacing w:after="120" w:line="300" w:lineRule="auto"/>
              <w:rPr>
                <w:color w:val="auto"/>
                <w:szCs w:val="21"/>
                <w:highlight w:val="none"/>
              </w:rPr>
            </w:pPr>
          </w:p>
        </w:tc>
        <w:tc>
          <w:tcPr>
            <w:tcW w:w="992" w:type="dxa"/>
            <w:vAlign w:val="center"/>
          </w:tcPr>
          <w:p>
            <w:pPr>
              <w:snapToGrid w:val="0"/>
              <w:spacing w:after="120" w:line="300" w:lineRule="auto"/>
              <w:jc w:val="center"/>
              <w:rPr>
                <w:color w:val="auto"/>
                <w:szCs w:val="21"/>
                <w:highlight w:val="none"/>
              </w:rPr>
            </w:pPr>
            <w:r>
              <w:rPr>
                <w:rFonts w:hint="eastAsia"/>
                <w:color w:val="auto"/>
                <w:szCs w:val="21"/>
                <w:highlight w:val="none"/>
              </w:rPr>
              <w:t>单价</w:t>
            </w:r>
          </w:p>
        </w:tc>
        <w:tc>
          <w:tcPr>
            <w:tcW w:w="995" w:type="dxa"/>
            <w:vAlign w:val="center"/>
          </w:tcPr>
          <w:p>
            <w:pPr>
              <w:snapToGrid w:val="0"/>
              <w:spacing w:after="120" w:line="300" w:lineRule="auto"/>
              <w:jc w:val="center"/>
              <w:rPr>
                <w:color w:val="auto"/>
                <w:szCs w:val="21"/>
                <w:highlight w:val="none"/>
              </w:rPr>
            </w:pPr>
            <w:r>
              <w:rPr>
                <w:rFonts w:hint="eastAsia"/>
                <w:color w:val="auto"/>
                <w:szCs w:val="21"/>
                <w:highlight w:val="none"/>
              </w:rPr>
              <w:t>总价</w:t>
            </w:r>
          </w:p>
        </w:tc>
        <w:tc>
          <w:tcPr>
            <w:tcW w:w="1274" w:type="dxa"/>
            <w:vMerge w:val="continue"/>
          </w:tcPr>
          <w:p>
            <w:pPr>
              <w:snapToGrid w:val="0"/>
              <w:spacing w:after="120" w:line="30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jc w:val="center"/>
              <w:rPr>
                <w:color w:val="auto"/>
                <w:szCs w:val="21"/>
                <w:highlight w:val="none"/>
              </w:rPr>
            </w:pPr>
          </w:p>
        </w:tc>
        <w:tc>
          <w:tcPr>
            <w:tcW w:w="995" w:type="dxa"/>
          </w:tcPr>
          <w:p>
            <w:pPr>
              <w:snapToGrid w:val="0"/>
              <w:spacing w:after="120" w:line="300" w:lineRule="auto"/>
              <w:jc w:val="center"/>
              <w:rPr>
                <w:color w:val="auto"/>
                <w:szCs w:val="21"/>
                <w:highlight w:val="none"/>
              </w:rPr>
            </w:pPr>
          </w:p>
        </w:tc>
        <w:tc>
          <w:tcPr>
            <w:tcW w:w="1274" w:type="dxa"/>
          </w:tcPr>
          <w:p>
            <w:pPr>
              <w:snapToGrid w:val="0"/>
              <w:spacing w:after="120" w:line="30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napToGrid w:val="0"/>
              <w:spacing w:after="120" w:line="300" w:lineRule="auto"/>
              <w:rPr>
                <w:color w:val="auto"/>
                <w:szCs w:val="21"/>
                <w:highlight w:val="none"/>
              </w:rPr>
            </w:pP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tcPr>
          <w:p>
            <w:pPr>
              <w:snapToGrid w:val="0"/>
              <w:spacing w:after="120" w:line="300" w:lineRule="auto"/>
              <w:rPr>
                <w:color w:val="auto"/>
                <w:szCs w:val="21"/>
                <w:highlight w:val="none"/>
              </w:rPr>
            </w:pPr>
            <w:r>
              <w:rPr>
                <w:rFonts w:hint="eastAsia"/>
                <w:color w:val="auto"/>
                <w:szCs w:val="21"/>
                <w:highlight w:val="none"/>
              </w:rPr>
              <w:t>…</w:t>
            </w:r>
          </w:p>
        </w:tc>
        <w:tc>
          <w:tcPr>
            <w:tcW w:w="1560" w:type="dxa"/>
          </w:tcPr>
          <w:p>
            <w:pPr>
              <w:snapToGrid w:val="0"/>
              <w:spacing w:after="120" w:line="300" w:lineRule="auto"/>
              <w:rPr>
                <w:color w:val="auto"/>
                <w:szCs w:val="21"/>
                <w:highlight w:val="none"/>
              </w:rPr>
            </w:pPr>
          </w:p>
        </w:tc>
        <w:tc>
          <w:tcPr>
            <w:tcW w:w="851" w:type="dxa"/>
          </w:tcPr>
          <w:p>
            <w:pPr>
              <w:snapToGrid w:val="0"/>
              <w:spacing w:after="120" w:line="300" w:lineRule="auto"/>
              <w:rPr>
                <w:color w:val="auto"/>
                <w:szCs w:val="21"/>
                <w:highlight w:val="none"/>
              </w:rPr>
            </w:pPr>
          </w:p>
        </w:tc>
        <w:tc>
          <w:tcPr>
            <w:tcW w:w="850" w:type="dxa"/>
          </w:tcPr>
          <w:p>
            <w:pPr>
              <w:snapToGrid w:val="0"/>
              <w:spacing w:after="120" w:line="300" w:lineRule="auto"/>
              <w:rPr>
                <w:color w:val="auto"/>
                <w:szCs w:val="21"/>
                <w:highlight w:val="none"/>
              </w:rPr>
            </w:pPr>
          </w:p>
        </w:tc>
        <w:tc>
          <w:tcPr>
            <w:tcW w:w="992" w:type="dxa"/>
          </w:tcPr>
          <w:p>
            <w:pPr>
              <w:snapToGrid w:val="0"/>
              <w:spacing w:after="120" w:line="300" w:lineRule="auto"/>
              <w:rPr>
                <w:color w:val="auto"/>
                <w:szCs w:val="21"/>
                <w:highlight w:val="none"/>
              </w:rPr>
            </w:pPr>
          </w:p>
        </w:tc>
        <w:tc>
          <w:tcPr>
            <w:tcW w:w="995" w:type="dxa"/>
          </w:tcPr>
          <w:p>
            <w:pPr>
              <w:snapToGrid w:val="0"/>
              <w:spacing w:after="120" w:line="300" w:lineRule="auto"/>
              <w:rPr>
                <w:color w:val="auto"/>
                <w:szCs w:val="21"/>
                <w:highlight w:val="none"/>
              </w:rPr>
            </w:pPr>
          </w:p>
        </w:tc>
        <w:tc>
          <w:tcPr>
            <w:tcW w:w="1274" w:type="dxa"/>
          </w:tcPr>
          <w:p>
            <w:pPr>
              <w:snapToGrid w:val="0"/>
              <w:spacing w:after="120" w:line="300" w:lineRule="auto"/>
              <w:rPr>
                <w:color w:val="auto"/>
                <w:szCs w:val="21"/>
                <w:highlight w:val="none"/>
              </w:rPr>
            </w:pPr>
          </w:p>
        </w:tc>
      </w:tr>
    </w:tbl>
    <w:p>
      <w:pPr>
        <w:snapToGrid w:val="0"/>
        <w:spacing w:after="120" w:line="300" w:lineRule="auto"/>
        <w:rPr>
          <w:color w:val="auto"/>
          <w:szCs w:val="21"/>
          <w:highlight w:val="none"/>
        </w:rPr>
      </w:pPr>
    </w:p>
    <w:p>
      <w:pPr>
        <w:snapToGrid w:val="0"/>
        <w:spacing w:after="120" w:line="300" w:lineRule="auto"/>
        <w:rPr>
          <w:color w:val="auto"/>
          <w:szCs w:val="21"/>
          <w:highlight w:val="none"/>
        </w:rPr>
      </w:pPr>
      <w:r>
        <w:rPr>
          <w:rFonts w:hint="eastAsia"/>
          <w:color w:val="auto"/>
          <w:szCs w:val="21"/>
          <w:highlight w:val="none"/>
        </w:rPr>
        <w:t>注：</w:t>
      </w:r>
      <w:r>
        <w:rPr>
          <w:color w:val="auto"/>
          <w:szCs w:val="21"/>
          <w:highlight w:val="none"/>
        </w:rPr>
        <w:t>1.表所列为</w:t>
      </w:r>
      <w:r>
        <w:rPr>
          <w:b/>
          <w:bCs/>
          <w:color w:val="auto"/>
          <w:szCs w:val="21"/>
          <w:highlight w:val="none"/>
        </w:rPr>
        <w:t>质保期后连续运行5年所需的备品备件清单（每台）</w:t>
      </w:r>
      <w:r>
        <w:rPr>
          <w:color w:val="auto"/>
          <w:szCs w:val="21"/>
          <w:highlight w:val="none"/>
        </w:rPr>
        <w:t>，不变价。</w:t>
      </w:r>
    </w:p>
    <w:p>
      <w:pPr>
        <w:snapToGrid w:val="0"/>
        <w:spacing w:after="120" w:line="300" w:lineRule="auto"/>
        <w:ind w:firstLine="420" w:firstLineChars="200"/>
        <w:rPr>
          <w:color w:val="auto"/>
          <w:szCs w:val="21"/>
          <w:highlight w:val="none"/>
        </w:rPr>
      </w:pPr>
      <w:r>
        <w:rPr>
          <w:color w:val="auto"/>
          <w:szCs w:val="21"/>
          <w:highlight w:val="none"/>
        </w:rPr>
        <w:t>2.表中所列价格不计入投标总价，仅供招标人选购时用。</w:t>
      </w:r>
    </w:p>
    <w:p>
      <w:pPr>
        <w:spacing w:after="120"/>
        <w:rPr>
          <w:b/>
          <w:color w:val="auto"/>
          <w:szCs w:val="21"/>
          <w:highlight w:val="none"/>
        </w:rPr>
      </w:pPr>
    </w:p>
    <w:p>
      <w:pPr>
        <w:spacing w:after="120"/>
        <w:rPr>
          <w:b/>
          <w:color w:val="auto"/>
          <w:szCs w:val="21"/>
          <w:highlight w:val="none"/>
        </w:rPr>
      </w:pPr>
    </w:p>
    <w:p>
      <w:pPr>
        <w:spacing w:after="120"/>
        <w:rPr>
          <w:color w:val="auto"/>
          <w:szCs w:val="21"/>
          <w:highlight w:val="none"/>
        </w:rPr>
      </w:pPr>
      <w:r>
        <w:rPr>
          <w:rFonts w:hint="eastAsia"/>
          <w:color w:val="auto"/>
          <w:kern w:val="0"/>
          <w:szCs w:val="21"/>
          <w:highlight w:val="none"/>
        </w:rPr>
        <w:t>法定代表人：（</w:t>
      </w:r>
      <w:r>
        <w:rPr>
          <w:rFonts w:hint="eastAsia"/>
          <w:color w:val="auto"/>
          <w:szCs w:val="21"/>
          <w:highlight w:val="none"/>
        </w:rPr>
        <w:t>盖法定代表人印章</w:t>
      </w:r>
      <w:r>
        <w:rPr>
          <w:rFonts w:hint="eastAsia"/>
          <w:color w:val="auto"/>
          <w:kern w:val="0"/>
          <w:szCs w:val="21"/>
          <w:highlight w:val="none"/>
        </w:rPr>
        <w:t xml:space="preserve">）       </w:t>
      </w:r>
      <w:r>
        <w:rPr>
          <w:rFonts w:hint="eastAsia"/>
          <w:color w:val="auto"/>
          <w:szCs w:val="21"/>
          <w:highlight w:val="none"/>
        </w:rPr>
        <w:t xml:space="preserve">       投标人：（盖投标人公章）：</w:t>
      </w:r>
    </w:p>
    <w:p>
      <w:pPr>
        <w:spacing w:after="120"/>
        <w:rPr>
          <w:color w:val="auto"/>
          <w:szCs w:val="21"/>
          <w:highlight w:val="none"/>
        </w:rPr>
      </w:pPr>
    </w:p>
    <w:p>
      <w:pPr>
        <w:spacing w:after="120"/>
        <w:rPr>
          <w:color w:val="auto"/>
          <w:highlight w:val="none"/>
        </w:rPr>
      </w:pPr>
      <w:r>
        <w:rPr>
          <w:rFonts w:hint="eastAsia"/>
          <w:color w:val="auto"/>
          <w:szCs w:val="21"/>
          <w:highlight w:val="none"/>
        </w:rPr>
        <w:t>日期：</w:t>
      </w:r>
    </w:p>
    <w:p>
      <w:pPr>
        <w:spacing w:after="120"/>
        <w:rPr>
          <w:color w:val="auto"/>
          <w:highlight w:val="none"/>
        </w:rPr>
      </w:pPr>
    </w:p>
    <w:p>
      <w:pPr>
        <w:spacing w:after="120"/>
        <w:rPr>
          <w:color w:val="auto"/>
          <w:highlight w:val="none"/>
        </w:rPr>
      </w:pPr>
    </w:p>
    <w:p>
      <w:pPr>
        <w:spacing w:after="120"/>
        <w:rPr>
          <w:color w:val="auto"/>
          <w:highlight w:val="none"/>
        </w:rPr>
      </w:pPr>
    </w:p>
    <w:p>
      <w:pPr>
        <w:spacing w:after="120"/>
        <w:rPr>
          <w:bCs/>
          <w:color w:val="auto"/>
          <w:highlight w:val="none"/>
        </w:rPr>
      </w:pPr>
      <w:r>
        <w:rPr>
          <w:color w:val="auto"/>
          <w:highlight w:val="none"/>
        </w:rPr>
        <w:br w:type="page"/>
      </w:r>
      <w:bookmarkStart w:id="336" w:name="_Toc317847133"/>
      <w:bookmarkStart w:id="337" w:name="_Toc31343176"/>
      <w:bookmarkStart w:id="338" w:name="_Toc34032144"/>
      <w:r>
        <w:rPr>
          <w:rFonts w:hint="eastAsia"/>
          <w:bCs/>
          <w:color w:val="auto"/>
          <w:highlight w:val="none"/>
        </w:rPr>
        <w:t>附件七</w:t>
      </w:r>
    </w:p>
    <w:p>
      <w:pPr>
        <w:spacing w:line="540" w:lineRule="exact"/>
        <w:jc w:val="center"/>
        <w:rPr>
          <w:b/>
          <w:color w:val="auto"/>
          <w:kern w:val="0"/>
          <w:sz w:val="32"/>
          <w:szCs w:val="32"/>
          <w:highlight w:val="none"/>
        </w:rPr>
      </w:pPr>
      <w:r>
        <w:rPr>
          <w:rFonts w:hint="eastAsia"/>
          <w:b/>
          <w:color w:val="auto"/>
          <w:kern w:val="0"/>
          <w:sz w:val="32"/>
          <w:szCs w:val="32"/>
          <w:highlight w:val="none"/>
        </w:rPr>
        <w:t>驻项目现场的工程技术、管理人员</w:t>
      </w:r>
      <w:bookmarkEnd w:id="336"/>
      <w:bookmarkEnd w:id="337"/>
      <w:bookmarkEnd w:id="338"/>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85"/>
        <w:gridCol w:w="736"/>
        <w:gridCol w:w="736"/>
        <w:gridCol w:w="938"/>
        <w:gridCol w:w="938"/>
        <w:gridCol w:w="1057"/>
        <w:gridCol w:w="1440"/>
        <w:gridCol w:w="1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color w:val="auto"/>
                <w:szCs w:val="21"/>
                <w:highlight w:val="none"/>
              </w:rPr>
            </w:pPr>
            <w:r>
              <w:rPr>
                <w:rFonts w:hint="eastAsia"/>
                <w:color w:val="auto"/>
                <w:szCs w:val="21"/>
                <w:highlight w:val="none"/>
              </w:rPr>
              <w:t>姓名</w:t>
            </w:r>
          </w:p>
        </w:tc>
        <w:tc>
          <w:tcPr>
            <w:tcW w:w="1185" w:type="dxa"/>
            <w:vAlign w:val="center"/>
          </w:tcPr>
          <w:p>
            <w:pPr>
              <w:spacing w:after="120"/>
              <w:jc w:val="center"/>
              <w:rPr>
                <w:color w:val="auto"/>
                <w:szCs w:val="21"/>
                <w:highlight w:val="none"/>
              </w:rPr>
            </w:pPr>
            <w:r>
              <w:rPr>
                <w:rFonts w:hint="eastAsia"/>
                <w:color w:val="auto"/>
                <w:szCs w:val="21"/>
                <w:highlight w:val="none"/>
              </w:rPr>
              <w:t>本工程拟</w:t>
            </w:r>
          </w:p>
          <w:p>
            <w:pPr>
              <w:spacing w:after="120"/>
              <w:jc w:val="center"/>
              <w:rPr>
                <w:color w:val="auto"/>
                <w:szCs w:val="21"/>
                <w:highlight w:val="none"/>
              </w:rPr>
            </w:pPr>
            <w:r>
              <w:rPr>
                <w:rFonts w:hint="eastAsia"/>
                <w:color w:val="auto"/>
                <w:szCs w:val="21"/>
                <w:highlight w:val="none"/>
              </w:rPr>
              <w:t>任岗位</w:t>
            </w:r>
          </w:p>
        </w:tc>
        <w:tc>
          <w:tcPr>
            <w:tcW w:w="736" w:type="dxa"/>
            <w:vAlign w:val="center"/>
          </w:tcPr>
          <w:p>
            <w:pPr>
              <w:spacing w:after="120"/>
              <w:jc w:val="center"/>
              <w:rPr>
                <w:color w:val="auto"/>
                <w:szCs w:val="21"/>
                <w:highlight w:val="none"/>
              </w:rPr>
            </w:pPr>
            <w:r>
              <w:rPr>
                <w:rFonts w:hint="eastAsia"/>
                <w:color w:val="auto"/>
                <w:szCs w:val="21"/>
                <w:highlight w:val="none"/>
              </w:rPr>
              <w:t>年龄</w:t>
            </w:r>
          </w:p>
        </w:tc>
        <w:tc>
          <w:tcPr>
            <w:tcW w:w="736" w:type="dxa"/>
            <w:vAlign w:val="center"/>
          </w:tcPr>
          <w:p>
            <w:pPr>
              <w:spacing w:after="120"/>
              <w:jc w:val="center"/>
              <w:rPr>
                <w:color w:val="auto"/>
                <w:szCs w:val="21"/>
                <w:highlight w:val="none"/>
              </w:rPr>
            </w:pPr>
            <w:r>
              <w:rPr>
                <w:rFonts w:hint="eastAsia"/>
                <w:color w:val="auto"/>
                <w:szCs w:val="21"/>
                <w:highlight w:val="none"/>
              </w:rPr>
              <w:t>性别</w:t>
            </w:r>
          </w:p>
        </w:tc>
        <w:tc>
          <w:tcPr>
            <w:tcW w:w="938" w:type="dxa"/>
            <w:vAlign w:val="center"/>
          </w:tcPr>
          <w:p>
            <w:pPr>
              <w:spacing w:after="120"/>
              <w:jc w:val="center"/>
              <w:rPr>
                <w:color w:val="auto"/>
                <w:szCs w:val="21"/>
                <w:highlight w:val="none"/>
              </w:rPr>
            </w:pPr>
            <w:r>
              <w:rPr>
                <w:rFonts w:hint="eastAsia"/>
                <w:color w:val="auto"/>
                <w:szCs w:val="21"/>
                <w:highlight w:val="none"/>
              </w:rPr>
              <w:t>专业</w:t>
            </w:r>
          </w:p>
          <w:p>
            <w:pPr>
              <w:spacing w:after="120"/>
              <w:jc w:val="center"/>
              <w:rPr>
                <w:color w:val="auto"/>
                <w:szCs w:val="21"/>
                <w:highlight w:val="none"/>
              </w:rPr>
            </w:pPr>
            <w:r>
              <w:rPr>
                <w:rFonts w:hint="eastAsia"/>
                <w:color w:val="auto"/>
                <w:szCs w:val="21"/>
                <w:highlight w:val="none"/>
              </w:rPr>
              <w:t>学历</w:t>
            </w:r>
          </w:p>
        </w:tc>
        <w:tc>
          <w:tcPr>
            <w:tcW w:w="938" w:type="dxa"/>
            <w:vAlign w:val="center"/>
          </w:tcPr>
          <w:p>
            <w:pPr>
              <w:spacing w:after="120"/>
              <w:jc w:val="center"/>
              <w:rPr>
                <w:color w:val="auto"/>
                <w:szCs w:val="21"/>
                <w:highlight w:val="none"/>
              </w:rPr>
            </w:pPr>
            <w:r>
              <w:rPr>
                <w:rFonts w:hint="eastAsia"/>
                <w:color w:val="auto"/>
                <w:szCs w:val="21"/>
                <w:highlight w:val="none"/>
              </w:rPr>
              <w:t>专业</w:t>
            </w:r>
          </w:p>
          <w:p>
            <w:pPr>
              <w:spacing w:after="120"/>
              <w:jc w:val="center"/>
              <w:rPr>
                <w:color w:val="auto"/>
                <w:szCs w:val="21"/>
                <w:highlight w:val="none"/>
              </w:rPr>
            </w:pPr>
            <w:r>
              <w:rPr>
                <w:rFonts w:hint="eastAsia"/>
                <w:color w:val="auto"/>
                <w:szCs w:val="21"/>
                <w:highlight w:val="none"/>
              </w:rPr>
              <w:t>年限</w:t>
            </w:r>
          </w:p>
        </w:tc>
        <w:tc>
          <w:tcPr>
            <w:tcW w:w="1057" w:type="dxa"/>
            <w:vAlign w:val="center"/>
          </w:tcPr>
          <w:p>
            <w:pPr>
              <w:spacing w:after="120"/>
              <w:jc w:val="center"/>
              <w:rPr>
                <w:color w:val="auto"/>
                <w:szCs w:val="21"/>
                <w:highlight w:val="none"/>
              </w:rPr>
            </w:pPr>
            <w:r>
              <w:rPr>
                <w:rFonts w:hint="eastAsia"/>
                <w:color w:val="auto"/>
                <w:szCs w:val="21"/>
                <w:highlight w:val="none"/>
              </w:rPr>
              <w:t>现任职务和职称</w:t>
            </w:r>
          </w:p>
        </w:tc>
        <w:tc>
          <w:tcPr>
            <w:tcW w:w="1440" w:type="dxa"/>
            <w:vAlign w:val="center"/>
          </w:tcPr>
          <w:p>
            <w:pPr>
              <w:spacing w:after="120"/>
              <w:jc w:val="center"/>
              <w:rPr>
                <w:color w:val="auto"/>
                <w:szCs w:val="21"/>
                <w:highlight w:val="none"/>
              </w:rPr>
            </w:pPr>
            <w:r>
              <w:rPr>
                <w:rFonts w:hint="eastAsia"/>
                <w:color w:val="auto"/>
                <w:szCs w:val="21"/>
                <w:highlight w:val="none"/>
              </w:rPr>
              <w:t>安排上岗的</w:t>
            </w:r>
          </w:p>
          <w:p>
            <w:pPr>
              <w:spacing w:after="120"/>
              <w:jc w:val="center"/>
              <w:rPr>
                <w:color w:val="auto"/>
                <w:szCs w:val="21"/>
                <w:highlight w:val="none"/>
              </w:rPr>
            </w:pPr>
            <w:r>
              <w:rPr>
                <w:rFonts w:hint="eastAsia"/>
                <w:color w:val="auto"/>
                <w:szCs w:val="21"/>
                <w:highlight w:val="none"/>
              </w:rPr>
              <w:t>起止时间</w:t>
            </w:r>
          </w:p>
        </w:tc>
        <w:tc>
          <w:tcPr>
            <w:tcW w:w="1690" w:type="dxa"/>
            <w:vAlign w:val="center"/>
          </w:tcPr>
          <w:p>
            <w:pPr>
              <w:spacing w:after="120"/>
              <w:jc w:val="center"/>
              <w:rPr>
                <w:color w:val="auto"/>
                <w:szCs w:val="21"/>
                <w:highlight w:val="none"/>
              </w:rPr>
            </w:pPr>
            <w:r>
              <w:rPr>
                <w:rFonts w:hint="eastAsia"/>
                <w:color w:val="auto"/>
                <w:szCs w:val="21"/>
                <w:highlight w:val="none"/>
              </w:rPr>
              <w:t>类似工程的经历、业绩介绍（或另附简历）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szCs w:val="21"/>
                <w:highlight w:val="none"/>
              </w:rPr>
            </w:pPr>
          </w:p>
        </w:tc>
        <w:tc>
          <w:tcPr>
            <w:tcW w:w="1185"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736"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938" w:type="dxa"/>
            <w:vAlign w:val="center"/>
          </w:tcPr>
          <w:p>
            <w:pPr>
              <w:spacing w:after="120"/>
              <w:jc w:val="center"/>
              <w:rPr>
                <w:b/>
                <w:bCs/>
                <w:color w:val="auto"/>
                <w:szCs w:val="21"/>
                <w:highlight w:val="none"/>
              </w:rPr>
            </w:pPr>
          </w:p>
        </w:tc>
        <w:tc>
          <w:tcPr>
            <w:tcW w:w="1057" w:type="dxa"/>
            <w:vAlign w:val="center"/>
          </w:tcPr>
          <w:p>
            <w:pPr>
              <w:spacing w:after="120"/>
              <w:jc w:val="center"/>
              <w:rPr>
                <w:b/>
                <w:bCs/>
                <w:color w:val="auto"/>
                <w:szCs w:val="21"/>
                <w:highlight w:val="none"/>
              </w:rPr>
            </w:pPr>
          </w:p>
        </w:tc>
        <w:tc>
          <w:tcPr>
            <w:tcW w:w="1440" w:type="dxa"/>
            <w:vAlign w:val="center"/>
          </w:tcPr>
          <w:p>
            <w:pPr>
              <w:spacing w:after="120"/>
              <w:jc w:val="center"/>
              <w:rPr>
                <w:b/>
                <w:bCs/>
                <w:color w:val="auto"/>
                <w:szCs w:val="21"/>
                <w:highlight w:val="none"/>
              </w:rPr>
            </w:pPr>
          </w:p>
        </w:tc>
        <w:tc>
          <w:tcPr>
            <w:tcW w:w="1690" w:type="dxa"/>
            <w:vAlign w:val="center"/>
          </w:tcPr>
          <w:p>
            <w:pPr>
              <w:spacing w:after="120"/>
              <w:jc w:val="center"/>
              <w:rPr>
                <w:b/>
                <w:bCs/>
                <w:color w:val="auto"/>
                <w:szCs w:val="21"/>
                <w:highlight w:val="none"/>
              </w:rPr>
            </w:pPr>
          </w:p>
        </w:tc>
      </w:tr>
    </w:tbl>
    <w:p>
      <w:pPr>
        <w:spacing w:after="120" w:line="360" w:lineRule="auto"/>
        <w:rPr>
          <w:color w:val="auto"/>
          <w:szCs w:val="21"/>
          <w:highlight w:val="none"/>
        </w:rPr>
      </w:pPr>
      <w:r>
        <w:rPr>
          <w:rFonts w:hint="eastAsia"/>
          <w:color w:val="auto"/>
          <w:szCs w:val="21"/>
          <w:highlight w:val="none"/>
        </w:rPr>
        <w:t>注：</w:t>
      </w:r>
      <w:r>
        <w:rPr>
          <w:color w:val="auto"/>
          <w:szCs w:val="21"/>
          <w:highlight w:val="none"/>
        </w:rPr>
        <w:t>1、我方单位的项目经理、技术负责、施工、质量、安全、材料、财务以及各主要专业工种负责人均已列入。</w:t>
      </w:r>
    </w:p>
    <w:p>
      <w:pPr>
        <w:numPr>
          <w:ilvl w:val="0"/>
          <w:numId w:val="16"/>
        </w:numPr>
        <w:spacing w:after="120" w:line="360" w:lineRule="auto"/>
        <w:ind w:firstLine="315"/>
        <w:rPr>
          <w:color w:val="auto"/>
          <w:highlight w:val="none"/>
        </w:rPr>
      </w:pPr>
      <w:r>
        <w:rPr>
          <w:color w:val="auto"/>
          <w:szCs w:val="21"/>
          <w:highlight w:val="none"/>
        </w:rPr>
        <w:t>列入本表人员</w:t>
      </w:r>
      <w:r>
        <w:rPr>
          <w:rFonts w:hint="eastAsia"/>
          <w:color w:val="auto"/>
          <w:szCs w:val="21"/>
          <w:highlight w:val="none"/>
        </w:rPr>
        <w:t>及投标文件中提交的施工组织方案在项目执行中须按要求执行，招标人将对本表所列人员进行考勤，</w:t>
      </w:r>
      <w:r>
        <w:rPr>
          <w:color w:val="auto"/>
          <w:szCs w:val="21"/>
          <w:highlight w:val="none"/>
        </w:rPr>
        <w:t>更换须经招标人同意，擅自更换或不到位均属</w:t>
      </w:r>
      <w:r>
        <w:rPr>
          <w:rFonts w:hint="eastAsia"/>
          <w:color w:val="auto"/>
          <w:szCs w:val="21"/>
          <w:highlight w:val="none"/>
        </w:rPr>
        <w:t>违约</w:t>
      </w:r>
      <w:r>
        <w:rPr>
          <w:color w:val="auto"/>
          <w:szCs w:val="21"/>
          <w:highlight w:val="none"/>
        </w:rPr>
        <w:t>行为</w:t>
      </w:r>
      <w:r>
        <w:rPr>
          <w:rFonts w:hint="eastAsia"/>
          <w:color w:val="auto"/>
          <w:szCs w:val="21"/>
          <w:highlight w:val="none"/>
        </w:rPr>
        <w:t>，按合同主要条款违约条款中8.2.4处理。</w:t>
      </w:r>
    </w:p>
    <w:p>
      <w:pPr>
        <w:spacing w:after="120" w:line="360" w:lineRule="auto"/>
        <w:ind w:firstLine="315" w:firstLineChars="150"/>
        <w:rPr>
          <w:color w:val="auto"/>
          <w:szCs w:val="21"/>
          <w:highlight w:val="none"/>
        </w:rPr>
      </w:pPr>
    </w:p>
    <w:p>
      <w:pPr>
        <w:spacing w:after="120" w:line="360" w:lineRule="auto"/>
        <w:ind w:firstLine="315" w:firstLineChars="150"/>
        <w:rPr>
          <w:color w:val="auto"/>
          <w:szCs w:val="21"/>
          <w:highlight w:val="none"/>
        </w:rPr>
      </w:pPr>
    </w:p>
    <w:p>
      <w:pPr>
        <w:spacing w:after="120"/>
        <w:rPr>
          <w:color w:val="auto"/>
          <w:szCs w:val="21"/>
          <w:highlight w:val="none"/>
        </w:rPr>
      </w:pPr>
      <w:r>
        <w:rPr>
          <w:rFonts w:hint="eastAsia"/>
          <w:color w:val="auto"/>
          <w:kern w:val="0"/>
          <w:szCs w:val="21"/>
          <w:highlight w:val="none"/>
        </w:rPr>
        <w:t>法定代表人：（</w:t>
      </w:r>
      <w:r>
        <w:rPr>
          <w:rFonts w:hint="eastAsia"/>
          <w:color w:val="auto"/>
          <w:szCs w:val="21"/>
          <w:highlight w:val="none"/>
        </w:rPr>
        <w:t>盖法定代表人印章</w:t>
      </w:r>
      <w:r>
        <w:rPr>
          <w:rFonts w:hint="eastAsia"/>
          <w:color w:val="auto"/>
          <w:kern w:val="0"/>
          <w:szCs w:val="21"/>
          <w:highlight w:val="none"/>
        </w:rPr>
        <w:t xml:space="preserve">）       </w:t>
      </w:r>
      <w:r>
        <w:rPr>
          <w:rFonts w:hint="eastAsia"/>
          <w:color w:val="auto"/>
          <w:szCs w:val="21"/>
          <w:highlight w:val="none"/>
        </w:rPr>
        <w:t xml:space="preserve">       投标人(盖投标人公章)：</w:t>
      </w:r>
    </w:p>
    <w:p>
      <w:pPr>
        <w:spacing w:after="120"/>
        <w:rPr>
          <w:color w:val="auto"/>
          <w:szCs w:val="21"/>
          <w:highlight w:val="none"/>
        </w:rPr>
      </w:pPr>
    </w:p>
    <w:p>
      <w:pPr>
        <w:spacing w:after="120"/>
        <w:rPr>
          <w:color w:val="auto"/>
          <w:szCs w:val="21"/>
          <w:highlight w:val="none"/>
        </w:rPr>
      </w:pPr>
      <w:r>
        <w:rPr>
          <w:rFonts w:hint="eastAsia"/>
          <w:color w:val="auto"/>
          <w:szCs w:val="21"/>
          <w:highlight w:val="none"/>
        </w:rPr>
        <w:t>日期：</w:t>
      </w:r>
    </w:p>
    <w:p>
      <w:pPr>
        <w:pStyle w:val="26"/>
        <w:ind w:firstLine="210"/>
        <w:rPr>
          <w:color w:val="auto"/>
          <w:highlight w:val="none"/>
        </w:rPr>
      </w:pPr>
    </w:p>
    <w:p>
      <w:pPr>
        <w:pStyle w:val="26"/>
        <w:ind w:firstLine="210"/>
        <w:rPr>
          <w:color w:val="auto"/>
          <w:highlight w:val="none"/>
        </w:rPr>
      </w:pPr>
    </w:p>
    <w:p>
      <w:pPr>
        <w:pStyle w:val="26"/>
        <w:ind w:firstLine="210"/>
        <w:rPr>
          <w:color w:val="auto"/>
          <w:highlight w:val="none"/>
        </w:rPr>
      </w:pPr>
    </w:p>
    <w:p>
      <w:pPr>
        <w:pStyle w:val="26"/>
        <w:ind w:firstLine="210"/>
        <w:rPr>
          <w:color w:val="auto"/>
          <w:highlight w:val="none"/>
        </w:rPr>
      </w:pPr>
    </w:p>
    <w:p>
      <w:pPr>
        <w:shd w:val="clear" w:color="auto" w:fill="FFFFFF"/>
        <w:jc w:val="center"/>
        <w:rPr>
          <w:rFonts w:ascii="宋体" w:hAnsi="宋体" w:cs="宋体"/>
          <w:color w:val="auto"/>
          <w:sz w:val="28"/>
          <w:szCs w:val="28"/>
          <w:highlight w:val="none"/>
          <w:u w:val="single"/>
        </w:rPr>
      </w:pPr>
    </w:p>
    <w:p>
      <w:pPr>
        <w:shd w:val="clear" w:color="auto" w:fill="FFFFFF"/>
        <w:jc w:val="center"/>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（项目名称）招标</w:t>
      </w:r>
    </w:p>
    <w:p>
      <w:pPr>
        <w:shd w:val="clear" w:color="auto" w:fill="FFFFFF"/>
        <w:spacing w:before="312" w:beforeLines="100"/>
        <w:jc w:val="center"/>
        <w:rPr>
          <w:rFonts w:ascii="宋体" w:hAnsi="宋体" w:cs="宋体"/>
          <w:color w:val="auto"/>
          <w:sz w:val="44"/>
          <w:szCs w:val="44"/>
          <w:highlight w:val="none"/>
        </w:rPr>
      </w:pPr>
      <w:r>
        <w:rPr>
          <w:rFonts w:hint="eastAsia" w:ascii="宋体" w:hAnsi="宋体" w:cs="宋体"/>
          <w:color w:val="auto"/>
          <w:sz w:val="44"/>
          <w:szCs w:val="44"/>
          <w:highlight w:val="none"/>
        </w:rPr>
        <w:t>投  标  文  件</w:t>
      </w: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r>
        <w:rPr>
          <w:rFonts w:hint="eastAsia" w:ascii="宋体" w:hAnsi="宋体" w:cs="宋体"/>
          <w:color w:val="auto"/>
          <w:sz w:val="32"/>
          <w:szCs w:val="32"/>
          <w:highlight w:val="none"/>
        </w:rPr>
        <w:t>（技术标）</w:t>
      </w: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（盖章）</w:t>
      </w:r>
    </w:p>
    <w:p>
      <w:pPr>
        <w:shd w:val="clear" w:color="auto" w:fill="FFFFFF"/>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（盖法定代表人印章）</w:t>
      </w:r>
    </w:p>
    <w:p>
      <w:pPr>
        <w:shd w:val="clear" w:color="auto" w:fill="FFFFFF"/>
        <w:rPr>
          <w:rFonts w:ascii="宋体" w:hAnsi="宋体" w:cs="宋体"/>
          <w:color w:val="auto"/>
          <w:sz w:val="28"/>
          <w:szCs w:val="28"/>
          <w:highlight w:val="none"/>
        </w:rPr>
      </w:pPr>
    </w:p>
    <w:p>
      <w:pPr>
        <w:shd w:val="clear" w:color="auto" w:fill="FFFFFF"/>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jc w:val="center"/>
        <w:rPr>
          <w:rFonts w:ascii="宋体" w:hAnsi="宋体" w:cs="宋体"/>
          <w:color w:val="auto"/>
          <w:sz w:val="30"/>
          <w:szCs w:val="30"/>
          <w:highlight w:val="none"/>
        </w:rPr>
      </w:pPr>
    </w:p>
    <w:p>
      <w:pPr>
        <w:spacing w:after="120"/>
        <w:ind w:firstLine="210" w:firstLineChars="100"/>
        <w:rPr>
          <w:rFonts w:ascii="宋体" w:hAnsi="宋体" w:cs="宋体"/>
          <w:color w:val="auto"/>
          <w:highlight w:val="none"/>
        </w:rPr>
      </w:pPr>
    </w:p>
    <w:p>
      <w:pPr>
        <w:keepNext/>
        <w:keepLines/>
        <w:adjustRightInd w:val="0"/>
        <w:snapToGrid w:val="0"/>
        <w:spacing w:line="360" w:lineRule="auto"/>
        <w:jc w:val="center"/>
        <w:outlineLvl w:val="3"/>
        <w:rPr>
          <w:rFonts w:ascii="宋体" w:hAnsi="宋体" w:cs="宋体"/>
          <w:b/>
          <w:bCs/>
          <w:color w:val="auto"/>
          <w:sz w:val="28"/>
          <w:szCs w:val="28"/>
          <w:highlight w:val="none"/>
        </w:rPr>
      </w:pPr>
      <w:r>
        <w:rPr>
          <w:rFonts w:hint="eastAsia" w:ascii="宋体" w:hAnsi="宋体" w:cs="宋体"/>
          <w:b/>
          <w:bCs/>
          <w:color w:val="auto"/>
          <w:sz w:val="28"/>
          <w:szCs w:val="28"/>
          <w:highlight w:val="none"/>
        </w:rPr>
        <w:t>投标人提供的技术评审打分资料索引表</w:t>
      </w:r>
    </w:p>
    <w:tbl>
      <w:tblPr>
        <w:tblStyle w:val="28"/>
        <w:tblpPr w:leftFromText="180" w:rightFromText="180" w:vertAnchor="page" w:horzAnchor="page" w:tblpX="1713" w:tblpY="2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5166"/>
        <w:gridCol w:w="1399"/>
        <w:gridCol w:w="1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序号</w:t>
            </w:r>
          </w:p>
        </w:tc>
        <w:tc>
          <w:tcPr>
            <w:tcW w:w="5166" w:type="dxa"/>
            <w:vAlign w:val="center"/>
          </w:tcPr>
          <w:p>
            <w:pPr>
              <w:adjustRightInd w:val="0"/>
              <w:snapToGrid w:val="0"/>
              <w:spacing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资料名称</w:t>
            </w: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共 页</w:t>
            </w: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utoSpaceDE w:val="0"/>
              <w:autoSpaceDN w:val="0"/>
              <w:adjustRightInd w:val="0"/>
              <w:spacing w:line="360" w:lineRule="auto"/>
              <w:ind w:firstLine="405"/>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6" w:type="dxa"/>
            <w:vAlign w:val="center"/>
          </w:tcPr>
          <w:p>
            <w:pPr>
              <w:adjustRightInd w:val="0"/>
              <w:snapToGrid w:val="0"/>
              <w:spacing w:line="360" w:lineRule="auto"/>
              <w:jc w:val="center"/>
              <w:rPr>
                <w:rFonts w:ascii="宋体" w:hAnsi="宋体" w:cs="宋体"/>
                <w:color w:val="auto"/>
                <w:sz w:val="18"/>
                <w:szCs w:val="18"/>
                <w:highlight w:val="none"/>
              </w:rPr>
            </w:pPr>
          </w:p>
        </w:tc>
        <w:tc>
          <w:tcPr>
            <w:tcW w:w="5166" w:type="dxa"/>
            <w:vAlign w:val="center"/>
          </w:tcPr>
          <w:p>
            <w:pPr>
              <w:adjustRightInd w:val="0"/>
              <w:snapToGrid w:val="0"/>
              <w:spacing w:line="360" w:lineRule="auto"/>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c>
          <w:tcPr>
            <w:tcW w:w="1399" w:type="dxa"/>
            <w:vAlign w:val="center"/>
          </w:tcPr>
          <w:p>
            <w:pPr>
              <w:adjustRightInd w:val="0"/>
              <w:snapToGrid w:val="0"/>
              <w:spacing w:line="360" w:lineRule="auto"/>
              <w:jc w:val="center"/>
              <w:rPr>
                <w:rFonts w:ascii="宋体" w:hAnsi="宋体" w:cs="宋体"/>
                <w:color w:val="auto"/>
                <w:sz w:val="18"/>
                <w:szCs w:val="18"/>
                <w:highlight w:val="none"/>
              </w:rPr>
            </w:pPr>
          </w:p>
        </w:tc>
      </w:tr>
    </w:tbl>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（对照第三章技术标评分表逐一填写）</w:t>
      </w:r>
    </w:p>
    <w:p>
      <w:pPr>
        <w:adjustRightInd w:val="0"/>
        <w:snapToGrid w:val="0"/>
        <w:spacing w:line="360" w:lineRule="auto"/>
        <w:ind w:left="4618" w:leftChars="2199" w:firstLine="630" w:firstLineChars="300"/>
        <w:rPr>
          <w:rFonts w:ascii="宋体" w:hAnsi="宋体" w:cs="宋体"/>
          <w:color w:val="auto"/>
          <w:szCs w:val="21"/>
          <w:highlight w:val="none"/>
        </w:rPr>
      </w:pPr>
    </w:p>
    <w:p>
      <w:pPr>
        <w:adjustRightInd w:val="0"/>
        <w:snapToGrid w:val="0"/>
        <w:spacing w:line="360" w:lineRule="auto"/>
        <w:ind w:left="4618" w:leftChars="2199" w:firstLine="630" w:firstLineChars="300"/>
        <w:rPr>
          <w:rFonts w:ascii="宋体" w:hAnsi="宋体" w:cs="宋体"/>
          <w:color w:val="auto"/>
          <w:szCs w:val="21"/>
          <w:highlight w:val="none"/>
        </w:rPr>
      </w:pPr>
    </w:p>
    <w:p>
      <w:pPr>
        <w:spacing w:after="120"/>
        <w:rPr>
          <w:rFonts w:ascii="宋体" w:hAnsi="宋体" w:cs="宋体"/>
          <w:color w:val="auto"/>
          <w:szCs w:val="21"/>
          <w:highlight w:val="none"/>
        </w:rPr>
      </w:pPr>
      <w:r>
        <w:rPr>
          <w:rFonts w:hint="eastAsia" w:ascii="宋体" w:hAnsi="宋体" w:cs="宋体"/>
          <w:color w:val="auto"/>
          <w:kern w:val="0"/>
          <w:szCs w:val="21"/>
          <w:highlight w:val="none"/>
        </w:rPr>
        <w:t>法定代表人：（</w:t>
      </w:r>
      <w:r>
        <w:rPr>
          <w:rFonts w:hint="eastAsia" w:ascii="宋体" w:hAnsi="宋体" w:cs="宋体"/>
          <w:color w:val="auto"/>
          <w:szCs w:val="21"/>
          <w:highlight w:val="none"/>
        </w:rPr>
        <w:t>盖法定代表人印章</w:t>
      </w:r>
      <w:r>
        <w:rPr>
          <w:rFonts w:hint="eastAsia" w:ascii="宋体" w:hAnsi="宋体" w:cs="宋体"/>
          <w:color w:val="auto"/>
          <w:kern w:val="0"/>
          <w:szCs w:val="21"/>
          <w:highlight w:val="none"/>
        </w:rPr>
        <w:t xml:space="preserve">）       </w:t>
      </w:r>
      <w:r>
        <w:rPr>
          <w:rFonts w:hint="eastAsia" w:ascii="宋体" w:hAnsi="宋体" w:cs="宋体"/>
          <w:color w:val="auto"/>
          <w:szCs w:val="21"/>
          <w:highlight w:val="none"/>
        </w:rPr>
        <w:t xml:space="preserve">       投标人(盖投标人公章)：</w:t>
      </w:r>
    </w:p>
    <w:p>
      <w:pPr>
        <w:spacing w:after="120"/>
        <w:rPr>
          <w:rFonts w:ascii="宋体" w:hAnsi="宋体" w:cs="宋体"/>
          <w:color w:val="auto"/>
          <w:szCs w:val="21"/>
          <w:highlight w:val="none"/>
        </w:rPr>
      </w:pPr>
    </w:p>
    <w:p>
      <w:pPr>
        <w:spacing w:after="120"/>
        <w:rPr>
          <w:rFonts w:ascii="宋体" w:hAnsi="宋体" w:cs="宋体"/>
          <w:color w:val="auto"/>
          <w:szCs w:val="21"/>
          <w:highlight w:val="none"/>
        </w:rPr>
      </w:pPr>
      <w:r>
        <w:rPr>
          <w:rFonts w:hint="eastAsia" w:ascii="宋体" w:hAnsi="宋体" w:cs="宋体"/>
          <w:color w:val="auto"/>
          <w:szCs w:val="21"/>
          <w:highlight w:val="none"/>
        </w:rPr>
        <w:t>日期：</w:t>
      </w:r>
    </w:p>
    <w:p>
      <w:pPr>
        <w:pageBreakBefore/>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技术偏离表</w:t>
      </w:r>
    </w:p>
    <w:p>
      <w:pP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t>（由投标人根据技术标准及要求及招标文件要求编制）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3087"/>
        <w:gridCol w:w="3818"/>
        <w:gridCol w:w="1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3" w:type="dxa"/>
            <w:tcBorders>
              <w:top w:val="single" w:color="auto" w:sz="4" w:space="0"/>
              <w:left w:val="single" w:color="auto" w:sz="4" w:space="0"/>
              <w:bottom w:val="single" w:color="auto" w:sz="4" w:space="0"/>
              <w:right w:val="single" w:color="auto" w:sz="4" w:space="0"/>
            </w:tcBorders>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3087" w:type="dxa"/>
            <w:tcBorders>
              <w:top w:val="single" w:color="auto" w:sz="4" w:space="0"/>
              <w:left w:val="single" w:color="auto" w:sz="4" w:space="0"/>
              <w:bottom w:val="single" w:color="auto" w:sz="4" w:space="0"/>
              <w:right w:val="single" w:color="auto" w:sz="4" w:space="0"/>
            </w:tcBorders>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招标文件要求</w:t>
            </w:r>
          </w:p>
        </w:tc>
        <w:tc>
          <w:tcPr>
            <w:tcW w:w="3818" w:type="dxa"/>
            <w:tcBorders>
              <w:top w:val="single" w:color="auto" w:sz="4" w:space="0"/>
              <w:left w:val="single" w:color="auto" w:sz="4" w:space="0"/>
              <w:bottom w:val="single" w:color="auto" w:sz="4" w:space="0"/>
              <w:right w:val="single" w:color="auto" w:sz="4" w:space="0"/>
            </w:tcBorders>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投标响应</w:t>
            </w:r>
          </w:p>
        </w:tc>
        <w:tc>
          <w:tcPr>
            <w:tcW w:w="1201" w:type="dxa"/>
            <w:tcBorders>
              <w:top w:val="single" w:color="auto" w:sz="4" w:space="0"/>
              <w:left w:val="single" w:color="auto" w:sz="4" w:space="0"/>
              <w:bottom w:val="single" w:color="auto" w:sz="4" w:space="0"/>
              <w:right w:val="single" w:color="auto" w:sz="4" w:space="0"/>
            </w:tcBorders>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招标文件技术要求</w:t>
            </w:r>
          </w:p>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(根据标内要求复制)</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请填写投标产品技术指标对应详细描述</w:t>
            </w: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无偏离/正偏离/负偏离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可自行添加行</w:t>
            </w: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详细参数可自行加行</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请填写售后服务要求</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请填写保修期要求</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请填写安装要求(如有)</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请填写验收方式要求(如有)</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请填写付款方式要求</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请填写到货期要求</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3087"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r>
              <w:rPr>
                <w:rFonts w:hint="eastAsia" w:ascii="宋体" w:hAnsi="宋体" w:cs="宋体"/>
                <w:color w:val="auto"/>
                <w:sz w:val="24"/>
                <w:highlight w:val="none"/>
              </w:rPr>
              <w:t>…</w:t>
            </w:r>
          </w:p>
        </w:tc>
        <w:tc>
          <w:tcPr>
            <w:tcW w:w="3818"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rPr>
                <w:rFonts w:ascii="宋体" w:hAnsi="宋体" w:cs="宋体"/>
                <w:color w:val="auto"/>
                <w:sz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pPr>
              <w:tabs>
                <w:tab w:val="left" w:pos="4905"/>
              </w:tabs>
              <w:spacing w:line="400" w:lineRule="exact"/>
              <w:jc w:val="center"/>
              <w:rPr>
                <w:rFonts w:ascii="宋体" w:hAnsi="宋体" w:cs="宋体"/>
                <w:color w:val="auto"/>
                <w:sz w:val="24"/>
                <w:highlight w:val="none"/>
              </w:rPr>
            </w:pPr>
          </w:p>
        </w:tc>
      </w:tr>
    </w:tbl>
    <w:p>
      <w:pPr>
        <w:tabs>
          <w:tab w:val="left" w:pos="570"/>
        </w:tabs>
        <w:spacing w:line="440" w:lineRule="exact"/>
        <w:ind w:firstLine="120" w:firstLineChars="50"/>
        <w:jc w:val="left"/>
        <w:rPr>
          <w:rFonts w:ascii="宋体" w:hAnsi="宋体" w:cs="宋体"/>
          <w:color w:val="auto"/>
          <w:sz w:val="24"/>
          <w:highlight w:val="none"/>
        </w:rPr>
      </w:pPr>
      <w:r>
        <w:rPr>
          <w:rFonts w:hint="eastAsia" w:ascii="宋体" w:hAnsi="宋体" w:cs="宋体"/>
          <w:color w:val="auto"/>
          <w:sz w:val="24"/>
          <w:highlight w:val="none"/>
        </w:rPr>
        <w:t>注：1.此表须与</w:t>
      </w:r>
      <w:r>
        <w:rPr>
          <w:rFonts w:hint="eastAsia" w:ascii="宋体" w:hAnsi="宋体" w:cs="宋体"/>
          <w:color w:val="auto"/>
          <w:kern w:val="0"/>
          <w:sz w:val="24"/>
          <w:highlight w:val="none"/>
        </w:rPr>
        <w:t>招标文件“</w:t>
      </w:r>
      <w:r>
        <w:rPr>
          <w:rFonts w:hint="eastAsia" w:ascii="宋体" w:hAnsi="宋体" w:cs="宋体"/>
          <w:color w:val="auto"/>
          <w:sz w:val="24"/>
          <w:highlight w:val="none"/>
        </w:rPr>
        <w:t>技术标准及要求</w:t>
      </w:r>
      <w:r>
        <w:rPr>
          <w:rFonts w:hint="eastAsia" w:ascii="宋体" w:hAnsi="宋体" w:cs="宋体"/>
          <w:color w:val="auto"/>
          <w:kern w:val="0"/>
          <w:sz w:val="24"/>
          <w:highlight w:val="none"/>
        </w:rPr>
        <w:t>”</w:t>
      </w:r>
      <w:r>
        <w:rPr>
          <w:rFonts w:hint="eastAsia" w:ascii="宋体" w:hAnsi="宋体" w:cs="宋体"/>
          <w:color w:val="auto"/>
          <w:sz w:val="24"/>
          <w:highlight w:val="none"/>
        </w:rPr>
        <w:t>相应标项内的所有技术规格相比较且一一对应真实逐条填列。</w:t>
      </w:r>
    </w:p>
    <w:p>
      <w:pPr>
        <w:tabs>
          <w:tab w:val="left" w:pos="570"/>
        </w:tabs>
        <w:spacing w:line="440" w:lineRule="exact"/>
        <w:jc w:val="left"/>
        <w:rPr>
          <w:rFonts w:ascii="宋体" w:hAnsi="宋体" w:cs="宋体"/>
          <w:color w:val="auto"/>
          <w:sz w:val="24"/>
          <w:highlight w:val="none"/>
        </w:rPr>
      </w:pPr>
      <w:r>
        <w:rPr>
          <w:rFonts w:hint="eastAsia" w:ascii="宋体" w:hAnsi="宋体" w:cs="宋体"/>
          <w:color w:val="auto"/>
          <w:sz w:val="24"/>
          <w:highlight w:val="none"/>
        </w:rPr>
        <w:t>2、投标人递交的技术规格书中必须真实逐条列明，否则由投标人自行承担相关风险。</w:t>
      </w:r>
    </w:p>
    <w:p>
      <w:pPr>
        <w:spacing w:after="120"/>
        <w:rPr>
          <w:rFonts w:ascii="宋体" w:hAnsi="宋体" w:cs="宋体"/>
          <w:color w:val="auto"/>
          <w:highlight w:val="none"/>
        </w:rPr>
      </w:pPr>
    </w:p>
    <w:p>
      <w:pPr>
        <w:spacing w:after="120"/>
        <w:ind w:firstLine="210" w:firstLineChars="100"/>
        <w:rPr>
          <w:rFonts w:ascii="宋体" w:hAnsi="宋体" w:cs="宋体"/>
          <w:color w:val="auto"/>
          <w:highlight w:val="none"/>
        </w:rPr>
      </w:pPr>
    </w:p>
    <w:p>
      <w:pPr>
        <w:spacing w:after="120"/>
        <w:rPr>
          <w:rFonts w:ascii="宋体" w:hAnsi="宋体" w:cs="宋体"/>
          <w:color w:val="auto"/>
          <w:szCs w:val="21"/>
          <w:highlight w:val="none"/>
        </w:rPr>
      </w:pPr>
      <w:r>
        <w:rPr>
          <w:rFonts w:hint="eastAsia" w:ascii="宋体" w:hAnsi="宋体" w:cs="宋体"/>
          <w:color w:val="auto"/>
          <w:kern w:val="0"/>
          <w:szCs w:val="21"/>
          <w:highlight w:val="none"/>
        </w:rPr>
        <w:t>法定代表人：（</w:t>
      </w:r>
      <w:r>
        <w:rPr>
          <w:rFonts w:hint="eastAsia" w:ascii="宋体" w:hAnsi="宋体" w:cs="宋体"/>
          <w:color w:val="auto"/>
          <w:szCs w:val="21"/>
          <w:highlight w:val="none"/>
        </w:rPr>
        <w:t>盖法定代表人印章</w:t>
      </w:r>
      <w:r>
        <w:rPr>
          <w:rFonts w:hint="eastAsia" w:ascii="宋体" w:hAnsi="宋体" w:cs="宋体"/>
          <w:color w:val="auto"/>
          <w:kern w:val="0"/>
          <w:szCs w:val="21"/>
          <w:highlight w:val="none"/>
        </w:rPr>
        <w:t xml:space="preserve">）       </w:t>
      </w:r>
      <w:r>
        <w:rPr>
          <w:rFonts w:hint="eastAsia" w:ascii="宋体" w:hAnsi="宋体" w:cs="宋体"/>
          <w:color w:val="auto"/>
          <w:szCs w:val="21"/>
          <w:highlight w:val="none"/>
        </w:rPr>
        <w:t xml:space="preserve">       投标人(盖投标人公章)：</w:t>
      </w:r>
    </w:p>
    <w:p>
      <w:pPr>
        <w:spacing w:after="120"/>
        <w:rPr>
          <w:rFonts w:ascii="宋体" w:hAnsi="宋体" w:cs="宋体"/>
          <w:color w:val="auto"/>
          <w:szCs w:val="21"/>
          <w:highlight w:val="none"/>
        </w:rPr>
      </w:pPr>
    </w:p>
    <w:p>
      <w:pPr>
        <w:spacing w:after="120"/>
        <w:rPr>
          <w:rFonts w:ascii="宋体" w:hAnsi="宋体" w:cs="宋体"/>
          <w:color w:val="auto"/>
          <w:szCs w:val="21"/>
          <w:highlight w:val="none"/>
        </w:rPr>
      </w:pPr>
      <w:r>
        <w:rPr>
          <w:rFonts w:hint="eastAsia" w:ascii="宋体" w:hAnsi="宋体" w:cs="宋体"/>
          <w:color w:val="auto"/>
          <w:szCs w:val="21"/>
          <w:highlight w:val="none"/>
        </w:rPr>
        <w:t>日期：</w:t>
      </w:r>
    </w:p>
    <w:p>
      <w:pPr>
        <w:spacing w:after="120"/>
        <w:ind w:firstLine="210" w:firstLineChars="100"/>
        <w:rPr>
          <w:rFonts w:ascii="宋体" w:hAnsi="宋体" w:cs="宋体"/>
          <w:color w:val="auto"/>
          <w:highlight w:val="none"/>
        </w:rPr>
      </w:pPr>
    </w:p>
    <w:p>
      <w:pPr>
        <w:spacing w:after="120"/>
        <w:rPr>
          <w:rFonts w:ascii="宋体" w:hAnsi="宋体" w:cs="宋体"/>
          <w:color w:val="auto"/>
          <w:highlight w:val="none"/>
        </w:rPr>
      </w:pPr>
    </w:p>
    <w:p>
      <w:pPr>
        <w:spacing w:after="120"/>
        <w:ind w:firstLine="210" w:firstLineChars="100"/>
        <w:rPr>
          <w:rFonts w:ascii="宋体" w:hAnsi="宋体" w:cs="宋体"/>
          <w:color w:val="auto"/>
          <w:highlight w:val="none"/>
        </w:rPr>
      </w:pPr>
    </w:p>
    <w:p>
      <w:pPr>
        <w:spacing w:after="120"/>
        <w:ind w:firstLine="210" w:firstLineChars="100"/>
        <w:rPr>
          <w:rFonts w:ascii="宋体" w:hAnsi="宋体" w:cs="宋体"/>
          <w:color w:val="auto"/>
          <w:highlight w:val="none"/>
        </w:rPr>
      </w:pPr>
    </w:p>
    <w:p>
      <w:pPr>
        <w:pStyle w:val="33"/>
        <w:rPr>
          <w:rFonts w:ascii="宋体" w:hAnsi="宋体" w:cs="宋体"/>
          <w:color w:val="auto"/>
          <w:highlight w:val="none"/>
        </w:rPr>
      </w:pPr>
    </w:p>
    <w:p>
      <w:pPr>
        <w:shd w:val="clear" w:color="auto" w:fill="FFFFFF"/>
        <w:rPr>
          <w:rFonts w:ascii="宋体" w:hAnsi="宋体" w:cs="宋体"/>
          <w:color w:val="auto"/>
          <w:sz w:val="28"/>
          <w:szCs w:val="28"/>
          <w:highlight w:val="none"/>
          <w:u w:val="single"/>
        </w:rPr>
      </w:pPr>
    </w:p>
    <w:p>
      <w:pPr>
        <w:shd w:val="clear" w:color="auto" w:fill="FFFFFF"/>
        <w:jc w:val="center"/>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（项目名称）招标</w:t>
      </w:r>
    </w:p>
    <w:p>
      <w:pPr>
        <w:shd w:val="clear" w:color="auto" w:fill="FFFFFF"/>
        <w:spacing w:before="312" w:beforeLines="100"/>
        <w:jc w:val="center"/>
        <w:rPr>
          <w:rFonts w:ascii="宋体" w:hAnsi="宋体" w:cs="宋体"/>
          <w:color w:val="auto"/>
          <w:sz w:val="44"/>
          <w:szCs w:val="44"/>
          <w:highlight w:val="none"/>
        </w:rPr>
      </w:pPr>
      <w:r>
        <w:rPr>
          <w:rFonts w:hint="eastAsia" w:ascii="宋体" w:hAnsi="宋体" w:cs="宋体"/>
          <w:color w:val="auto"/>
          <w:sz w:val="44"/>
          <w:szCs w:val="44"/>
          <w:highlight w:val="none"/>
        </w:rPr>
        <w:t>投  标  文  件</w:t>
      </w: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r>
        <w:rPr>
          <w:rFonts w:hint="eastAsia" w:ascii="宋体" w:hAnsi="宋体" w:cs="宋体"/>
          <w:color w:val="auto"/>
          <w:sz w:val="32"/>
          <w:szCs w:val="32"/>
          <w:highlight w:val="none"/>
        </w:rPr>
        <w:t>（资格审查资料）</w:t>
      </w: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jc w:val="center"/>
        <w:rPr>
          <w:rFonts w:ascii="宋体" w:hAnsi="宋体" w:cs="宋体"/>
          <w:color w:val="auto"/>
          <w:sz w:val="32"/>
          <w:szCs w:val="32"/>
          <w:highlight w:val="none"/>
        </w:rPr>
      </w:pPr>
    </w:p>
    <w:p>
      <w:pPr>
        <w:shd w:val="clear" w:color="auto" w:fill="FFFFFF"/>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（盖章）</w:t>
      </w:r>
    </w:p>
    <w:p>
      <w:pPr>
        <w:shd w:val="clear" w:color="auto" w:fill="FFFFFF"/>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（盖法定代表人印章）</w:t>
      </w:r>
    </w:p>
    <w:p>
      <w:pPr>
        <w:shd w:val="clear" w:color="auto" w:fill="FFFFFF"/>
        <w:rPr>
          <w:rFonts w:ascii="宋体" w:hAnsi="宋体" w:cs="宋体"/>
          <w:color w:val="auto"/>
          <w:sz w:val="28"/>
          <w:szCs w:val="28"/>
          <w:highlight w:val="none"/>
        </w:rPr>
      </w:pPr>
    </w:p>
    <w:p>
      <w:pPr>
        <w:shd w:val="clear" w:color="auto" w:fill="FFFFFF"/>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adjustRightInd w:val="0"/>
        <w:snapToGrid w:val="0"/>
        <w:spacing w:line="360" w:lineRule="auto"/>
        <w:rPr>
          <w:rFonts w:ascii="宋体" w:hAnsi="宋体" w:cs="宋体"/>
          <w:b/>
          <w:color w:val="auto"/>
          <w:sz w:val="28"/>
          <w:szCs w:val="28"/>
          <w:highlight w:val="none"/>
        </w:rPr>
      </w:pPr>
      <w:r>
        <w:rPr>
          <w:rFonts w:hint="eastAsia" w:ascii="宋体" w:hAnsi="宋体" w:cs="宋体"/>
          <w:color w:val="auto"/>
          <w:sz w:val="28"/>
          <w:szCs w:val="28"/>
          <w:highlight w:val="none"/>
        </w:rPr>
        <w:br w:type="page"/>
      </w:r>
      <w:r>
        <w:rPr>
          <w:rFonts w:hint="eastAsia" w:ascii="宋体" w:hAnsi="宋体" w:cs="宋体"/>
          <w:b/>
          <w:color w:val="auto"/>
          <w:sz w:val="28"/>
          <w:szCs w:val="28"/>
          <w:highlight w:val="none"/>
        </w:rPr>
        <w:t>资格后审投标人必须提交的资料：</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①、企业营业执照；</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②、供货业绩（业绩的认定以合同复印件为准，上述文件中应体现项目规模、合同范围等信息），如上述材料中未能体现业绩特征的，则还须提供项目所在地行业主管部门或业主单位出具的证明复印件（需加盖提供单位盖章）。</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③、承诺书（承诺对所有提交的证明材料真实有效性负责，若发现其有伪造证书、业绩等行为的，同意招标人不接受其投标，其缴纳的投标保证金不予退还），格式自拟，加盖投标人公章。</w:t>
      </w:r>
    </w:p>
    <w:p>
      <w:pPr>
        <w:adjustRightInd w:val="0"/>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上述资格审查资料，必须是原件（不含公证件及其他替代证明）的复印件加盖公章</w:t>
      </w:r>
    </w:p>
    <w:p>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4"/>
          <w:highlight w:val="none"/>
        </w:rPr>
        <w:t xml:space="preserve">    注：不能提供上述材料任何一项或不符合审查要求的投标人为资格审查不合格。</w:t>
      </w:r>
    </w:p>
    <w:p>
      <w:pPr>
        <w:adjustRightInd w:val="0"/>
        <w:snapToGrid w:val="0"/>
        <w:spacing w:line="360" w:lineRule="auto"/>
        <w:rPr>
          <w:rFonts w:ascii="宋体" w:hAnsi="宋体" w:cs="宋体"/>
          <w:color w:val="auto"/>
          <w:sz w:val="28"/>
          <w:szCs w:val="28"/>
          <w:highlight w:val="none"/>
        </w:rPr>
      </w:pPr>
    </w:p>
    <w:p>
      <w:pPr>
        <w:adjustRightInd w:val="0"/>
        <w:snapToGrid w:val="0"/>
        <w:spacing w:line="360" w:lineRule="auto"/>
        <w:rPr>
          <w:rFonts w:ascii="宋体" w:hAnsi="宋体" w:cs="宋体"/>
          <w:color w:val="auto"/>
          <w:sz w:val="28"/>
          <w:szCs w:val="28"/>
          <w:highlight w:val="none"/>
        </w:rPr>
      </w:pPr>
    </w:p>
    <w:p>
      <w:pPr>
        <w:adjustRightInd w:val="0"/>
        <w:snapToGrid w:val="0"/>
        <w:spacing w:line="360" w:lineRule="auto"/>
        <w:rPr>
          <w:rFonts w:ascii="宋体" w:hAnsi="宋体" w:cs="宋体"/>
          <w:color w:val="auto"/>
          <w:sz w:val="28"/>
          <w:szCs w:val="28"/>
          <w:highlight w:val="none"/>
        </w:rPr>
      </w:pPr>
    </w:p>
    <w:p>
      <w:pPr>
        <w:adjustRightInd w:val="0"/>
        <w:snapToGrid w:val="0"/>
        <w:spacing w:line="360" w:lineRule="auto"/>
        <w:rPr>
          <w:rFonts w:ascii="宋体" w:hAnsi="宋体" w:cs="宋体"/>
          <w:color w:val="auto"/>
          <w:sz w:val="28"/>
          <w:szCs w:val="28"/>
          <w:highlight w:val="none"/>
        </w:rPr>
      </w:pPr>
    </w:p>
    <w:p>
      <w:pPr>
        <w:adjustRightInd w:val="0"/>
        <w:snapToGrid w:val="0"/>
        <w:spacing w:line="360" w:lineRule="auto"/>
        <w:rPr>
          <w:rFonts w:ascii="宋体" w:hAnsi="宋体" w:cs="宋体"/>
          <w:color w:val="auto"/>
          <w:sz w:val="28"/>
          <w:szCs w:val="28"/>
          <w:highlight w:val="none"/>
        </w:rPr>
      </w:pPr>
    </w:p>
    <w:p>
      <w:pPr>
        <w:jc w:val="left"/>
        <w:rPr>
          <w:rFonts w:ascii="宋体" w:hAnsi="宋体" w:cs="宋体"/>
          <w:color w:val="auto"/>
          <w:szCs w:val="21"/>
          <w:highlight w:val="none"/>
        </w:rPr>
      </w:pPr>
    </w:p>
    <w:p>
      <w:pPr>
        <w:rPr>
          <w:rFonts w:ascii="宋体" w:hAnsi="宋体" w:cs="宋体"/>
          <w:color w:val="auto"/>
          <w:highlight w:val="none"/>
        </w:rPr>
      </w:pPr>
    </w:p>
    <w:sectPr>
      <w:pgSz w:w="11906" w:h="16838"/>
      <w:pgMar w:top="1440" w:right="1800" w:bottom="1440" w:left="1800" w:header="851" w:footer="992" w:gutter="0"/>
      <w:cols w:space="720" w:num="1"/>
      <w:rtlGutter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PingFangSC-Regular">
    <w:altName w:val="微软雅黑"/>
    <w:panose1 w:val="00000000000000000000"/>
    <w:charset w:val="00"/>
    <w:family w:val="auto"/>
    <w:pitch w:val="default"/>
    <w:sig w:usb0="00000000" w:usb1="00000000" w:usb2="00000000" w:usb3="00000000" w:csb0="00040001" w:csb1="00000000"/>
  </w:font>
  <w:font w:name=".applesimplifiedchinesefont">
    <w:altName w:val="微软雅黑"/>
    <w:panose1 w:val="00000000000000000000"/>
    <w:charset w:val="00"/>
    <w:family w:val="auto"/>
    <w:pitch w:val="default"/>
    <w:sig w:usb0="00000000" w:usb1="00000000" w:usb2="00000000"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lang w:val="zh-CN"/>
      </w:rPr>
      <w:t>7</w:t>
    </w:r>
    <w:r>
      <w:rPr>
        <w:rFonts w:ascii="Times New Roman" w:hAnsi="Times New Roman"/>
        <w:sz w:val="18"/>
        <w:szCs w:val="18"/>
        <w:lang w:val="zh-CN"/>
      </w:rPr>
      <w:fldChar w:fldCharType="end"/>
    </w:r>
  </w:p>
  <w:p>
    <w:pPr>
      <w:tabs>
        <w:tab w:val="center" w:pos="4153"/>
        <w:tab w:val="right" w:pos="8306"/>
      </w:tabs>
      <w:snapToGrid w:val="0"/>
      <w:jc w:val="center"/>
      <w:rPr>
        <w:rFonts w:ascii="Times New Roman" w:hAnsi="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PAGE  </w:instrText>
    </w:r>
    <w:r>
      <w:rPr>
        <w:rFonts w:ascii="Times New Roman" w:hAnsi="Times New Roman"/>
        <w:sz w:val="18"/>
        <w:szCs w:val="18"/>
      </w:rPr>
      <w:fldChar w:fldCharType="separate"/>
    </w:r>
    <w:r>
      <w:rPr>
        <w:rFonts w:ascii="Times New Roman" w:hAnsi="Times New Roman"/>
        <w:sz w:val="18"/>
        <w:szCs w:val="18"/>
      </w:rPr>
      <w:t>1</w:t>
    </w:r>
    <w:r>
      <w:rPr>
        <w:rFonts w:ascii="Times New Roman" w:hAnsi="Times New Roman"/>
        <w:sz w:val="18"/>
        <w:szCs w:val="18"/>
      </w:rPr>
      <w:fldChar w:fldCharType="end"/>
    </w:r>
  </w:p>
  <w:p>
    <w:pPr>
      <w:tabs>
        <w:tab w:val="center" w:pos="4153"/>
        <w:tab w:val="right" w:pos="8306"/>
      </w:tabs>
      <w:snapToGrid w:val="0"/>
      <w:jc w:val="center"/>
      <w:rPr>
        <w:rFonts w:ascii="Times New Roman" w:hAnsi="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lang w:val="zh-CN"/>
      </w:rPr>
      <w:t>1</w:t>
    </w:r>
    <w:r>
      <w:rPr>
        <w:rFonts w:ascii="Times New Roman" w:hAnsi="Times New Roman"/>
        <w:sz w:val="18"/>
        <w:szCs w:val="18"/>
        <w:lang w:val="zh-CN"/>
      </w:rPr>
      <w:fldChar w:fldCharType="end"/>
    </w:r>
  </w:p>
  <w:p>
    <w:pPr>
      <w:tabs>
        <w:tab w:val="center" w:pos="4153"/>
        <w:tab w:val="right" w:pos="8306"/>
      </w:tabs>
      <w:snapToGrid w:val="0"/>
      <w:jc w:val="center"/>
      <w:rPr>
        <w:rFonts w:ascii="Times New Roman" w:hAnsi="Times New Roman"/>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tabs>
        <w:tab w:val="center" w:pos="4153"/>
        <w:tab w:val="right" w:pos="8306"/>
      </w:tabs>
      <w:snapToGrid w:val="0"/>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PAGE  </w:instrText>
    </w:r>
    <w:r>
      <w:rPr>
        <w:rFonts w:ascii="Times New Roman" w:hAnsi="Times New Roman"/>
        <w:sz w:val="18"/>
        <w:szCs w:val="18"/>
      </w:rPr>
      <w:fldChar w:fldCharType="separate"/>
    </w:r>
    <w:r>
      <w:rPr>
        <w:rFonts w:ascii="Times New Roman" w:hAnsi="Times New Roman"/>
        <w:sz w:val="18"/>
        <w:szCs w:val="18"/>
      </w:rPr>
      <w:t>77</w:t>
    </w:r>
    <w:r>
      <w:rPr>
        <w:rFonts w:ascii="Times New Roman" w:hAnsi="Times New Roman"/>
        <w:sz w:val="18"/>
        <w:szCs w:val="18"/>
      </w:rPr>
      <w:fldChar w:fldCharType="end"/>
    </w:r>
  </w:p>
  <w:p>
    <w:pPr>
      <w:tabs>
        <w:tab w:val="center" w:pos="4153"/>
        <w:tab w:val="right" w:pos="8306"/>
      </w:tabs>
      <w:snapToGrid w:val="0"/>
      <w:jc w:val="center"/>
      <w:rPr>
        <w:rFonts w:ascii="Times New Roman" w:hAnsi="Times New Roman"/>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tabs>
        <w:tab w:val="center" w:pos="4153"/>
        <w:tab w:val="right" w:pos="8306"/>
      </w:tabs>
      <w:snapToGrid w:val="0"/>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PAGE  </w:instrText>
    </w:r>
    <w:r>
      <w:rPr>
        <w:rFonts w:ascii="Times New Roman" w:hAnsi="Times New Roman"/>
        <w:sz w:val="18"/>
        <w:szCs w:val="18"/>
      </w:rPr>
      <w:fldChar w:fldCharType="end"/>
    </w:r>
  </w:p>
  <w:p>
    <w:pPr>
      <w:tabs>
        <w:tab w:val="center" w:pos="4153"/>
        <w:tab w:val="right" w:pos="8306"/>
      </w:tabs>
      <w:snapToGrid w:val="0"/>
      <w:jc w:val="center"/>
      <w:rPr>
        <w:rFonts w:ascii="Times New Roman" w:hAnsi="Times New Roman"/>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rFonts w:ascii="Times New Roman" w:hAnsi="Times New Roman"/>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center" w:pos="4153"/>
        <w:tab w:val="right" w:pos="8306"/>
      </w:tabs>
      <w:snapToGrid w:val="0"/>
      <w:jc w:val="center"/>
      <w:rPr>
        <w:rFonts w:ascii="Times New Roman" w:hAnsi="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2920FF"/>
    <w:multiLevelType w:val="singleLevel"/>
    <w:tmpl w:val="942920FF"/>
    <w:lvl w:ilvl="0" w:tentative="0">
      <w:start w:val="1"/>
      <w:numFmt w:val="chineseCounting"/>
      <w:suff w:val="space"/>
      <w:lvlText w:val="第%1章"/>
      <w:lvlJc w:val="left"/>
      <w:rPr>
        <w:rFonts w:hint="eastAsia"/>
      </w:rPr>
    </w:lvl>
  </w:abstractNum>
  <w:abstractNum w:abstractNumId="1">
    <w:nsid w:val="C5D2C5B3"/>
    <w:multiLevelType w:val="singleLevel"/>
    <w:tmpl w:val="C5D2C5B3"/>
    <w:lvl w:ilvl="0" w:tentative="0">
      <w:start w:val="2"/>
      <w:numFmt w:val="decimal"/>
      <w:suff w:val="nothing"/>
      <w:lvlText w:val="%1、"/>
      <w:lvlJc w:val="left"/>
      <w:pPr>
        <w:ind w:left="-105"/>
      </w:pPr>
    </w:lvl>
  </w:abstractNum>
  <w:abstractNum w:abstractNumId="2">
    <w:nsid w:val="C841D14B"/>
    <w:multiLevelType w:val="singleLevel"/>
    <w:tmpl w:val="C841D14B"/>
    <w:lvl w:ilvl="0" w:tentative="0">
      <w:start w:val="7"/>
      <w:numFmt w:val="chineseCounting"/>
      <w:suff w:val="nothing"/>
      <w:lvlText w:val="%1）"/>
      <w:lvlJc w:val="left"/>
      <w:rPr>
        <w:rFonts w:hint="eastAsia"/>
      </w:rPr>
    </w:lvl>
  </w:abstractNum>
  <w:abstractNum w:abstractNumId="3">
    <w:nsid w:val="DD206543"/>
    <w:multiLevelType w:val="singleLevel"/>
    <w:tmpl w:val="DD206543"/>
    <w:lvl w:ilvl="0" w:tentative="0">
      <w:start w:val="2"/>
      <w:numFmt w:val="decimal"/>
      <w:suff w:val="nothing"/>
      <w:lvlText w:val="%1、"/>
      <w:lvlJc w:val="left"/>
    </w:lvl>
  </w:abstractNum>
  <w:abstractNum w:abstractNumId="4">
    <w:nsid w:val="EC7A1A65"/>
    <w:multiLevelType w:val="singleLevel"/>
    <w:tmpl w:val="EC7A1A65"/>
    <w:lvl w:ilvl="0" w:tentative="0">
      <w:start w:val="1"/>
      <w:numFmt w:val="decimal"/>
      <w:suff w:val="nothing"/>
      <w:lvlText w:val="%1）"/>
      <w:lvlJc w:val="left"/>
    </w:lvl>
  </w:abstractNum>
  <w:abstractNum w:abstractNumId="5">
    <w:nsid w:val="15A507DB"/>
    <w:multiLevelType w:val="multilevel"/>
    <w:tmpl w:val="15A507DB"/>
    <w:lvl w:ilvl="0" w:tentative="0">
      <w:start w:val="1"/>
      <w:numFmt w:val="decimal"/>
      <w:suff w:val="nothing"/>
      <w:lvlText w:val="%1."/>
      <w:lvlJc w:val="center"/>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BBC8447"/>
    <w:multiLevelType w:val="singleLevel"/>
    <w:tmpl w:val="1BBC8447"/>
    <w:lvl w:ilvl="0" w:tentative="0">
      <w:start w:val="1"/>
      <w:numFmt w:val="chineseCounting"/>
      <w:suff w:val="nothing"/>
      <w:lvlText w:val="%1、"/>
      <w:lvlJc w:val="left"/>
      <w:rPr>
        <w:rFonts w:hint="eastAsia"/>
      </w:rPr>
    </w:lvl>
  </w:abstractNum>
  <w:abstractNum w:abstractNumId="7">
    <w:nsid w:val="25305FCB"/>
    <w:multiLevelType w:val="multilevel"/>
    <w:tmpl w:val="25305FCB"/>
    <w:lvl w:ilvl="0" w:tentative="0">
      <w:start w:val="1"/>
      <w:numFmt w:val="decimal"/>
      <w:lvlText w:val="%1"/>
      <w:lvlJc w:val="left"/>
      <w:pPr>
        <w:ind w:left="562" w:hanging="420"/>
      </w:pPr>
      <w:rPr>
        <w:rFonts w:hint="eastAsia"/>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8">
    <w:nsid w:val="266B2304"/>
    <w:multiLevelType w:val="multilevel"/>
    <w:tmpl w:val="266B2304"/>
    <w:lvl w:ilvl="0" w:tentative="0">
      <w:start w:val="7"/>
      <w:numFmt w:val="decimal"/>
      <w:lvlText w:val="（%1）"/>
      <w:lvlJc w:val="left"/>
      <w:pPr>
        <w:ind w:left="960" w:hanging="720"/>
      </w:pPr>
      <w:rPr>
        <w:rFonts w:hint="default"/>
      </w:rPr>
    </w:lvl>
    <w:lvl w:ilvl="1" w:tentative="0">
      <w:start w:val="1"/>
      <w:numFmt w:val="lowerLetter"/>
      <w:lvlText w:val="%2)"/>
      <w:lvlJc w:val="left"/>
      <w:pPr>
        <w:ind w:left="1080" w:hanging="420"/>
      </w:pPr>
    </w:lvl>
    <w:lvl w:ilvl="2" w:tentative="0">
      <w:start w:val="1"/>
      <w:numFmt w:val="lowerRoman"/>
      <w:lvlText w:val="%3."/>
      <w:lvlJc w:val="right"/>
      <w:pPr>
        <w:ind w:left="1500" w:hanging="420"/>
      </w:pPr>
    </w:lvl>
    <w:lvl w:ilvl="3" w:tentative="0">
      <w:start w:val="1"/>
      <w:numFmt w:val="decimal"/>
      <w:lvlText w:val="%4."/>
      <w:lvlJc w:val="left"/>
      <w:pPr>
        <w:ind w:left="1920" w:hanging="420"/>
      </w:pPr>
    </w:lvl>
    <w:lvl w:ilvl="4" w:tentative="0">
      <w:start w:val="1"/>
      <w:numFmt w:val="lowerLetter"/>
      <w:lvlText w:val="%5)"/>
      <w:lvlJc w:val="left"/>
      <w:pPr>
        <w:ind w:left="2340" w:hanging="420"/>
      </w:pPr>
    </w:lvl>
    <w:lvl w:ilvl="5" w:tentative="0">
      <w:start w:val="1"/>
      <w:numFmt w:val="lowerRoman"/>
      <w:lvlText w:val="%6."/>
      <w:lvlJc w:val="right"/>
      <w:pPr>
        <w:ind w:left="2760" w:hanging="420"/>
      </w:pPr>
    </w:lvl>
    <w:lvl w:ilvl="6" w:tentative="0">
      <w:start w:val="1"/>
      <w:numFmt w:val="decimal"/>
      <w:lvlText w:val="%7."/>
      <w:lvlJc w:val="left"/>
      <w:pPr>
        <w:ind w:left="3180" w:hanging="420"/>
      </w:pPr>
    </w:lvl>
    <w:lvl w:ilvl="7" w:tentative="0">
      <w:start w:val="1"/>
      <w:numFmt w:val="lowerLetter"/>
      <w:lvlText w:val="%8)"/>
      <w:lvlJc w:val="left"/>
      <w:pPr>
        <w:ind w:left="3600" w:hanging="420"/>
      </w:pPr>
    </w:lvl>
    <w:lvl w:ilvl="8" w:tentative="0">
      <w:start w:val="1"/>
      <w:numFmt w:val="lowerRoman"/>
      <w:lvlText w:val="%9."/>
      <w:lvlJc w:val="right"/>
      <w:pPr>
        <w:ind w:left="4020" w:hanging="420"/>
      </w:pPr>
    </w:lvl>
  </w:abstractNum>
  <w:abstractNum w:abstractNumId="9">
    <w:nsid w:val="2C4C212C"/>
    <w:multiLevelType w:val="multilevel"/>
    <w:tmpl w:val="2C4C212C"/>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0">
    <w:nsid w:val="41603907"/>
    <w:multiLevelType w:val="multilevel"/>
    <w:tmpl w:val="41603907"/>
    <w:lvl w:ilvl="0" w:tentative="0">
      <w:start w:val="1"/>
      <w:numFmt w:val="decimal"/>
      <w:pStyle w:val="77"/>
      <w:suff w:val="nothing"/>
      <w:lvlText w:val="表%1"/>
      <w:lvlJc w:val="center"/>
      <w:pPr>
        <w:ind w:left="420" w:hanging="420"/>
      </w:pPr>
      <w:rPr>
        <w:rFonts w:hint="default" w:ascii="Times New Roman" w:hAnsi="Times New Roman" w:eastAsia="宋体"/>
        <w:b/>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C343CD9"/>
    <w:multiLevelType w:val="multilevel"/>
    <w:tmpl w:val="4C343CD9"/>
    <w:lvl w:ilvl="0" w:tentative="0">
      <w:start w:val="1"/>
      <w:numFmt w:val="decimal"/>
      <w:lvlText w:val="%1）"/>
      <w:lvlJc w:val="left"/>
      <w:pPr>
        <w:ind w:left="920" w:hanging="36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5975A2C6"/>
    <w:multiLevelType w:val="singleLevel"/>
    <w:tmpl w:val="5975A2C6"/>
    <w:lvl w:ilvl="0" w:tentative="0">
      <w:start w:val="1"/>
      <w:numFmt w:val="decimal"/>
      <w:pStyle w:val="10"/>
      <w:lvlText w:val="%1."/>
      <w:lvlJc w:val="left"/>
      <w:pPr>
        <w:tabs>
          <w:tab w:val="left" w:pos="780"/>
        </w:tabs>
        <w:ind w:left="780" w:hanging="360"/>
      </w:pPr>
    </w:lvl>
  </w:abstractNum>
  <w:abstractNum w:abstractNumId="13">
    <w:nsid w:val="72311A72"/>
    <w:multiLevelType w:val="multilevel"/>
    <w:tmpl w:val="72311A72"/>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bullet"/>
      <w:lvlText w:val=""/>
      <w:lvlJc w:val="left"/>
      <w:pPr>
        <w:tabs>
          <w:tab w:val="left" w:pos="1260"/>
        </w:tabs>
        <w:ind w:left="1714" w:hanging="454"/>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79E06325"/>
    <w:multiLevelType w:val="multilevel"/>
    <w:tmpl w:val="79E06325"/>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A3B78D6"/>
    <w:multiLevelType w:val="multilevel"/>
    <w:tmpl w:val="7A3B78D6"/>
    <w:lvl w:ilvl="0" w:tentative="0">
      <w:start w:val="1"/>
      <w:numFmt w:val="decimal"/>
      <w:lvlText w:val="(%1)"/>
      <w:lvlJc w:val="left"/>
      <w:pPr>
        <w:tabs>
          <w:tab w:val="left" w:pos="1680"/>
        </w:tabs>
        <w:ind w:left="1680" w:hanging="420"/>
      </w:pPr>
      <w:rPr>
        <w:rFonts w:hint="eastAsia"/>
      </w:rPr>
    </w:lvl>
    <w:lvl w:ilvl="1" w:tentative="0">
      <w:start w:val="1"/>
      <w:numFmt w:val="lowerLetter"/>
      <w:lvlText w:val="%2)"/>
      <w:lvlJc w:val="left"/>
      <w:pPr>
        <w:tabs>
          <w:tab w:val="left" w:pos="824"/>
        </w:tabs>
        <w:ind w:left="824" w:hanging="420"/>
      </w:pPr>
    </w:lvl>
    <w:lvl w:ilvl="2" w:tentative="0">
      <w:start w:val="1"/>
      <w:numFmt w:val="lowerRoman"/>
      <w:lvlText w:val="%3."/>
      <w:lvlJc w:val="right"/>
      <w:pPr>
        <w:tabs>
          <w:tab w:val="left" w:pos="1244"/>
        </w:tabs>
        <w:ind w:left="1244" w:hanging="420"/>
      </w:pPr>
    </w:lvl>
    <w:lvl w:ilvl="3" w:tentative="0">
      <w:start w:val="1"/>
      <w:numFmt w:val="decimal"/>
      <w:lvlText w:val="%4."/>
      <w:lvlJc w:val="left"/>
      <w:pPr>
        <w:tabs>
          <w:tab w:val="left" w:pos="1664"/>
        </w:tabs>
        <w:ind w:left="1664" w:hanging="420"/>
      </w:pPr>
    </w:lvl>
    <w:lvl w:ilvl="4" w:tentative="0">
      <w:start w:val="1"/>
      <w:numFmt w:val="lowerLetter"/>
      <w:lvlText w:val="%5)"/>
      <w:lvlJc w:val="left"/>
      <w:pPr>
        <w:tabs>
          <w:tab w:val="left" w:pos="2084"/>
        </w:tabs>
        <w:ind w:left="2084" w:hanging="420"/>
      </w:pPr>
    </w:lvl>
    <w:lvl w:ilvl="5" w:tentative="0">
      <w:start w:val="1"/>
      <w:numFmt w:val="lowerRoman"/>
      <w:lvlText w:val="%6."/>
      <w:lvlJc w:val="right"/>
      <w:pPr>
        <w:tabs>
          <w:tab w:val="left" w:pos="2504"/>
        </w:tabs>
        <w:ind w:left="2504" w:hanging="420"/>
      </w:pPr>
    </w:lvl>
    <w:lvl w:ilvl="6" w:tentative="0">
      <w:start w:val="1"/>
      <w:numFmt w:val="decimal"/>
      <w:lvlText w:val="%7."/>
      <w:lvlJc w:val="left"/>
      <w:pPr>
        <w:tabs>
          <w:tab w:val="left" w:pos="2924"/>
        </w:tabs>
        <w:ind w:left="2924" w:hanging="420"/>
      </w:pPr>
    </w:lvl>
    <w:lvl w:ilvl="7" w:tentative="0">
      <w:start w:val="1"/>
      <w:numFmt w:val="lowerLetter"/>
      <w:lvlText w:val="%8)"/>
      <w:lvlJc w:val="left"/>
      <w:pPr>
        <w:tabs>
          <w:tab w:val="left" w:pos="3344"/>
        </w:tabs>
        <w:ind w:left="3344" w:hanging="420"/>
      </w:pPr>
    </w:lvl>
    <w:lvl w:ilvl="8" w:tentative="0">
      <w:start w:val="1"/>
      <w:numFmt w:val="lowerRoman"/>
      <w:lvlText w:val="%9."/>
      <w:lvlJc w:val="right"/>
      <w:pPr>
        <w:tabs>
          <w:tab w:val="left" w:pos="3764"/>
        </w:tabs>
        <w:ind w:left="3764" w:hanging="420"/>
      </w:pPr>
    </w:lvl>
  </w:abstractNum>
  <w:num w:numId="1">
    <w:abstractNumId w:val="12"/>
  </w:num>
  <w:num w:numId="2">
    <w:abstractNumId w:val="10"/>
  </w:num>
  <w:num w:numId="3">
    <w:abstractNumId w:val="0"/>
  </w:num>
  <w:num w:numId="4">
    <w:abstractNumId w:val="6"/>
  </w:num>
  <w:num w:numId="5">
    <w:abstractNumId w:val="14"/>
  </w:num>
  <w:num w:numId="6">
    <w:abstractNumId w:val="3"/>
  </w:num>
  <w:num w:numId="7">
    <w:abstractNumId w:val="15"/>
  </w:num>
  <w:num w:numId="8">
    <w:abstractNumId w:val="2"/>
  </w:num>
  <w:num w:numId="9">
    <w:abstractNumId w:val="9"/>
  </w:num>
  <w:num w:numId="10">
    <w:abstractNumId w:val="5"/>
  </w:num>
  <w:num w:numId="11">
    <w:abstractNumId w:val="7"/>
  </w:num>
  <w:num w:numId="12">
    <w:abstractNumId w:val="4"/>
  </w:num>
  <w:num w:numId="13">
    <w:abstractNumId w:val="13"/>
  </w:num>
  <w:num w:numId="14">
    <w:abstractNumId w:val="8"/>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NjA5ZjFmMTIzMDExYmU3OTJkYTIwZTcyZmIzM2EifQ=="/>
  </w:docVars>
  <w:rsids>
    <w:rsidRoot w:val="00172A27"/>
    <w:rsid w:val="00172A27"/>
    <w:rsid w:val="003D2608"/>
    <w:rsid w:val="00710106"/>
    <w:rsid w:val="007D1398"/>
    <w:rsid w:val="00BA28B2"/>
    <w:rsid w:val="00D2209F"/>
    <w:rsid w:val="00D51930"/>
    <w:rsid w:val="00E5509D"/>
    <w:rsid w:val="01B8157E"/>
    <w:rsid w:val="02A83DBB"/>
    <w:rsid w:val="02E879BB"/>
    <w:rsid w:val="03806CE8"/>
    <w:rsid w:val="038C4584"/>
    <w:rsid w:val="0462779D"/>
    <w:rsid w:val="0642152B"/>
    <w:rsid w:val="07CA4BBF"/>
    <w:rsid w:val="08073E38"/>
    <w:rsid w:val="08745615"/>
    <w:rsid w:val="0A4E5C98"/>
    <w:rsid w:val="0BE35F5D"/>
    <w:rsid w:val="0D525FD9"/>
    <w:rsid w:val="0E5A24AE"/>
    <w:rsid w:val="108123A3"/>
    <w:rsid w:val="12085E1B"/>
    <w:rsid w:val="137B7149"/>
    <w:rsid w:val="156E123B"/>
    <w:rsid w:val="160256E3"/>
    <w:rsid w:val="1666220F"/>
    <w:rsid w:val="17453419"/>
    <w:rsid w:val="198834BB"/>
    <w:rsid w:val="1B921E5D"/>
    <w:rsid w:val="1BAA5CD1"/>
    <w:rsid w:val="1C6A041B"/>
    <w:rsid w:val="1D127A6C"/>
    <w:rsid w:val="1DC835AB"/>
    <w:rsid w:val="20BF2C89"/>
    <w:rsid w:val="218F74C4"/>
    <w:rsid w:val="238C6F34"/>
    <w:rsid w:val="24297A16"/>
    <w:rsid w:val="24A62170"/>
    <w:rsid w:val="264D0108"/>
    <w:rsid w:val="28026ECF"/>
    <w:rsid w:val="2A08701A"/>
    <w:rsid w:val="2A6F7DF0"/>
    <w:rsid w:val="2BA2470E"/>
    <w:rsid w:val="2BCA1CD8"/>
    <w:rsid w:val="2D0E3FF7"/>
    <w:rsid w:val="2D4C4D85"/>
    <w:rsid w:val="2F350737"/>
    <w:rsid w:val="30534EF1"/>
    <w:rsid w:val="333110B9"/>
    <w:rsid w:val="35094DEB"/>
    <w:rsid w:val="35AA7DAD"/>
    <w:rsid w:val="36D27C35"/>
    <w:rsid w:val="37062F3D"/>
    <w:rsid w:val="386B7666"/>
    <w:rsid w:val="3E5C4089"/>
    <w:rsid w:val="3EED2C43"/>
    <w:rsid w:val="3F241CE5"/>
    <w:rsid w:val="3F6B2D92"/>
    <w:rsid w:val="41EC0D67"/>
    <w:rsid w:val="466A57CD"/>
    <w:rsid w:val="478C3BAB"/>
    <w:rsid w:val="48000043"/>
    <w:rsid w:val="487F0823"/>
    <w:rsid w:val="48D93B32"/>
    <w:rsid w:val="495C5FA7"/>
    <w:rsid w:val="4A4639E6"/>
    <w:rsid w:val="4B585B19"/>
    <w:rsid w:val="4B89404A"/>
    <w:rsid w:val="4EAE738F"/>
    <w:rsid w:val="4F7C10B3"/>
    <w:rsid w:val="4FE500A0"/>
    <w:rsid w:val="50141940"/>
    <w:rsid w:val="50223D67"/>
    <w:rsid w:val="50C21928"/>
    <w:rsid w:val="5156247B"/>
    <w:rsid w:val="51E90FF6"/>
    <w:rsid w:val="553F5B7C"/>
    <w:rsid w:val="55ED08C7"/>
    <w:rsid w:val="5609600D"/>
    <w:rsid w:val="59080063"/>
    <w:rsid w:val="59417180"/>
    <w:rsid w:val="59AB0012"/>
    <w:rsid w:val="5A1B5714"/>
    <w:rsid w:val="5AA40705"/>
    <w:rsid w:val="5AAF7E03"/>
    <w:rsid w:val="5ADD0A12"/>
    <w:rsid w:val="5D9E7B33"/>
    <w:rsid w:val="5F154453"/>
    <w:rsid w:val="60067B07"/>
    <w:rsid w:val="61996655"/>
    <w:rsid w:val="654D4A3E"/>
    <w:rsid w:val="65F771D0"/>
    <w:rsid w:val="677B49FD"/>
    <w:rsid w:val="68D051B5"/>
    <w:rsid w:val="69283F24"/>
    <w:rsid w:val="6BAC21A1"/>
    <w:rsid w:val="6C4F71DB"/>
    <w:rsid w:val="6C5623DD"/>
    <w:rsid w:val="6D36679C"/>
    <w:rsid w:val="6E6E36E8"/>
    <w:rsid w:val="7162099D"/>
    <w:rsid w:val="75EE090B"/>
    <w:rsid w:val="77C91F0D"/>
    <w:rsid w:val="77CC2222"/>
    <w:rsid w:val="78252301"/>
    <w:rsid w:val="78A84976"/>
    <w:rsid w:val="799A6FEE"/>
    <w:rsid w:val="79DA3DFC"/>
    <w:rsid w:val="7B667B3B"/>
    <w:rsid w:val="7FB016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qFormat="1"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spacing w:line="216" w:lineRule="auto"/>
      <w:jc w:val="center"/>
      <w:outlineLvl w:val="0"/>
    </w:pPr>
    <w:rPr>
      <w:rFonts w:ascii="宋体" w:hAnsi="宋体"/>
      <w:b/>
      <w:sz w:val="30"/>
      <w:szCs w:val="20"/>
    </w:rPr>
  </w:style>
  <w:style w:type="paragraph" w:styleId="4">
    <w:name w:val="heading 2"/>
    <w:basedOn w:val="1"/>
    <w:next w:val="1"/>
    <w:link w:val="44"/>
    <w:qFormat/>
    <w:uiPriority w:val="0"/>
    <w:pPr>
      <w:keepNext/>
      <w:keepLines/>
      <w:spacing w:line="400" w:lineRule="exact"/>
      <w:outlineLvl w:val="1"/>
    </w:pPr>
    <w:rPr>
      <w:rFonts w:ascii="Times New Roman" w:hAnsi="Times New Roman"/>
      <w:bCs/>
      <w:kern w:val="44"/>
      <w:sz w:val="28"/>
      <w:szCs w:val="28"/>
    </w:rPr>
  </w:style>
  <w:style w:type="paragraph" w:styleId="5">
    <w:name w:val="heading 3"/>
    <w:basedOn w:val="1"/>
    <w:next w:val="1"/>
    <w:qFormat/>
    <w:uiPriority w:val="0"/>
    <w:pPr>
      <w:keepNext/>
      <w:keepLines/>
      <w:spacing w:before="260" w:after="260" w:line="415"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qFormat/>
    <w:uiPriority w:val="0"/>
    <w:pPr>
      <w:keepNext/>
      <w:widowControl/>
      <w:tabs>
        <w:tab w:val="left" w:pos="405"/>
      </w:tabs>
      <w:ind w:left="420" w:hanging="420"/>
      <w:jc w:val="left"/>
      <w:outlineLvl w:val="4"/>
    </w:pPr>
    <w:rPr>
      <w:rFonts w:ascii="Times New Roman" w:hAnsi="Times New Roman"/>
      <w:kern w:val="0"/>
      <w:sz w:val="24"/>
      <w:szCs w:val="20"/>
    </w:rPr>
  </w:style>
  <w:style w:type="paragraph" w:styleId="9">
    <w:name w:val="heading 6"/>
    <w:basedOn w:val="1"/>
    <w:next w:val="1"/>
    <w:qFormat/>
    <w:uiPriority w:val="0"/>
    <w:pPr>
      <w:widowControl/>
      <w:spacing w:before="60" w:after="60" w:line="440" w:lineRule="atLeast"/>
      <w:textAlignment w:val="baseline"/>
      <w:outlineLvl w:val="5"/>
    </w:pPr>
    <w:rPr>
      <w:rFonts w:ascii="宋体" w:hAnsi="Arial"/>
      <w:kern w:val="0"/>
      <w:sz w:val="24"/>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84"/>
    <w:qFormat/>
    <w:uiPriority w:val="0"/>
    <w:pPr>
      <w:spacing w:after="120"/>
    </w:pPr>
  </w:style>
  <w:style w:type="paragraph" w:styleId="8">
    <w:name w:val="Normal Indent"/>
    <w:basedOn w:val="1"/>
    <w:qFormat/>
    <w:uiPriority w:val="0"/>
    <w:pPr>
      <w:ind w:firstLine="200" w:firstLineChars="200"/>
    </w:pPr>
    <w:rPr>
      <w:rFonts w:ascii="Times New Roman" w:hAnsi="Times New Roman"/>
    </w:rPr>
  </w:style>
  <w:style w:type="paragraph" w:styleId="10">
    <w:name w:val="List Number 2"/>
    <w:basedOn w:val="1"/>
    <w:qFormat/>
    <w:uiPriority w:val="0"/>
    <w:pPr>
      <w:numPr>
        <w:ilvl w:val="0"/>
        <w:numId w:val="1"/>
      </w:numPr>
    </w:pPr>
  </w:style>
  <w:style w:type="paragraph" w:styleId="11">
    <w:name w:val="annotation text"/>
    <w:basedOn w:val="1"/>
    <w:link w:val="52"/>
    <w:qFormat/>
    <w:uiPriority w:val="0"/>
    <w:pPr>
      <w:jc w:val="left"/>
    </w:pPr>
  </w:style>
  <w:style w:type="paragraph" w:styleId="12">
    <w:name w:val="Body Text Indent"/>
    <w:basedOn w:val="1"/>
    <w:qFormat/>
    <w:uiPriority w:val="0"/>
    <w:pPr>
      <w:spacing w:after="120"/>
      <w:ind w:left="420" w:leftChars="200"/>
    </w:pPr>
  </w:style>
  <w:style w:type="paragraph" w:styleId="13">
    <w:name w:val="List 2"/>
    <w:basedOn w:val="1"/>
    <w:qFormat/>
    <w:uiPriority w:val="0"/>
    <w:pPr>
      <w:ind w:left="100" w:leftChars="200" w:hanging="200" w:hangingChars="200"/>
      <w:contextualSpacing/>
    </w:pPr>
    <w:rPr>
      <w:rFonts w:ascii="Times New Roman" w:hAnsi="Times New Roman"/>
    </w:rPr>
  </w:style>
  <w:style w:type="paragraph" w:styleId="14">
    <w:name w:val="Plain Text"/>
    <w:basedOn w:val="1"/>
    <w:qFormat/>
    <w:uiPriority w:val="0"/>
    <w:pPr>
      <w:widowControl/>
      <w:spacing w:before="100" w:beforeAutospacing="1" w:after="100" w:afterAutospacing="1"/>
      <w:jc w:val="left"/>
    </w:pPr>
    <w:rPr>
      <w:rFonts w:ascii="Arial Unicode MS" w:hAnsi="Arial Unicode MS"/>
      <w:kern w:val="0"/>
    </w:rPr>
  </w:style>
  <w:style w:type="paragraph" w:styleId="15">
    <w:name w:val="Body Text Indent 2"/>
    <w:basedOn w:val="1"/>
    <w:qFormat/>
    <w:uiPriority w:val="0"/>
    <w:pPr>
      <w:tabs>
        <w:tab w:val="left" w:pos="0"/>
        <w:tab w:val="left" w:pos="720"/>
      </w:tabs>
      <w:spacing w:line="466" w:lineRule="exact"/>
      <w:ind w:right="-691" w:rightChars="-329" w:hanging="1"/>
    </w:pPr>
  </w:style>
  <w:style w:type="paragraph" w:styleId="16">
    <w:name w:val="Balloon Text"/>
    <w:basedOn w:val="1"/>
    <w:link w:val="43"/>
    <w:qFormat/>
    <w:uiPriority w:val="0"/>
    <w:rPr>
      <w:sz w:val="18"/>
      <w:szCs w:val="18"/>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Subtitle"/>
    <w:basedOn w:val="1"/>
    <w:next w:val="1"/>
    <w:qFormat/>
    <w:uiPriority w:val="11"/>
    <w:pPr>
      <w:spacing w:before="240" w:after="60" w:line="312" w:lineRule="auto"/>
      <w:jc w:val="center"/>
      <w:outlineLvl w:val="1"/>
    </w:pPr>
    <w:rPr>
      <w:rFonts w:ascii="Cambria" w:hAnsi="Cambria"/>
      <w:b/>
      <w:bCs/>
      <w:kern w:val="28"/>
      <w:sz w:val="32"/>
      <w:szCs w:val="32"/>
    </w:rPr>
  </w:style>
  <w:style w:type="paragraph" w:styleId="20">
    <w:name w:val="List"/>
    <w:basedOn w:val="1"/>
    <w:qFormat/>
    <w:uiPriority w:val="0"/>
    <w:pPr>
      <w:ind w:left="200" w:hanging="200" w:hangingChars="200"/>
      <w:contextualSpacing/>
    </w:pPr>
    <w:rPr>
      <w:rFonts w:ascii="Times New Roman" w:hAnsi="Times New Roman"/>
    </w:rPr>
  </w:style>
  <w:style w:type="paragraph" w:styleId="21">
    <w:name w:val="toc 6"/>
    <w:basedOn w:val="1"/>
    <w:next w:val="1"/>
    <w:unhideWhenUsed/>
    <w:qFormat/>
    <w:uiPriority w:val="39"/>
    <w:pPr>
      <w:ind w:left="2100" w:leftChars="1000"/>
    </w:pPr>
    <w:rPr>
      <w:rFonts w:ascii="等线" w:hAnsi="等线" w:eastAsia="等线"/>
      <w:szCs w:val="22"/>
    </w:rPr>
  </w:style>
  <w:style w:type="paragraph" w:styleId="22">
    <w:name w:val="Body Text Indent 3"/>
    <w:basedOn w:val="1"/>
    <w:qFormat/>
    <w:uiPriority w:val="0"/>
    <w:pPr>
      <w:spacing w:after="120"/>
      <w:ind w:left="420" w:leftChars="200"/>
    </w:pPr>
    <w:rPr>
      <w:sz w:val="16"/>
      <w:szCs w:val="16"/>
    </w:rPr>
  </w:style>
  <w:style w:type="paragraph" w:styleId="23">
    <w:name w:val="Normal (Web)"/>
    <w:basedOn w:val="1"/>
    <w:qFormat/>
    <w:uiPriority w:val="0"/>
    <w:rPr>
      <w:sz w:val="24"/>
    </w:rPr>
  </w:style>
  <w:style w:type="paragraph" w:styleId="24">
    <w:name w:val="Title"/>
    <w:basedOn w:val="1"/>
    <w:next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25">
    <w:name w:val="annotation subject"/>
    <w:basedOn w:val="11"/>
    <w:next w:val="11"/>
    <w:link w:val="42"/>
    <w:qFormat/>
    <w:uiPriority w:val="0"/>
    <w:rPr>
      <w:b/>
      <w:bCs/>
    </w:rPr>
  </w:style>
  <w:style w:type="paragraph" w:styleId="26">
    <w:name w:val="Body Text First Indent"/>
    <w:basedOn w:val="2"/>
    <w:next w:val="21"/>
    <w:link w:val="85"/>
    <w:qFormat/>
    <w:uiPriority w:val="0"/>
    <w:pPr>
      <w:ind w:firstLine="420" w:firstLineChars="100"/>
    </w:pPr>
  </w:style>
  <w:style w:type="paragraph" w:styleId="27">
    <w:name w:val="Body Text First Indent 2"/>
    <w:basedOn w:val="12"/>
    <w:qFormat/>
    <w:uiPriority w:val="0"/>
    <w:pPr>
      <w:ind w:firstLine="420" w:firstLineChars="200"/>
    </w:pPr>
  </w:style>
  <w:style w:type="table" w:styleId="2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page number"/>
    <w:qFormat/>
    <w:uiPriority w:val="99"/>
  </w:style>
  <w:style w:type="character" w:styleId="32">
    <w:name w:val="annotation reference"/>
    <w:qFormat/>
    <w:uiPriority w:val="0"/>
    <w:rPr>
      <w:sz w:val="21"/>
      <w:szCs w:val="21"/>
    </w:rPr>
  </w:style>
  <w:style w:type="paragraph" w:customStyle="1" w:styleId="33">
    <w:name w:val="Heading1"/>
    <w:basedOn w:val="1"/>
    <w:next w:val="1"/>
    <w:qFormat/>
    <w:uiPriority w:val="0"/>
    <w:pPr>
      <w:keepNext/>
      <w:keepLines/>
      <w:spacing w:before="340" w:after="330" w:line="576" w:lineRule="auto"/>
      <w:textAlignment w:val="baseline"/>
    </w:pPr>
    <w:rPr>
      <w:b/>
      <w:bCs/>
      <w:kern w:val="44"/>
      <w:sz w:val="44"/>
      <w:szCs w:val="44"/>
    </w:rPr>
  </w:style>
  <w:style w:type="character" w:customStyle="1" w:styleId="34">
    <w:name w:val="s1"/>
    <w:basedOn w:val="30"/>
    <w:qFormat/>
    <w:uiPriority w:val="0"/>
    <w:rPr>
      <w:rFonts w:ascii=".PingFangSC-Regular" w:hAnsi=".PingFangSC-Regular" w:eastAsia=".PingFangSC-Regular" w:cs=".PingFangSC-Regular"/>
      <w:sz w:val="22"/>
      <w:szCs w:val="22"/>
    </w:rPr>
  </w:style>
  <w:style w:type="character" w:customStyle="1" w:styleId="35">
    <w:name w:val="fontstyle01"/>
    <w:qFormat/>
    <w:uiPriority w:val="0"/>
    <w:rPr>
      <w:rFonts w:hint="eastAsia" w:ascii="宋体" w:hAnsi="宋体" w:eastAsia="宋体"/>
      <w:color w:val="000000"/>
      <w:sz w:val="24"/>
      <w:szCs w:val="24"/>
    </w:rPr>
  </w:style>
  <w:style w:type="character" w:customStyle="1" w:styleId="36">
    <w:name w:val="font112"/>
    <w:basedOn w:val="30"/>
    <w:qFormat/>
    <w:uiPriority w:val="0"/>
    <w:rPr>
      <w:rFonts w:hint="eastAsia" w:ascii="宋体" w:hAnsi="宋体" w:eastAsia="宋体" w:cs="宋体"/>
      <w:color w:val="000000"/>
      <w:sz w:val="24"/>
      <w:szCs w:val="24"/>
      <w:u w:val="none"/>
    </w:rPr>
  </w:style>
  <w:style w:type="character" w:customStyle="1" w:styleId="37">
    <w:name w:val="font91"/>
    <w:basedOn w:val="30"/>
    <w:qFormat/>
    <w:uiPriority w:val="0"/>
    <w:rPr>
      <w:rFonts w:hint="eastAsia" w:ascii="宋体" w:hAnsi="宋体" w:eastAsia="宋体" w:cs="宋体"/>
      <w:color w:val="000000"/>
      <w:sz w:val="24"/>
      <w:szCs w:val="24"/>
      <w:u w:val="none"/>
    </w:rPr>
  </w:style>
  <w:style w:type="character" w:customStyle="1" w:styleId="38">
    <w:name w:val="font81"/>
    <w:basedOn w:val="30"/>
    <w:qFormat/>
    <w:uiPriority w:val="0"/>
    <w:rPr>
      <w:rFonts w:hint="default" w:ascii="Times New Roman" w:hAnsi="Times New Roman" w:cs="Times New Roman"/>
      <w:color w:val="000000"/>
      <w:sz w:val="24"/>
      <w:szCs w:val="24"/>
      <w:u w:val="none"/>
    </w:rPr>
  </w:style>
  <w:style w:type="character" w:customStyle="1" w:styleId="39">
    <w:name w:val="font21"/>
    <w:basedOn w:val="30"/>
    <w:qFormat/>
    <w:uiPriority w:val="0"/>
    <w:rPr>
      <w:rFonts w:hint="eastAsia" w:ascii="宋体" w:hAnsi="宋体" w:eastAsia="宋体" w:cs="宋体"/>
      <w:color w:val="000000"/>
      <w:sz w:val="24"/>
      <w:szCs w:val="24"/>
      <w:u w:val="none"/>
    </w:rPr>
  </w:style>
  <w:style w:type="character" w:customStyle="1" w:styleId="40">
    <w:name w:val="font41"/>
    <w:basedOn w:val="30"/>
    <w:qFormat/>
    <w:uiPriority w:val="0"/>
    <w:rPr>
      <w:rFonts w:hint="eastAsia" w:ascii="宋体" w:hAnsi="宋体" w:eastAsia="宋体" w:cs="宋体"/>
      <w:color w:val="000000"/>
      <w:sz w:val="18"/>
      <w:szCs w:val="18"/>
      <w:u w:val="none"/>
    </w:rPr>
  </w:style>
  <w:style w:type="character" w:customStyle="1" w:styleId="41">
    <w:name w:val="font51"/>
    <w:basedOn w:val="30"/>
    <w:qFormat/>
    <w:uiPriority w:val="0"/>
    <w:rPr>
      <w:rFonts w:ascii="Calibri" w:hAnsi="Calibri" w:cs="Calibri"/>
      <w:b/>
      <w:bCs/>
      <w:color w:val="000000"/>
      <w:sz w:val="18"/>
      <w:szCs w:val="18"/>
      <w:u w:val="none"/>
    </w:rPr>
  </w:style>
  <w:style w:type="character" w:customStyle="1" w:styleId="42">
    <w:name w:val="批注主题 Char"/>
    <w:link w:val="25"/>
    <w:qFormat/>
    <w:uiPriority w:val="0"/>
    <w:rPr>
      <w:rFonts w:ascii="Calibri" w:hAnsi="Calibri"/>
      <w:b/>
      <w:bCs/>
      <w:kern w:val="2"/>
      <w:sz w:val="21"/>
      <w:szCs w:val="24"/>
    </w:rPr>
  </w:style>
  <w:style w:type="character" w:customStyle="1" w:styleId="43">
    <w:name w:val="批注框文本 Char"/>
    <w:link w:val="16"/>
    <w:qFormat/>
    <w:uiPriority w:val="0"/>
    <w:rPr>
      <w:rFonts w:ascii="Calibri" w:hAnsi="Calibri"/>
      <w:kern w:val="2"/>
      <w:sz w:val="18"/>
      <w:szCs w:val="18"/>
    </w:rPr>
  </w:style>
  <w:style w:type="character" w:customStyle="1" w:styleId="44">
    <w:name w:val="标题 2 Char"/>
    <w:link w:val="4"/>
    <w:qFormat/>
    <w:uiPriority w:val="0"/>
    <w:rPr>
      <w:bCs/>
      <w:kern w:val="44"/>
      <w:sz w:val="28"/>
      <w:szCs w:val="28"/>
    </w:rPr>
  </w:style>
  <w:style w:type="character" w:customStyle="1" w:styleId="45">
    <w:name w:val="font111"/>
    <w:qFormat/>
    <w:uiPriority w:val="0"/>
    <w:rPr>
      <w:rFonts w:hint="eastAsia" w:ascii="宋体" w:hAnsi="宋体" w:eastAsia="宋体" w:cs="宋体"/>
      <w:color w:val="000000"/>
      <w:sz w:val="24"/>
      <w:szCs w:val="24"/>
      <w:u w:val="none"/>
    </w:rPr>
  </w:style>
  <w:style w:type="character" w:customStyle="1" w:styleId="46">
    <w:name w:val="font01"/>
    <w:qFormat/>
    <w:uiPriority w:val="0"/>
    <w:rPr>
      <w:rFonts w:hint="default" w:ascii="Times New Roman" w:hAnsi="Times New Roman" w:cs="Times New Roman"/>
      <w:color w:val="000000"/>
      <w:sz w:val="24"/>
      <w:szCs w:val="24"/>
      <w:u w:val="none"/>
    </w:rPr>
  </w:style>
  <w:style w:type="character" w:customStyle="1" w:styleId="47">
    <w:name w:val="font122"/>
    <w:qFormat/>
    <w:uiPriority w:val="0"/>
    <w:rPr>
      <w:rFonts w:hint="eastAsia" w:ascii="宋体" w:hAnsi="宋体" w:eastAsia="宋体" w:cs="宋体"/>
      <w:color w:val="000000"/>
      <w:sz w:val="24"/>
      <w:szCs w:val="24"/>
      <w:u w:val="none"/>
    </w:rPr>
  </w:style>
  <w:style w:type="character" w:customStyle="1" w:styleId="48">
    <w:name w:val="font31"/>
    <w:basedOn w:val="30"/>
    <w:qFormat/>
    <w:uiPriority w:val="0"/>
    <w:rPr>
      <w:rFonts w:hint="default" w:ascii="Calibri" w:hAnsi="Calibri" w:cs="Calibri"/>
      <w:color w:val="000000"/>
      <w:sz w:val="18"/>
      <w:szCs w:val="18"/>
      <w:u w:val="none"/>
    </w:rPr>
  </w:style>
  <w:style w:type="character" w:customStyle="1" w:styleId="49">
    <w:name w:val="font121"/>
    <w:basedOn w:val="30"/>
    <w:qFormat/>
    <w:uiPriority w:val="0"/>
    <w:rPr>
      <w:rFonts w:hint="eastAsia" w:ascii="宋体" w:hAnsi="宋体" w:eastAsia="宋体" w:cs="宋体"/>
      <w:color w:val="000000"/>
      <w:sz w:val="24"/>
      <w:szCs w:val="24"/>
      <w:u w:val="none"/>
    </w:rPr>
  </w:style>
  <w:style w:type="character" w:customStyle="1" w:styleId="50">
    <w:name w:val="font61"/>
    <w:basedOn w:val="30"/>
    <w:qFormat/>
    <w:uiPriority w:val="0"/>
    <w:rPr>
      <w:rFonts w:hint="default" w:ascii="Times New Roman" w:hAnsi="Times New Roman" w:cs="Times New Roman"/>
      <w:color w:val="000000"/>
      <w:sz w:val="22"/>
      <w:szCs w:val="22"/>
      <w:u w:val="none"/>
    </w:rPr>
  </w:style>
  <w:style w:type="character" w:customStyle="1" w:styleId="51">
    <w:name w:val="font11"/>
    <w:basedOn w:val="30"/>
    <w:qFormat/>
    <w:uiPriority w:val="0"/>
    <w:rPr>
      <w:rFonts w:hint="default" w:ascii="Calibri" w:hAnsi="Calibri" w:cs="Calibri"/>
      <w:color w:val="000000"/>
      <w:sz w:val="18"/>
      <w:szCs w:val="18"/>
      <w:u w:val="single"/>
    </w:rPr>
  </w:style>
  <w:style w:type="character" w:customStyle="1" w:styleId="52">
    <w:name w:val="批注文字 Char"/>
    <w:link w:val="11"/>
    <w:qFormat/>
    <w:uiPriority w:val="0"/>
    <w:rPr>
      <w:rFonts w:ascii="Calibri" w:hAnsi="Calibri"/>
      <w:kern w:val="2"/>
      <w:sz w:val="21"/>
      <w:szCs w:val="24"/>
    </w:rPr>
  </w:style>
  <w:style w:type="paragraph" w:customStyle="1" w:styleId="53">
    <w:name w:val="Body text|1"/>
    <w:basedOn w:val="1"/>
    <w:qFormat/>
    <w:uiPriority w:val="0"/>
    <w:pPr>
      <w:spacing w:line="430" w:lineRule="auto"/>
      <w:ind w:firstLine="400"/>
      <w:jc w:val="left"/>
    </w:pPr>
    <w:rPr>
      <w:rFonts w:ascii="宋体" w:hAnsi="宋体" w:cs="宋体"/>
      <w:color w:val="262626"/>
      <w:kern w:val="0"/>
      <w:sz w:val="22"/>
      <w:szCs w:val="22"/>
      <w:lang w:val="zh-TW" w:eastAsia="zh-TW" w:bidi="zh-TW"/>
    </w:rPr>
  </w:style>
  <w:style w:type="paragraph" w:customStyle="1" w:styleId="54">
    <w:name w:val="列出段落1"/>
    <w:basedOn w:val="1"/>
    <w:unhideWhenUsed/>
    <w:qFormat/>
    <w:uiPriority w:val="0"/>
    <w:pPr>
      <w:ind w:firstLine="420" w:firstLineChars="200"/>
    </w:pPr>
  </w:style>
  <w:style w:type="paragraph" w:customStyle="1" w:styleId="55">
    <w:name w:val="批注文字1"/>
    <w:basedOn w:val="1"/>
    <w:qFormat/>
    <w:uiPriority w:val="0"/>
    <w:pPr>
      <w:spacing w:line="560" w:lineRule="atLeast"/>
      <w:jc w:val="left"/>
    </w:pPr>
    <w:rPr>
      <w:color w:val="000000"/>
      <w:spacing w:val="14"/>
      <w:kern w:val="1"/>
      <w:sz w:val="20"/>
    </w:rPr>
  </w:style>
  <w:style w:type="paragraph" w:customStyle="1" w:styleId="56">
    <w:name w:val="+列表1"/>
    <w:basedOn w:val="1"/>
    <w:qFormat/>
    <w:uiPriority w:val="0"/>
    <w:pPr>
      <w:tabs>
        <w:tab w:val="left" w:pos="4320"/>
      </w:tabs>
      <w:jc w:val="center"/>
    </w:pPr>
  </w:style>
  <w:style w:type="paragraph" w:customStyle="1" w:styleId="57">
    <w:name w:val="！正文内容1.5倍行距"/>
    <w:basedOn w:val="1"/>
    <w:qFormat/>
    <w:uiPriority w:val="0"/>
    <w:pPr>
      <w:spacing w:line="420" w:lineRule="atLeast"/>
      <w:ind w:firstLine="200" w:firstLineChars="200"/>
    </w:pPr>
  </w:style>
  <w:style w:type="paragraph" w:styleId="58">
    <w:name w:val="List Paragraph"/>
    <w:basedOn w:val="1"/>
    <w:qFormat/>
    <w:uiPriority w:val="99"/>
    <w:pPr>
      <w:ind w:firstLine="420" w:firstLineChars="200"/>
    </w:pPr>
  </w:style>
  <w:style w:type="paragraph" w:customStyle="1" w:styleId="59">
    <w:name w:val="江建权"/>
    <w:basedOn w:val="1"/>
    <w:qFormat/>
    <w:uiPriority w:val="0"/>
    <w:pPr>
      <w:spacing w:line="440" w:lineRule="exact"/>
      <w:ind w:firstLine="200" w:firstLineChars="200"/>
    </w:pPr>
    <w:rPr>
      <w:kern w:val="0"/>
      <w:sz w:val="24"/>
    </w:rPr>
  </w:style>
  <w:style w:type="paragraph" w:customStyle="1" w:styleId="60">
    <w:name w:val="1.1.1.1"/>
    <w:basedOn w:val="1"/>
    <w:qFormat/>
    <w:uiPriority w:val="0"/>
    <w:pPr>
      <w:tabs>
        <w:tab w:val="left" w:pos="900"/>
        <w:tab w:val="left" w:pos="1134"/>
      </w:tabs>
      <w:adjustRightInd w:val="0"/>
      <w:snapToGrid w:val="0"/>
      <w:spacing w:beforeLines="50" w:afterLines="50" w:line="400" w:lineRule="atLeast"/>
      <w:ind w:left="869" w:leftChars="50" w:right="200" w:rightChars="200"/>
      <w:textAlignment w:val="baseline"/>
    </w:pPr>
    <w:rPr>
      <w:rFonts w:ascii="Arial" w:hAnsi="Arial"/>
      <w:kern w:val="0"/>
      <w:sz w:val="24"/>
      <w:szCs w:val="20"/>
    </w:rPr>
  </w:style>
  <w:style w:type="paragraph" w:customStyle="1" w:styleId="61">
    <w:name w:val="p1"/>
    <w:basedOn w:val="1"/>
    <w:qFormat/>
    <w:uiPriority w:val="0"/>
    <w:pPr>
      <w:jc w:val="left"/>
    </w:pPr>
    <w:rPr>
      <w:rFonts w:ascii=".applesimplifiedchinesefont" w:hAnsi=".applesimplifiedchinesefont" w:eastAsia=".applesimplifiedchinesefont"/>
      <w:color w:val="222226"/>
      <w:kern w:val="0"/>
      <w:sz w:val="22"/>
      <w:szCs w:val="22"/>
    </w:rPr>
  </w:style>
  <w:style w:type="paragraph" w:customStyle="1" w:styleId="62">
    <w:name w:val="+正文"/>
    <w:basedOn w:val="1"/>
    <w:qFormat/>
    <w:uiPriority w:val="0"/>
    <w:pPr>
      <w:ind w:firstLine="200" w:firstLineChars="200"/>
    </w:pPr>
    <w:rPr>
      <w:szCs w:val="28"/>
    </w:rPr>
  </w:style>
  <w:style w:type="paragraph" w:customStyle="1" w:styleId="63">
    <w:name w:val="正文段"/>
    <w:basedOn w:val="1"/>
    <w:qFormat/>
    <w:uiPriority w:val="0"/>
    <w:pPr>
      <w:widowControl/>
      <w:snapToGrid w:val="0"/>
      <w:spacing w:afterLines="50"/>
      <w:ind w:firstLine="200" w:firstLineChars="200"/>
    </w:pPr>
    <w:rPr>
      <w:kern w:val="0"/>
      <w:sz w:val="24"/>
      <w:szCs w:val="20"/>
    </w:rPr>
  </w:style>
  <w:style w:type="paragraph" w:customStyle="1" w:styleId="64">
    <w:name w:val="样式 样式 标题 4 + 非加粗 + (中文) 黑体 段前: 0 磅 段后: 0 磅 行距: 固定值 22 磅"/>
    <w:basedOn w:val="1"/>
    <w:qFormat/>
    <w:uiPriority w:val="0"/>
    <w:pPr>
      <w:keepNext/>
      <w:keepLines/>
      <w:spacing w:beforeLines="50" w:afterLines="50" w:line="500" w:lineRule="exact"/>
      <w:outlineLvl w:val="3"/>
    </w:pPr>
    <w:rPr>
      <w:rFonts w:ascii="Arial" w:hAnsi="Arial" w:cs="宋体"/>
      <w:b/>
      <w:bCs/>
    </w:rPr>
  </w:style>
  <w:style w:type="paragraph" w:customStyle="1" w:styleId="65">
    <w:name w:val="样式 宋体 首行缩进:  0.87 厘米"/>
    <w:basedOn w:val="1"/>
    <w:qFormat/>
    <w:uiPriority w:val="0"/>
    <w:pPr>
      <w:spacing w:line="480" w:lineRule="exact"/>
      <w:ind w:firstLine="493"/>
    </w:pPr>
    <w:rPr>
      <w:rFonts w:cs="宋体"/>
      <w:spacing w:val="6"/>
    </w:rPr>
  </w:style>
  <w:style w:type="paragraph" w:customStyle="1" w:styleId="66">
    <w:name w:val="样式 正文（首行缩进两字） + 宋体"/>
    <w:basedOn w:val="8"/>
    <w:qFormat/>
    <w:uiPriority w:val="0"/>
    <w:pPr>
      <w:spacing w:line="460" w:lineRule="exact"/>
    </w:pPr>
    <w:rPr>
      <w:rFonts w:ascii="宋体" w:hAnsi="宋体"/>
      <w:spacing w:val="6"/>
      <w:kern w:val="24"/>
      <w:sz w:val="24"/>
    </w:rPr>
  </w:style>
  <w:style w:type="paragraph" w:customStyle="1" w:styleId="67">
    <w:name w:val="无间隔1"/>
    <w:basedOn w:val="1"/>
    <w:qFormat/>
    <w:uiPriority w:val="0"/>
    <w:pPr>
      <w:widowControl/>
      <w:jc w:val="left"/>
    </w:pPr>
    <w:rPr>
      <w:rFonts w:cs="Calibri"/>
      <w:kern w:val="0"/>
      <w:sz w:val="22"/>
      <w:szCs w:val="22"/>
      <w:lang w:eastAsia="en-US"/>
    </w:rPr>
  </w:style>
  <w:style w:type="paragraph" w:customStyle="1" w:styleId="68">
    <w:name w:val="031"/>
    <w:basedOn w:val="1"/>
    <w:qFormat/>
    <w:uiPriority w:val="0"/>
    <w:pPr>
      <w:spacing w:line="500" w:lineRule="exact"/>
      <w:ind w:firstLine="567"/>
    </w:pPr>
    <w:rPr>
      <w:rFonts w:ascii="Times New Roman" w:hAnsi="Times New Roman"/>
      <w:spacing w:val="20"/>
      <w:sz w:val="28"/>
      <w:szCs w:val="28"/>
    </w:rPr>
  </w:style>
  <w:style w:type="paragraph" w:customStyle="1" w:styleId="69">
    <w:name w:val="heading 21"/>
    <w:basedOn w:val="1"/>
    <w:next w:val="70"/>
    <w:qFormat/>
    <w:uiPriority w:val="0"/>
    <w:pPr>
      <w:keepNext/>
      <w:keepLines/>
      <w:widowControl/>
      <w:snapToGrid w:val="0"/>
      <w:spacing w:beforeLines="200" w:afterLines="50" w:line="360" w:lineRule="auto"/>
      <w:jc w:val="center"/>
      <w:outlineLvl w:val="1"/>
    </w:pPr>
    <w:rPr>
      <w:rFonts w:ascii="Arial" w:hAnsi="Arial" w:cs="Arial"/>
      <w:b/>
      <w:bCs/>
      <w:kern w:val="0"/>
      <w:sz w:val="32"/>
      <w:szCs w:val="32"/>
    </w:rPr>
  </w:style>
  <w:style w:type="paragraph" w:customStyle="1" w:styleId="70">
    <w:name w:val="Normal Indent1"/>
    <w:basedOn w:val="1"/>
    <w:qFormat/>
    <w:uiPriority w:val="0"/>
    <w:pPr>
      <w:spacing w:after="200" w:line="276" w:lineRule="auto"/>
      <w:ind w:firstLine="420" w:firstLineChars="200"/>
      <w:jc w:val="left"/>
    </w:pPr>
    <w:rPr>
      <w:rFonts w:cs="Calibri"/>
      <w:kern w:val="0"/>
      <w:sz w:val="22"/>
      <w:szCs w:val="22"/>
      <w:lang w:eastAsia="en-US"/>
    </w:rPr>
  </w:style>
  <w:style w:type="paragraph" w:customStyle="1" w:styleId="71">
    <w:name w:val="heading 31"/>
    <w:basedOn w:val="1"/>
    <w:next w:val="1"/>
    <w:qFormat/>
    <w:uiPriority w:val="0"/>
    <w:pPr>
      <w:keepNext/>
      <w:keepLines/>
      <w:spacing w:before="260" w:after="260" w:line="416" w:lineRule="auto"/>
      <w:outlineLvl w:val="2"/>
    </w:pPr>
    <w:rPr>
      <w:rFonts w:ascii="Times New Roman" w:hAnsi="Times New Roman"/>
      <w:b/>
      <w:bCs/>
      <w:sz w:val="32"/>
      <w:szCs w:val="32"/>
      <w:lang w:eastAsia="en-US"/>
    </w:rPr>
  </w:style>
  <w:style w:type="paragraph" w:customStyle="1" w:styleId="72">
    <w:name w:val="首行缩进"/>
    <w:basedOn w:val="1"/>
    <w:next w:val="2"/>
    <w:qFormat/>
    <w:uiPriority w:val="99"/>
    <w:pPr>
      <w:widowControl/>
      <w:tabs>
        <w:tab w:val="left" w:pos="0"/>
        <w:tab w:val="left" w:pos="360"/>
        <w:tab w:val="left" w:pos="822"/>
      </w:tabs>
      <w:snapToGrid w:val="0"/>
      <w:spacing w:before="40" w:after="40" w:line="300" w:lineRule="atLeast"/>
      <w:ind w:left="2940" w:hanging="420"/>
    </w:pPr>
    <w:rPr>
      <w:rFonts w:ascii="Arial" w:hAnsi="Arial"/>
    </w:rPr>
  </w:style>
  <w:style w:type="paragraph" w:customStyle="1" w:styleId="73">
    <w:name w:val="+标题2"/>
    <w:basedOn w:val="4"/>
    <w:qFormat/>
    <w:uiPriority w:val="0"/>
    <w:pPr>
      <w:tabs>
        <w:tab w:val="left" w:pos="573"/>
        <w:tab w:val="left" w:pos="999"/>
      </w:tabs>
      <w:spacing w:line="440" w:lineRule="exact"/>
      <w:ind w:left="159"/>
      <w:jc w:val="left"/>
    </w:pPr>
    <w:rPr>
      <w:rFonts w:ascii="宋体" w:hAnsi="宋体"/>
      <w:bCs w:val="0"/>
      <w:kern w:val="2"/>
      <w:sz w:val="24"/>
      <w:szCs w:val="24"/>
    </w:rPr>
  </w:style>
  <w:style w:type="paragraph" w:customStyle="1" w:styleId="74">
    <w:name w:val="样式 正文（首行缩进两字） + 宋体 首行缩进:  0 字符"/>
    <w:basedOn w:val="8"/>
    <w:qFormat/>
    <w:uiPriority w:val="0"/>
    <w:pPr>
      <w:spacing w:line="460" w:lineRule="exact"/>
      <w:ind w:firstLine="0" w:firstLineChars="0"/>
    </w:pPr>
    <w:rPr>
      <w:rFonts w:ascii="宋体" w:hAnsi="宋体" w:cs="宋体"/>
      <w:spacing w:val="6"/>
      <w:kern w:val="24"/>
      <w:sz w:val="24"/>
    </w:rPr>
  </w:style>
  <w:style w:type="paragraph" w:customStyle="1" w:styleId="75">
    <w:name w:val="Table Paragraph"/>
    <w:basedOn w:val="1"/>
    <w:qFormat/>
    <w:uiPriority w:val="1"/>
    <w:rPr>
      <w:rFonts w:ascii="宋体" w:hAnsi="宋体" w:cs="宋体"/>
      <w:szCs w:val="22"/>
      <w:lang w:val="zh-CN" w:bidi="zh-CN"/>
    </w:rPr>
  </w:style>
  <w:style w:type="paragraph" w:customStyle="1" w:styleId="76">
    <w:name w:val="肖正1"/>
    <w:basedOn w:val="1"/>
    <w:qFormat/>
    <w:uiPriority w:val="0"/>
    <w:pPr>
      <w:widowControl/>
      <w:spacing w:after="200" w:line="276" w:lineRule="auto"/>
      <w:ind w:firstLine="567"/>
      <w:jc w:val="left"/>
    </w:pPr>
    <w:rPr>
      <w:rFonts w:cs="Calibri"/>
      <w:kern w:val="0"/>
      <w:lang w:eastAsia="en-US"/>
    </w:rPr>
  </w:style>
  <w:style w:type="paragraph" w:customStyle="1" w:styleId="77">
    <w:name w:val="表格编号"/>
    <w:basedOn w:val="1"/>
    <w:qFormat/>
    <w:uiPriority w:val="0"/>
    <w:pPr>
      <w:numPr>
        <w:ilvl w:val="0"/>
        <w:numId w:val="2"/>
      </w:numPr>
      <w:jc w:val="center"/>
    </w:pPr>
    <w:rPr>
      <w:b/>
      <w:szCs w:val="21"/>
    </w:rPr>
  </w:style>
  <w:style w:type="paragraph" w:customStyle="1" w:styleId="78">
    <w:name w:val="TOC1"/>
    <w:basedOn w:val="1"/>
    <w:next w:val="1"/>
    <w:qFormat/>
    <w:uiPriority w:val="0"/>
    <w:pPr>
      <w:tabs>
        <w:tab w:val="right" w:leader="dot" w:pos="9203"/>
      </w:tabs>
      <w:spacing w:before="120" w:after="120" w:line="360" w:lineRule="auto"/>
      <w:jc w:val="center"/>
      <w:textAlignment w:val="baseline"/>
    </w:pPr>
    <w:rPr>
      <w:rFonts w:ascii="宋体" w:hAnsi="宋体"/>
      <w:b/>
      <w:bCs/>
      <w:caps/>
      <w:sz w:val="20"/>
      <w:szCs w:val="20"/>
    </w:rPr>
  </w:style>
  <w:style w:type="paragraph" w:customStyle="1" w:styleId="79">
    <w:name w:val="+正文 Char"/>
    <w:basedOn w:val="1"/>
    <w:qFormat/>
    <w:uiPriority w:val="0"/>
    <w:pPr>
      <w:spacing w:line="360" w:lineRule="auto"/>
      <w:ind w:firstLine="200" w:firstLineChars="200"/>
    </w:pPr>
    <w:rPr>
      <w:rFonts w:ascii="Times New Roman" w:hAnsi="Times New Roman"/>
      <w:szCs w:val="28"/>
    </w:rPr>
  </w:style>
  <w:style w:type="character" w:customStyle="1" w:styleId="80">
    <w:name w:val="font71"/>
    <w:basedOn w:val="30"/>
    <w:qFormat/>
    <w:uiPriority w:val="0"/>
    <w:rPr>
      <w:rFonts w:hint="default" w:ascii="Times New Roman" w:hAnsi="Times New Roman" w:cs="Times New Roman"/>
      <w:color w:val="000000"/>
      <w:sz w:val="24"/>
      <w:szCs w:val="24"/>
      <w:u w:val="none"/>
    </w:rPr>
  </w:style>
  <w:style w:type="character" w:customStyle="1" w:styleId="81">
    <w:name w:val="font171"/>
    <w:basedOn w:val="30"/>
    <w:qFormat/>
    <w:uiPriority w:val="0"/>
    <w:rPr>
      <w:rFonts w:hint="default" w:ascii="Times New Roman" w:hAnsi="Times New Roman" w:cs="Times New Roman"/>
      <w:color w:val="000000"/>
      <w:sz w:val="24"/>
      <w:szCs w:val="24"/>
      <w:u w:val="none"/>
    </w:rPr>
  </w:style>
  <w:style w:type="character" w:customStyle="1" w:styleId="82">
    <w:name w:val="font101"/>
    <w:basedOn w:val="30"/>
    <w:qFormat/>
    <w:uiPriority w:val="0"/>
    <w:rPr>
      <w:rFonts w:hint="default" w:ascii="Times New Roman" w:hAnsi="Times New Roman" w:cs="Times New Roman"/>
      <w:color w:val="000000"/>
      <w:sz w:val="22"/>
      <w:szCs w:val="22"/>
      <w:u w:val="none"/>
    </w:rPr>
  </w:style>
  <w:style w:type="character" w:customStyle="1" w:styleId="83">
    <w:name w:val="font141"/>
    <w:basedOn w:val="30"/>
    <w:qFormat/>
    <w:uiPriority w:val="0"/>
    <w:rPr>
      <w:rFonts w:hint="default" w:ascii="Times New Roman" w:hAnsi="Times New Roman" w:cs="Times New Roman"/>
      <w:color w:val="000000"/>
      <w:sz w:val="24"/>
      <w:szCs w:val="24"/>
      <w:u w:val="none"/>
    </w:rPr>
  </w:style>
  <w:style w:type="character" w:customStyle="1" w:styleId="84">
    <w:name w:val="正文文本 Char"/>
    <w:basedOn w:val="30"/>
    <w:link w:val="2"/>
    <w:qFormat/>
    <w:uiPriority w:val="0"/>
    <w:rPr>
      <w:rFonts w:hint="default" w:ascii="Calibri" w:hAnsi="Calibri" w:cs="Calibri"/>
      <w:kern w:val="2"/>
      <w:sz w:val="21"/>
      <w:szCs w:val="24"/>
    </w:rPr>
  </w:style>
  <w:style w:type="character" w:customStyle="1" w:styleId="85">
    <w:name w:val="正文首行缩进 Char"/>
    <w:basedOn w:val="84"/>
    <w:link w:val="26"/>
    <w:qFormat/>
    <w:uiPriority w:val="0"/>
    <w:rPr>
      <w:rFonts w:hint="default" w:ascii="Calibri" w:hAnsi="Calibri" w:cs="Calibri"/>
      <w:kern w:val="2"/>
      <w:sz w:val="21"/>
      <w:szCs w:val="24"/>
    </w:rPr>
  </w:style>
  <w:style w:type="character" w:customStyle="1" w:styleId="86">
    <w:name w:val="font131"/>
    <w:basedOn w:val="3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112</Pages>
  <Words>65663</Words>
  <Characters>72720</Characters>
  <Lines>580</Lines>
  <Paragraphs>163</Paragraphs>
  <TotalTime>8</TotalTime>
  <ScaleCrop>false</ScaleCrop>
  <LinksUpToDate>false</LinksUpToDate>
  <CharactersWithSpaces>76860</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2022-07-21T05:40:00Z</dcterms:created>
  <dc:creator>29144</dc:creator>
  <cp:lastModifiedBy>Administrator</cp:lastModifiedBy>
  <cp:lastPrinted>2023-12-28T01:28:00Z</cp:lastPrinted>
  <dcterms:modified xsi:type="dcterms:W3CDTF">2024-01-16T04:01:49Z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0D266755202842CDB726B4FC9FA92F3A_13</vt:lpwstr>
  </property>
</Properties>
</file>