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eastAsiaTheme="minorEastAsia"/>
          <w:color w:val="auto"/>
        </w:rPr>
      </w:pPr>
    </w:p>
    <w:p>
      <w:pPr>
        <w:spacing w:line="360" w:lineRule="auto"/>
        <w:jc w:val="center"/>
        <w:rPr>
          <w:rFonts w:hint="default" w:ascii="Times New Roman" w:hAnsi="Times New Roman" w:cs="Times New Roman" w:eastAsiaTheme="minorEastAsia"/>
          <w:color w:val="auto"/>
          <w:sz w:val="24"/>
          <w:szCs w:val="24"/>
        </w:rPr>
      </w:pPr>
    </w:p>
    <w:p>
      <w:pPr>
        <w:spacing w:line="360" w:lineRule="auto"/>
        <w:jc w:val="center"/>
        <w:rPr>
          <w:rFonts w:hint="default" w:ascii="Times New Roman" w:hAnsi="Times New Roman" w:cs="Times New Roman" w:eastAsiaTheme="minorEastAsia"/>
          <w:b/>
          <w:color w:val="auto"/>
          <w:sz w:val="36"/>
          <w:szCs w:val="36"/>
        </w:rPr>
      </w:pPr>
      <w:r>
        <w:rPr>
          <w:rFonts w:hint="default" w:ascii="Times New Roman" w:hAnsi="Times New Roman" w:cs="Times New Roman" w:eastAsiaTheme="minorEastAsia"/>
          <w:b/>
          <w:color w:val="auto"/>
          <w:sz w:val="36"/>
          <w:szCs w:val="36"/>
        </w:rPr>
        <w:t>绍兴市中医院改扩建工程EPC总承包内</w:t>
      </w:r>
    </w:p>
    <w:p>
      <w:pPr>
        <w:spacing w:line="360" w:lineRule="auto"/>
        <w:jc w:val="center"/>
        <w:rPr>
          <w:rFonts w:hint="default" w:ascii="Times New Roman" w:hAnsi="Times New Roman" w:cs="Times New Roman" w:eastAsiaTheme="minorEastAsia"/>
          <w:b/>
          <w:color w:val="auto"/>
          <w:sz w:val="36"/>
          <w:szCs w:val="36"/>
        </w:rPr>
      </w:pPr>
      <w:r>
        <w:rPr>
          <w:rFonts w:hint="default" w:ascii="Times New Roman" w:hAnsi="Times New Roman" w:cs="Times New Roman" w:eastAsiaTheme="minorEastAsia"/>
          <w:b/>
          <w:color w:val="auto"/>
          <w:sz w:val="36"/>
          <w:szCs w:val="36"/>
        </w:rPr>
        <w:t>手术室吊塔 招标文件</w:t>
      </w:r>
    </w:p>
    <w:p>
      <w:pPr>
        <w:spacing w:line="360" w:lineRule="auto"/>
        <w:ind w:firstLine="3040"/>
        <w:rPr>
          <w:rFonts w:hint="default" w:ascii="Times New Roman" w:hAnsi="Times New Roman" w:cs="Times New Roman" w:eastAsiaTheme="minorEastAsia"/>
          <w:color w:val="auto"/>
          <w:sz w:val="28"/>
          <w:szCs w:val="28"/>
        </w:rPr>
      </w:pPr>
    </w:p>
    <w:p>
      <w:pPr>
        <w:spacing w:line="360" w:lineRule="auto"/>
        <w:ind w:firstLine="3040"/>
        <w:rPr>
          <w:rFonts w:hint="default" w:ascii="Times New Roman" w:hAnsi="Times New Roman" w:cs="Times New Roman" w:eastAsiaTheme="minorEastAsia"/>
          <w:color w:val="auto"/>
          <w:sz w:val="28"/>
          <w:szCs w:val="28"/>
        </w:rPr>
      </w:pPr>
    </w:p>
    <w:p>
      <w:pPr>
        <w:spacing w:line="360" w:lineRule="auto"/>
        <w:jc w:val="center"/>
        <w:rPr>
          <w:rFonts w:hint="default" w:ascii="Times New Roman" w:hAnsi="Times New Roman" w:cs="Times New Roman" w:eastAsiaTheme="minorEastAsia"/>
          <w:color w:val="auto"/>
          <w:sz w:val="28"/>
          <w:szCs w:val="28"/>
        </w:rPr>
      </w:pPr>
    </w:p>
    <w:p>
      <w:pPr>
        <w:spacing w:line="360" w:lineRule="auto"/>
        <w:jc w:val="center"/>
        <w:rPr>
          <w:rFonts w:hint="default" w:ascii="Times New Roman" w:hAnsi="Times New Roman" w:cs="Times New Roman" w:eastAsiaTheme="minorEastAsia"/>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pStyle w:val="2"/>
        <w:rPr>
          <w:rFonts w:hint="default" w:ascii="Times New Roman" w:hAnsi="Times New Roman" w:cs="Times New Roman" w:eastAsiaTheme="minorEastAsia"/>
          <w:b/>
          <w:color w:val="auto"/>
          <w:sz w:val="28"/>
          <w:szCs w:val="28"/>
        </w:rPr>
      </w:pPr>
    </w:p>
    <w:p>
      <w:pPr>
        <w:pStyle w:val="3"/>
        <w:rPr>
          <w:rFonts w:hint="default" w:ascii="Times New Roman" w:hAnsi="Times New Roman" w:cs="Times New Roman" w:eastAsiaTheme="minorEastAsia"/>
          <w:b/>
          <w:color w:val="auto"/>
          <w:sz w:val="28"/>
          <w:szCs w:val="28"/>
        </w:rPr>
      </w:pPr>
    </w:p>
    <w:p>
      <w:pPr>
        <w:rPr>
          <w:rFonts w:hint="default" w:ascii="Times New Roman" w:hAnsi="Times New Roman" w:cs="Times New Roman" w:eastAsiaTheme="minorEastAsia"/>
          <w:b/>
          <w:color w:val="auto"/>
          <w:sz w:val="28"/>
          <w:szCs w:val="28"/>
        </w:rPr>
      </w:pPr>
    </w:p>
    <w:p>
      <w:pPr>
        <w:pStyle w:val="2"/>
        <w:rPr>
          <w:rFonts w:hint="default"/>
          <w:color w:val="auto"/>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rPr>
          <w:rFonts w:hint="default" w:ascii="Times New Roman" w:hAnsi="Times New Roman" w:cs="Times New Roman" w:eastAsiaTheme="minorEastAsia"/>
          <w:b/>
          <w:color w:val="auto"/>
          <w:sz w:val="28"/>
          <w:szCs w:val="28"/>
        </w:rPr>
      </w:pPr>
    </w:p>
    <w:p>
      <w:pPr>
        <w:pStyle w:val="55"/>
        <w:rPr>
          <w:rFonts w:hint="default" w:ascii="Times New Roman" w:hAnsi="Times New Roman" w:cs="Times New Roman"/>
          <w:color w:val="auto"/>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r>
        <w:rPr>
          <w:rFonts w:hint="default" w:ascii="Times New Roman" w:hAnsi="Times New Roman" w:cs="Times New Roman" w:eastAsiaTheme="minorEastAsia"/>
          <w:b/>
          <w:color w:val="auto"/>
          <w:sz w:val="28"/>
          <w:szCs w:val="28"/>
        </w:rPr>
        <w:t>招  标  人：浙江中成建工集团有限公司</w:t>
      </w:r>
    </w:p>
    <w:p>
      <w:pPr>
        <w:spacing w:line="360" w:lineRule="auto"/>
        <w:jc w:val="center"/>
        <w:rPr>
          <w:rFonts w:hint="default" w:ascii="Times New Roman" w:hAnsi="Times New Roman" w:cs="Times New Roman" w:eastAsiaTheme="minorEastAsia"/>
          <w:b/>
          <w:color w:val="auto"/>
          <w:sz w:val="28"/>
          <w:szCs w:val="28"/>
        </w:rPr>
      </w:pPr>
      <w:r>
        <w:rPr>
          <w:rFonts w:hint="default" w:ascii="Times New Roman" w:hAnsi="Times New Roman" w:cs="Times New Roman" w:eastAsiaTheme="minorEastAsia"/>
          <w:b/>
          <w:color w:val="auto"/>
          <w:sz w:val="28"/>
          <w:szCs w:val="28"/>
        </w:rPr>
        <w:t>招标代理机构：浙江翔实建设项目管理有限公司</w:t>
      </w:r>
    </w:p>
    <w:p>
      <w:pPr>
        <w:spacing w:line="360" w:lineRule="auto"/>
        <w:jc w:val="center"/>
        <w:rPr>
          <w:rFonts w:hint="default" w:ascii="Times New Roman" w:hAnsi="Times New Roman" w:cs="Times New Roman" w:eastAsiaTheme="minorEastAsia"/>
          <w:color w:val="auto"/>
          <w:sz w:val="28"/>
          <w:szCs w:val="28"/>
        </w:rPr>
      </w:pPr>
      <w:r>
        <w:rPr>
          <w:rFonts w:hint="default" w:ascii="Times New Roman" w:hAnsi="Times New Roman" w:cs="Times New Roman" w:eastAsiaTheme="minorEastAsia"/>
          <w:color w:val="auto"/>
          <w:sz w:val="28"/>
          <w:szCs w:val="28"/>
        </w:rPr>
        <w:t xml:space="preserve">2021年 </w:t>
      </w:r>
      <w:r>
        <w:rPr>
          <w:rFonts w:hint="default" w:ascii="Times New Roman" w:hAnsi="Times New Roman" w:cs="Times New Roman" w:eastAsiaTheme="minorEastAsia"/>
          <w:color w:val="auto"/>
          <w:sz w:val="28"/>
          <w:szCs w:val="28"/>
          <w:lang w:val="en-US" w:eastAsia="zh-CN"/>
        </w:rPr>
        <w:t>11</w:t>
      </w:r>
      <w:r>
        <w:rPr>
          <w:rFonts w:hint="default" w:ascii="Times New Roman" w:hAnsi="Times New Roman" w:cs="Times New Roman" w:eastAsiaTheme="minorEastAsia"/>
          <w:color w:val="auto"/>
          <w:sz w:val="28"/>
          <w:szCs w:val="28"/>
        </w:rPr>
        <w:t xml:space="preserve"> 月 </w:t>
      </w:r>
    </w:p>
    <w:p>
      <w:pPr>
        <w:ind w:left="2243" w:right="2279"/>
        <w:jc w:val="center"/>
        <w:rPr>
          <w:rFonts w:hint="default" w:ascii="Times New Roman" w:hAnsi="Times New Roman" w:cs="Times New Roman"/>
          <w:b/>
          <w:color w:val="auto"/>
          <w:sz w:val="44"/>
        </w:rPr>
      </w:pPr>
    </w:p>
    <w:p>
      <w:pPr>
        <w:spacing w:line="300" w:lineRule="auto"/>
        <w:jc w:val="center"/>
        <w:rPr>
          <w:rFonts w:hint="default" w:ascii="Times New Roman" w:hAnsi="Times New Roman" w:cs="Times New Roman"/>
          <w:b/>
          <w:color w:val="auto"/>
          <w:sz w:val="32"/>
          <w:szCs w:val="32"/>
        </w:rPr>
      </w:pPr>
    </w:p>
    <w:p>
      <w:pPr>
        <w:spacing w:line="300" w:lineRule="auto"/>
        <w:jc w:val="center"/>
        <w:rPr>
          <w:rFonts w:hint="default" w:ascii="Times New Roman" w:hAnsi="Times New Roman" w:cs="Times New Roman"/>
          <w:b/>
          <w:color w:val="auto"/>
          <w:sz w:val="28"/>
          <w:szCs w:val="28"/>
        </w:rPr>
      </w:pPr>
      <w:bookmarkStart w:id="0" w:name="_Toc10676"/>
      <w:r>
        <w:rPr>
          <w:rFonts w:hint="default" w:ascii="Times New Roman" w:hAnsi="Times New Roman" w:cs="Times New Roman"/>
          <w:b/>
          <w:color w:val="auto"/>
          <w:sz w:val="28"/>
          <w:szCs w:val="28"/>
        </w:rPr>
        <w:t xml:space="preserve">绍兴市中医院改扩建工程EPC总承包内手术室吊塔 </w:t>
      </w:r>
    </w:p>
    <w:p>
      <w:pPr>
        <w:spacing w:line="300" w:lineRule="auto"/>
        <w:jc w:val="center"/>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招标文件</w:t>
      </w:r>
    </w:p>
    <w:p>
      <w:pPr>
        <w:spacing w:line="300" w:lineRule="auto"/>
        <w:jc w:val="center"/>
        <w:rPr>
          <w:rFonts w:hint="default" w:ascii="Times New Roman" w:hAnsi="Times New Roman" w:cs="Times New Roman"/>
          <w:b/>
          <w:color w:val="auto"/>
          <w:sz w:val="32"/>
          <w:szCs w:val="32"/>
        </w:rPr>
      </w:pPr>
    </w:p>
    <w:p>
      <w:pPr>
        <w:pStyle w:val="55"/>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招标人名称：</w:t>
      </w:r>
      <w:r>
        <w:rPr>
          <w:rFonts w:hint="default" w:ascii="Times New Roman" w:hAnsi="Times New Roman" w:cs="Times New Roman"/>
          <w:color w:val="auto"/>
          <w:sz w:val="24"/>
          <w:szCs w:val="24"/>
          <w:u w:val="single"/>
        </w:rPr>
        <w:t xml:space="preserve">      浙江中成建工集团有限公司          </w:t>
      </w:r>
      <w:r>
        <w:rPr>
          <w:rFonts w:hint="default" w:ascii="Times New Roman" w:hAnsi="Times New Roman" w:cs="Times New Roman"/>
          <w:color w:val="auto"/>
          <w:sz w:val="24"/>
          <w:szCs w:val="24"/>
        </w:rPr>
        <w:t>（盖章）</w:t>
      </w:r>
    </w:p>
    <w:p>
      <w:pPr>
        <w:spacing w:line="560" w:lineRule="exact"/>
        <w:ind w:firstLine="840" w:firstLineChars="35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招标人法人代表：</w:t>
      </w:r>
      <w:r>
        <w:rPr>
          <w:rFonts w:hint="default" w:ascii="Times New Roman" w:hAnsi="Times New Roman" w:cs="Times New Roman"/>
          <w:color w:val="auto"/>
          <w:sz w:val="24"/>
          <w:szCs w:val="24"/>
          <w:u w:val="single"/>
        </w:rPr>
        <w:t xml:space="preserve">    高建兴      </w:t>
      </w:r>
      <w:r>
        <w:rPr>
          <w:rFonts w:hint="default" w:ascii="Times New Roman" w:hAnsi="Times New Roman" w:cs="Times New Roman"/>
          <w:color w:val="auto"/>
          <w:sz w:val="24"/>
          <w:szCs w:val="24"/>
        </w:rPr>
        <w:t>（盖章）</w:t>
      </w: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招标人地址：</w:t>
      </w:r>
      <w:r>
        <w:rPr>
          <w:rFonts w:hint="default" w:ascii="Times New Roman" w:hAnsi="Times New Roman" w:cs="Times New Roman"/>
          <w:color w:val="auto"/>
          <w:sz w:val="24"/>
          <w:szCs w:val="24"/>
          <w:u w:val="single"/>
        </w:rPr>
        <w:t xml:space="preserve">   凤林西路123号中成大厦    </w:t>
      </w:r>
    </w:p>
    <w:p>
      <w:pPr>
        <w:spacing w:line="560" w:lineRule="exact"/>
        <w:ind w:firstLine="840" w:firstLineChars="35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邮政编码：</w:t>
      </w:r>
      <w:r>
        <w:rPr>
          <w:rFonts w:hint="default" w:ascii="Times New Roman" w:hAnsi="Times New Roman" w:cs="Times New Roman"/>
          <w:color w:val="auto"/>
          <w:sz w:val="24"/>
          <w:szCs w:val="24"/>
          <w:u w:val="single"/>
        </w:rPr>
        <w:t xml:space="preserve">   312000   </w:t>
      </w: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联 系 人：</w:t>
      </w:r>
      <w:r>
        <w:rPr>
          <w:rFonts w:hint="default" w:ascii="Times New Roman" w:hAnsi="Times New Roman" w:cs="Times New Roman"/>
          <w:color w:val="auto"/>
          <w:sz w:val="24"/>
          <w:szCs w:val="24"/>
          <w:u w:val="single"/>
        </w:rPr>
        <w:t xml:space="preserve">  冯文君  </w:t>
      </w:r>
      <w:r>
        <w:rPr>
          <w:rFonts w:hint="default" w:ascii="Times New Roman" w:hAnsi="Times New Roman" w:cs="Times New Roman"/>
          <w:color w:val="auto"/>
          <w:sz w:val="24"/>
          <w:szCs w:val="24"/>
        </w:rPr>
        <w:t xml:space="preserve"> 电    话：</w:t>
      </w:r>
      <w:r>
        <w:rPr>
          <w:rFonts w:hint="default" w:ascii="Times New Roman" w:hAnsi="Times New Roman" w:cs="Times New Roman"/>
          <w:color w:val="auto"/>
          <w:sz w:val="24"/>
          <w:szCs w:val="24"/>
          <w:u w:val="single"/>
        </w:rPr>
        <w:t xml:space="preserve">15967559599 </w:t>
      </w:r>
    </w:p>
    <w:p>
      <w:pPr>
        <w:spacing w:line="560" w:lineRule="exact"/>
        <w:ind w:firstLine="307" w:firstLineChars="128"/>
        <w:rPr>
          <w:rFonts w:hint="default" w:ascii="Times New Roman" w:hAnsi="Times New Roman" w:cs="Times New Roman"/>
          <w:color w:val="auto"/>
          <w:sz w:val="24"/>
          <w:szCs w:val="24"/>
        </w:rPr>
      </w:pPr>
    </w:p>
    <w:p>
      <w:pPr>
        <w:pStyle w:val="55"/>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spacing w:line="560" w:lineRule="exact"/>
        <w:ind w:firstLine="840" w:firstLineChars="350"/>
        <w:rPr>
          <w:rFonts w:hint="default" w:ascii="Times New Roman" w:hAnsi="Times New Roman" w:cs="Times New Roman"/>
          <w:color w:val="auto"/>
          <w:spacing w:val="-10"/>
          <w:sz w:val="24"/>
          <w:szCs w:val="24"/>
        </w:rPr>
      </w:pPr>
      <w:r>
        <w:rPr>
          <w:rFonts w:hint="default" w:ascii="Times New Roman" w:hAnsi="Times New Roman" w:cs="Times New Roman"/>
          <w:color w:val="auto"/>
          <w:sz w:val="24"/>
          <w:szCs w:val="24"/>
        </w:rPr>
        <w:t>招</w:t>
      </w:r>
      <w:r>
        <w:rPr>
          <w:rFonts w:hint="default" w:ascii="Times New Roman" w:hAnsi="Times New Roman" w:cs="Times New Roman"/>
          <w:color w:val="auto"/>
          <w:spacing w:val="-10"/>
          <w:sz w:val="24"/>
          <w:szCs w:val="24"/>
        </w:rPr>
        <w:t>标代理机构名称：</w:t>
      </w:r>
      <w:r>
        <w:rPr>
          <w:rFonts w:hint="default" w:ascii="Times New Roman" w:hAnsi="Times New Roman" w:cs="Times New Roman"/>
          <w:color w:val="auto"/>
          <w:spacing w:val="-10"/>
          <w:sz w:val="24"/>
          <w:szCs w:val="24"/>
          <w:u w:val="single"/>
        </w:rPr>
        <w:t xml:space="preserve">  浙江翔实建设项目管理有限公司        </w:t>
      </w:r>
      <w:r>
        <w:rPr>
          <w:rFonts w:hint="default" w:ascii="Times New Roman" w:hAnsi="Times New Roman" w:cs="Times New Roman"/>
          <w:color w:val="auto"/>
          <w:spacing w:val="-10"/>
          <w:sz w:val="24"/>
          <w:szCs w:val="24"/>
        </w:rPr>
        <w:t>（盖章）</w:t>
      </w:r>
    </w:p>
    <w:p>
      <w:pPr>
        <w:spacing w:line="560" w:lineRule="exact"/>
        <w:ind w:firstLine="829" w:firstLineChars="377"/>
        <w:rPr>
          <w:rFonts w:hint="default" w:ascii="Times New Roman" w:hAnsi="Times New Roman" w:cs="Times New Roman"/>
          <w:color w:val="auto"/>
          <w:spacing w:val="-10"/>
          <w:sz w:val="24"/>
          <w:szCs w:val="24"/>
        </w:rPr>
      </w:pPr>
      <w:r>
        <w:rPr>
          <w:rFonts w:hint="default" w:ascii="Times New Roman" w:hAnsi="Times New Roman" w:cs="Times New Roman"/>
          <w:color w:val="auto"/>
          <w:spacing w:val="-10"/>
          <w:sz w:val="24"/>
          <w:szCs w:val="24"/>
        </w:rPr>
        <w:t>招标代理机构法人代表：</w:t>
      </w:r>
      <w:r>
        <w:rPr>
          <w:rFonts w:hint="default" w:ascii="Times New Roman" w:hAnsi="Times New Roman" w:cs="Times New Roman"/>
          <w:color w:val="auto"/>
          <w:spacing w:val="-10"/>
          <w:sz w:val="24"/>
          <w:szCs w:val="24"/>
          <w:u w:val="single"/>
        </w:rPr>
        <w:t xml:space="preserve">     </w:t>
      </w:r>
      <w:r>
        <w:rPr>
          <w:rFonts w:hint="default" w:ascii="Times New Roman" w:hAnsi="Times New Roman" w:cs="Times New Roman"/>
          <w:iCs/>
          <w:color w:val="auto"/>
          <w:spacing w:val="-10"/>
          <w:sz w:val="24"/>
          <w:szCs w:val="24"/>
          <w:u w:val="single"/>
        </w:rPr>
        <w:t xml:space="preserve">袁小雷    </w:t>
      </w:r>
      <w:r>
        <w:rPr>
          <w:rFonts w:hint="default" w:ascii="Times New Roman" w:hAnsi="Times New Roman" w:cs="Times New Roman"/>
          <w:iCs/>
          <w:color w:val="auto"/>
          <w:spacing w:val="-10"/>
          <w:sz w:val="24"/>
          <w:szCs w:val="24"/>
          <w:u w:val="single"/>
        </w:rPr>
        <w:tab/>
      </w:r>
      <w:r>
        <w:rPr>
          <w:rFonts w:hint="default" w:ascii="Times New Roman" w:hAnsi="Times New Roman" w:cs="Times New Roman"/>
          <w:color w:val="auto"/>
          <w:spacing w:val="-10"/>
          <w:sz w:val="24"/>
          <w:szCs w:val="24"/>
        </w:rPr>
        <w:t>（盖章）</w:t>
      </w: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联系人：</w:t>
      </w:r>
      <w:r>
        <w:rPr>
          <w:rFonts w:hint="default" w:ascii="Times New Roman" w:hAnsi="Times New Roman" w:cs="Times New Roman"/>
          <w:color w:val="auto"/>
          <w:sz w:val="24"/>
          <w:szCs w:val="24"/>
          <w:u w:val="single"/>
        </w:rPr>
        <w:t xml:space="preserve">    </w:t>
      </w:r>
      <w:r>
        <w:rPr>
          <w:rFonts w:hint="default" w:ascii="Times New Roman" w:hAnsi="Times New Roman" w:cs="Times New Roman"/>
          <w:iCs/>
          <w:color w:val="auto"/>
          <w:sz w:val="24"/>
          <w:szCs w:val="24"/>
          <w:u w:val="single"/>
        </w:rPr>
        <w:t xml:space="preserve">金琴子   </w:t>
      </w:r>
      <w:r>
        <w:rPr>
          <w:rFonts w:hint="default" w:ascii="Times New Roman" w:hAnsi="Times New Roman" w:cs="Times New Roman"/>
          <w:color w:val="auto"/>
          <w:sz w:val="24"/>
          <w:szCs w:val="24"/>
        </w:rPr>
        <w:t>电    话：</w:t>
      </w:r>
      <w:r>
        <w:rPr>
          <w:rFonts w:hint="default" w:ascii="Times New Roman" w:hAnsi="Times New Roman" w:cs="Times New Roman"/>
          <w:color w:val="auto"/>
          <w:sz w:val="24"/>
          <w:szCs w:val="24"/>
          <w:u w:val="single"/>
        </w:rPr>
        <w:t xml:space="preserve">   0575-88682895   </w:t>
      </w: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手  机：</w:t>
      </w:r>
      <w:r>
        <w:rPr>
          <w:rFonts w:hint="default" w:ascii="Times New Roman" w:hAnsi="Times New Roman" w:cs="Times New Roman"/>
          <w:color w:val="auto"/>
          <w:sz w:val="24"/>
          <w:szCs w:val="24"/>
          <w:u w:val="single"/>
        </w:rPr>
        <w:t xml:space="preserve">  18969515361  </w:t>
      </w:r>
    </w:p>
    <w:p>
      <w:pPr>
        <w:spacing w:line="560" w:lineRule="exact"/>
        <w:ind w:firstLine="840" w:firstLineChars="35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签发日期：</w:t>
      </w:r>
      <w:r>
        <w:rPr>
          <w:rFonts w:hint="default" w:ascii="Times New Roman" w:hAnsi="Times New Roman" w:cs="Times New Roman"/>
          <w:color w:val="auto"/>
          <w:sz w:val="24"/>
          <w:szCs w:val="24"/>
          <w:u w:val="single"/>
        </w:rPr>
        <w:t xml:space="preserve">  </w:t>
      </w:r>
      <w:r>
        <w:rPr>
          <w:rFonts w:hint="default" w:ascii="Times New Roman" w:hAnsi="Times New Roman" w:cs="Times New Roman"/>
          <w:iCs/>
          <w:color w:val="auto"/>
          <w:sz w:val="24"/>
          <w:szCs w:val="24"/>
          <w:u w:val="single"/>
        </w:rPr>
        <w:t xml:space="preserve">2021  </w:t>
      </w:r>
      <w:r>
        <w:rPr>
          <w:rFonts w:hint="default" w:ascii="Times New Roman" w:hAnsi="Times New Roman" w:cs="Times New Roman"/>
          <w:color w:val="auto"/>
          <w:sz w:val="24"/>
          <w:szCs w:val="24"/>
        </w:rPr>
        <w:t>年</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月</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日</w:t>
      </w:r>
    </w:p>
    <w:p>
      <w:pPr>
        <w:spacing w:line="560" w:lineRule="exact"/>
        <w:rPr>
          <w:rFonts w:hint="default" w:ascii="Times New Roman" w:hAnsi="Times New Roman" w:cs="Times New Roman"/>
          <w:color w:val="auto"/>
          <w:sz w:val="24"/>
          <w:szCs w:val="24"/>
          <w:u w:val="single"/>
        </w:rPr>
      </w:pPr>
    </w:p>
    <w:p>
      <w:pPr>
        <w:pStyle w:val="36"/>
        <w:spacing w:line="560" w:lineRule="exact"/>
        <w:ind w:firstLine="0" w:firstLineChars="0"/>
        <w:rPr>
          <w:rFonts w:hint="default" w:ascii="Times New Roman" w:hAnsi="Times New Roman" w:cs="Times New Roman"/>
          <w:color w:val="auto"/>
          <w:sz w:val="24"/>
          <w:szCs w:val="24"/>
        </w:rPr>
      </w:pPr>
    </w:p>
    <w:p>
      <w:pPr>
        <w:rPr>
          <w:rFonts w:hint="default" w:ascii="Times New Roman" w:hAnsi="Times New Roman" w:cs="Times New Roman"/>
          <w:color w:val="auto"/>
        </w:rPr>
      </w:pPr>
    </w:p>
    <w:p>
      <w:pPr>
        <w:spacing w:line="560" w:lineRule="exact"/>
        <w:ind w:firstLine="840" w:firstLineChars="35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备案单位：</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（盖章）</w:t>
      </w:r>
    </w:p>
    <w:p>
      <w:pPr>
        <w:spacing w:line="560" w:lineRule="exact"/>
        <w:ind w:firstLine="840" w:firstLineChars="35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备案经办人：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（签字）</w:t>
      </w:r>
    </w:p>
    <w:p>
      <w:pPr>
        <w:spacing w:line="560" w:lineRule="exact"/>
        <w:ind w:firstLine="840" w:firstLineChars="350"/>
        <w:jc w:val="left"/>
        <w:rPr>
          <w:rFonts w:hint="default" w:ascii="Times New Roman" w:hAnsi="Times New Roman" w:cs="Times New Roman"/>
          <w:color w:val="auto"/>
          <w:sz w:val="24"/>
          <w:szCs w:val="24"/>
        </w:rPr>
        <w:sectPr>
          <w:footerReference r:id="rId3" w:type="default"/>
          <w:pgSz w:w="11910" w:h="16840"/>
          <w:pgMar w:top="1440" w:right="1134" w:bottom="1440" w:left="1134" w:header="720" w:footer="720" w:gutter="0"/>
          <w:pgNumType w:start="0"/>
          <w:cols w:space="720" w:num="1"/>
          <w:titlePg/>
        </w:sectPr>
      </w:pPr>
      <w:r>
        <w:rPr>
          <w:rFonts w:hint="default" w:ascii="Times New Roman" w:hAnsi="Times New Roman" w:cs="Times New Roman"/>
          <w:color w:val="auto"/>
          <w:sz w:val="24"/>
          <w:szCs w:val="24"/>
        </w:rPr>
        <w:t>备案日期：</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年</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月</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日</w:t>
      </w:r>
    </w:p>
    <w:p>
      <w:pPr>
        <w:pStyle w:val="4"/>
        <w:spacing w:beforeLines="50" w:afterLines="100"/>
        <w:rPr>
          <w:rFonts w:hint="default" w:ascii="Times New Roman" w:hAnsi="Times New Roman" w:cs="Times New Roman" w:eastAsiaTheme="minorEastAsia"/>
          <w:color w:val="auto"/>
          <w:sz w:val="36"/>
          <w:szCs w:val="36"/>
        </w:rPr>
      </w:pPr>
      <w:r>
        <w:rPr>
          <w:rFonts w:hint="default" w:ascii="Times New Roman" w:hAnsi="Times New Roman" w:cs="Times New Roman" w:eastAsiaTheme="minorEastAsia"/>
          <w:color w:val="auto"/>
          <w:sz w:val="36"/>
          <w:szCs w:val="36"/>
        </w:rPr>
        <w:t>目  录</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第一章  招标公告 </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第二章  投标人须知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第一节投标人须知前附表 </w:t>
      </w:r>
    </w:p>
    <w:p>
      <w:pPr>
        <w:pStyle w:val="55"/>
        <w:keepNext w:val="0"/>
        <w:keepLines w:val="0"/>
        <w:pageBreakBefore w:val="0"/>
        <w:widowControl w:val="0"/>
        <w:kinsoku/>
        <w:wordWrap/>
        <w:overflowPunct/>
        <w:topLinePunct w:val="0"/>
        <w:autoSpaceDE/>
        <w:autoSpaceDN/>
        <w:bidi w:val="0"/>
        <w:adjustRightInd/>
        <w:snapToGrid/>
        <w:ind w:firstLine="1260" w:firstLineChars="60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第二节投标人须知</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附表一：开标记录表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附表二：问题澄清通知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附表三：问题的澄清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附表四：中标通知书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附表五：中标结果通知书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附表六：确认通知 </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第三章  评标办法（综合评估法）</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第四章  合同条款及格式</w:t>
      </w:r>
    </w:p>
    <w:p>
      <w:pPr>
        <w:pStyle w:val="55"/>
        <w:keepNext w:val="0"/>
        <w:keepLines w:val="0"/>
        <w:pageBreakBefore w:val="0"/>
        <w:widowControl w:val="0"/>
        <w:kinsoku/>
        <w:wordWrap/>
        <w:overflowPunct/>
        <w:topLinePunct w:val="0"/>
        <w:autoSpaceDE/>
        <w:autoSpaceDN/>
        <w:bidi w:val="0"/>
        <w:adjustRightInd/>
        <w:snapToGrid/>
        <w:ind w:firstLine="720" w:firstLineChars="300"/>
        <w:textAlignment w:val="auto"/>
        <w:rPr>
          <w:rFonts w:hint="default" w:ascii="Times New Roman" w:hAnsi="Times New Roman" w:cs="Times New Roman"/>
          <w:color w:val="auto"/>
          <w:lang w:val="en-US"/>
        </w:rPr>
      </w:pPr>
      <w:r>
        <w:rPr>
          <w:rFonts w:hint="default" w:ascii="Times New Roman" w:hAnsi="Times New Roman" w:cs="Times New Roman"/>
          <w:color w:val="auto"/>
          <w:szCs w:val="24"/>
        </w:rPr>
        <w:t>第五章</w:t>
      </w:r>
      <w:r>
        <w:rPr>
          <w:rFonts w:hint="default" w:ascii="Times New Roman" w:hAnsi="Times New Roman" w:cs="Times New Roman"/>
          <w:color w:val="auto"/>
          <w:szCs w:val="24"/>
          <w:lang w:val="en-US"/>
        </w:rPr>
        <w:t xml:space="preserve">  图纸</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第六章  技术标准和要求</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第七章  投标文件格式</w:t>
      </w:r>
    </w:p>
    <w:p>
      <w:pPr>
        <w:pStyle w:val="4"/>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br w:type="page"/>
      </w:r>
      <w:r>
        <w:rPr>
          <w:rFonts w:hint="default" w:ascii="Times New Roman" w:hAnsi="Times New Roman" w:cs="Times New Roman" w:eastAsiaTheme="minorEastAsia"/>
          <w:color w:val="auto"/>
        </w:rPr>
        <w:t>第一章 招标公告</w:t>
      </w:r>
      <w:bookmarkEnd w:id="0"/>
    </w:p>
    <w:p>
      <w:pPr>
        <w:spacing w:line="360" w:lineRule="exact"/>
        <w:ind w:firstLine="440" w:firstLineChars="200"/>
        <w:jc w:val="center"/>
        <w:rPr>
          <w:rFonts w:hint="default" w:ascii="Times New Roman" w:hAnsi="Times New Roman" w:cs="Times New Roman"/>
          <w:color w:val="auto"/>
          <w:sz w:val="22"/>
          <w:u w:val="single"/>
        </w:rPr>
      </w:pPr>
      <w:r>
        <w:rPr>
          <w:rFonts w:hint="default" w:ascii="Times New Roman" w:hAnsi="Times New Roman" w:cs="Times New Roman"/>
          <w:color w:val="auto"/>
          <w:sz w:val="22"/>
          <w:u w:val="single"/>
        </w:rPr>
        <w:t>绍兴市中医院改扩建工程EPC总承包内手术室吊塔</w:t>
      </w:r>
    </w:p>
    <w:p>
      <w:pPr>
        <w:spacing w:afterLines="50" w:line="360" w:lineRule="exact"/>
        <w:ind w:firstLine="442" w:firstLineChars="200"/>
        <w:jc w:val="center"/>
        <w:rPr>
          <w:rFonts w:hint="default" w:ascii="Times New Roman" w:hAnsi="Times New Roman" w:cs="Times New Roman"/>
          <w:color w:val="auto"/>
          <w:sz w:val="18"/>
          <w:szCs w:val="18"/>
          <w:u w:val="single"/>
        </w:rPr>
      </w:pPr>
      <w:r>
        <w:rPr>
          <w:rFonts w:hint="default" w:ascii="Times New Roman" w:hAnsi="Times New Roman" w:cs="Times New Roman"/>
          <w:b/>
          <w:color w:val="auto"/>
          <w:sz w:val="22"/>
        </w:rPr>
        <w:t>招标公告</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1.招标条件</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本招标项目</w:t>
      </w:r>
      <w:r>
        <w:rPr>
          <w:rFonts w:hint="default" w:ascii="Times New Roman" w:hAnsi="Times New Roman" w:cs="Times New Roman"/>
          <w:b/>
          <w:bCs/>
          <w:color w:val="auto"/>
          <w:szCs w:val="21"/>
          <w:u w:val="single"/>
        </w:rPr>
        <w:t>绍兴市中医院改扩建工程</w:t>
      </w:r>
      <w:r>
        <w:rPr>
          <w:rFonts w:hint="default" w:ascii="Times New Roman" w:hAnsi="Times New Roman" w:cs="Times New Roman"/>
          <w:color w:val="auto"/>
          <w:szCs w:val="21"/>
        </w:rPr>
        <w:t>（项目名称）已由</w:t>
      </w:r>
      <w:r>
        <w:rPr>
          <w:rFonts w:hint="default" w:ascii="Times New Roman" w:hAnsi="Times New Roman" w:cs="Times New Roman"/>
          <w:b/>
          <w:color w:val="auto"/>
          <w:szCs w:val="21"/>
          <w:u w:val="single"/>
        </w:rPr>
        <w:t>绍兴市发展和改革委员会</w:t>
      </w:r>
      <w:r>
        <w:rPr>
          <w:rFonts w:hint="default" w:ascii="Times New Roman" w:hAnsi="Times New Roman" w:cs="Times New Roman"/>
          <w:color w:val="auto"/>
          <w:szCs w:val="21"/>
          <w:u w:val="single"/>
        </w:rPr>
        <w:t>（</w:t>
      </w:r>
      <w:r>
        <w:rPr>
          <w:rFonts w:hint="default" w:ascii="Times New Roman" w:hAnsi="Times New Roman" w:cs="Times New Roman"/>
          <w:color w:val="auto"/>
          <w:szCs w:val="21"/>
        </w:rPr>
        <w:t>项目审批、核准或备案机关名称）以</w:t>
      </w:r>
      <w:r>
        <w:rPr>
          <w:rFonts w:hint="default" w:ascii="Times New Roman" w:hAnsi="Times New Roman" w:cs="Times New Roman"/>
          <w:b/>
          <w:color w:val="auto"/>
          <w:szCs w:val="21"/>
          <w:u w:val="single"/>
        </w:rPr>
        <w:t>绍市发改中心〔2018〕49号</w:t>
      </w:r>
      <w:r>
        <w:rPr>
          <w:rFonts w:hint="default" w:ascii="Times New Roman" w:hAnsi="Times New Roman" w:cs="Times New Roman"/>
          <w:color w:val="auto"/>
          <w:szCs w:val="21"/>
        </w:rPr>
        <w:t>（批文名称及编号）批准建设，项目业主为</w:t>
      </w:r>
      <w:r>
        <w:rPr>
          <w:rFonts w:hint="default" w:ascii="Times New Roman" w:hAnsi="Times New Roman" w:cs="Times New Roman"/>
          <w:b/>
          <w:iCs/>
          <w:color w:val="auto"/>
          <w:szCs w:val="21"/>
          <w:u w:val="single"/>
        </w:rPr>
        <w:t>绍兴市中医院</w:t>
      </w:r>
      <w:r>
        <w:rPr>
          <w:rFonts w:hint="default" w:ascii="Times New Roman" w:hAnsi="Times New Roman" w:cs="Times New Roman"/>
          <w:color w:val="auto"/>
          <w:szCs w:val="21"/>
        </w:rPr>
        <w:t>，建设资金来自</w:t>
      </w:r>
      <w:r>
        <w:rPr>
          <w:rFonts w:hint="default" w:ascii="Times New Roman" w:hAnsi="Times New Roman" w:cs="Times New Roman"/>
          <w:b/>
          <w:color w:val="auto"/>
          <w:szCs w:val="21"/>
          <w:u w:val="single"/>
        </w:rPr>
        <w:t>财政拨款</w:t>
      </w:r>
      <w:r>
        <w:rPr>
          <w:rFonts w:hint="default" w:ascii="Times New Roman" w:hAnsi="Times New Roman" w:cs="Times New Roman"/>
          <w:color w:val="auto"/>
          <w:szCs w:val="21"/>
        </w:rPr>
        <w:t>（资金来源），项目出资比例为</w:t>
      </w:r>
      <w:r>
        <w:rPr>
          <w:rFonts w:hint="default" w:ascii="Times New Roman" w:hAnsi="Times New Roman" w:cs="Times New Roman"/>
          <w:b/>
          <w:color w:val="auto"/>
          <w:szCs w:val="21"/>
          <w:u w:val="single"/>
        </w:rPr>
        <w:t>100%</w:t>
      </w:r>
      <w:r>
        <w:rPr>
          <w:rFonts w:hint="default" w:ascii="Times New Roman" w:hAnsi="Times New Roman" w:cs="Times New Roman"/>
          <w:color w:val="auto"/>
          <w:szCs w:val="21"/>
        </w:rPr>
        <w:t>，招标人为</w:t>
      </w:r>
      <w:r>
        <w:rPr>
          <w:rFonts w:hint="default" w:ascii="Times New Roman" w:hAnsi="Times New Roman" w:cs="Times New Roman"/>
          <w:b/>
          <w:iCs/>
          <w:color w:val="auto"/>
          <w:szCs w:val="21"/>
          <w:u w:val="single"/>
        </w:rPr>
        <w:t>浙江中成建工集团有限公司</w:t>
      </w:r>
      <w:r>
        <w:rPr>
          <w:rFonts w:hint="default" w:ascii="Times New Roman" w:hAnsi="Times New Roman" w:cs="Times New Roman"/>
          <w:color w:val="auto"/>
          <w:szCs w:val="21"/>
        </w:rPr>
        <w:t>。项目已具备招标条件，现对该项目的</w:t>
      </w:r>
      <w:r>
        <w:rPr>
          <w:rFonts w:hint="default" w:ascii="Times New Roman" w:hAnsi="Times New Roman" w:cs="Times New Roman"/>
          <w:color w:val="auto"/>
          <w:szCs w:val="21"/>
          <w:u w:val="single"/>
        </w:rPr>
        <w:t xml:space="preserve"> 手术室吊塔</w:t>
      </w:r>
      <w:r>
        <w:rPr>
          <w:rFonts w:hint="default" w:ascii="Times New Roman" w:hAnsi="Times New Roman" w:cs="Times New Roman"/>
          <w:color w:val="auto"/>
          <w:szCs w:val="21"/>
        </w:rPr>
        <w:t>进</w:t>
      </w:r>
      <w:r>
        <w:rPr>
          <w:rFonts w:hint="default" w:ascii="Times New Roman" w:hAnsi="Times New Roman" w:cs="Times New Roman"/>
          <w:color w:val="auto"/>
          <w:szCs w:val="21"/>
          <w:u w:val="single"/>
        </w:rPr>
        <w:t xml:space="preserve">行 </w:t>
      </w:r>
      <w:r>
        <w:rPr>
          <w:rFonts w:hint="default" w:ascii="Times New Roman" w:hAnsi="Times New Roman" w:cs="Times New Roman"/>
          <w:b/>
          <w:color w:val="auto"/>
          <w:szCs w:val="21"/>
          <w:u w:val="single"/>
        </w:rPr>
        <w:t xml:space="preserve">公开 </w:t>
      </w:r>
      <w:r>
        <w:rPr>
          <w:rFonts w:hint="default" w:ascii="Times New Roman" w:hAnsi="Times New Roman" w:cs="Times New Roman"/>
          <w:color w:val="auto"/>
          <w:szCs w:val="21"/>
        </w:rPr>
        <w:t>招标。</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2.项目概况与招标范围</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2.1 建设地点：</w:t>
      </w:r>
      <w:r>
        <w:rPr>
          <w:rFonts w:hint="default" w:ascii="Times New Roman" w:hAnsi="Times New Roman" w:cs="Times New Roman"/>
          <w:b/>
          <w:color w:val="auto"/>
          <w:szCs w:val="21"/>
          <w:u w:val="single"/>
        </w:rPr>
        <w:t>项目位于越城区稽山路以东、环城东路及新世纪公寓以西、人民中路以北、东街以南地块</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 建设规模：</w:t>
      </w:r>
      <w:r>
        <w:rPr>
          <w:rFonts w:hint="default" w:ascii="Times New Roman" w:hAnsi="Times New Roman" w:cs="Times New Roman"/>
          <w:color w:val="auto"/>
          <w:szCs w:val="21"/>
          <w:u w:val="single"/>
        </w:rPr>
        <w:t>改扩建工程项目总用地面积43044平方米（其中扩建区用地面积25006平方米，改建区用地面积18038平方米）；总建筑面积104880平方米，其中：东、中改建区地上建筑面积34573平方米，地下建筑面积7141平方米，西区扩建区地上建筑面积39727平方米，地下建筑面积23433平方米（含三等人防医疗工程救护站1845平方米）。工程费用约56016万元</w:t>
      </w:r>
      <w:r>
        <w:rPr>
          <w:rFonts w:hint="default" w:ascii="Times New Roman" w:hAnsi="Times New Roman" w:cs="Times New Roman"/>
          <w:b/>
          <w:bCs/>
          <w:color w:val="auto"/>
          <w:szCs w:val="21"/>
          <w:u w:val="single"/>
        </w:rPr>
        <w:t>。</w:t>
      </w:r>
      <w:r>
        <w:rPr>
          <w:rFonts w:hint="default" w:ascii="Times New Roman" w:hAnsi="Times New Roman" w:cs="Times New Roman"/>
          <w:color w:val="auto"/>
          <w:szCs w:val="21"/>
        </w:rPr>
        <w:t>招标上限价</w:t>
      </w:r>
      <w:r>
        <w:rPr>
          <w:rFonts w:hint="default" w:ascii="Times New Roman" w:hAnsi="Times New Roman" w:cs="Times New Roman"/>
          <w:color w:val="auto"/>
          <w:szCs w:val="21"/>
        </w:rPr>
        <w:t>：</w:t>
      </w:r>
      <w:r>
        <w:rPr>
          <w:rFonts w:hint="default" w:ascii="Times New Roman" w:hAnsi="Times New Roman" w:cs="Times New Roman"/>
          <w:b/>
          <w:color w:val="auto"/>
          <w:szCs w:val="21"/>
          <w:u w:val="single"/>
        </w:rPr>
        <w:t>300万元</w:t>
      </w:r>
      <w:r>
        <w:rPr>
          <w:rFonts w:hint="default" w:ascii="Times New Roman" w:hAnsi="Times New Roman" w:cs="Times New Roman"/>
          <w:color w:val="auto"/>
          <w:szCs w:val="21"/>
        </w:rPr>
        <w:t>。</w:t>
      </w:r>
    </w:p>
    <w:p>
      <w:pPr>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2.3 招标范围：</w:t>
      </w:r>
      <w:r>
        <w:rPr>
          <w:rFonts w:hint="default" w:ascii="Times New Roman" w:hAnsi="Times New Roman" w:cs="Times New Roman"/>
          <w:color w:val="auto"/>
          <w:szCs w:val="21"/>
          <w:u w:val="single"/>
        </w:rPr>
        <w:t>本招标项目为</w:t>
      </w:r>
      <w:r>
        <w:rPr>
          <w:rFonts w:hint="default" w:ascii="Times New Roman" w:hAnsi="Times New Roman" w:cs="Times New Roman"/>
          <w:color w:val="auto"/>
          <w:u w:val="single"/>
        </w:rPr>
        <w:t>交钥匙工程</w:t>
      </w:r>
      <w:r>
        <w:rPr>
          <w:rFonts w:hint="default" w:ascii="Times New Roman" w:hAnsi="Times New Roman" w:cs="Times New Roman"/>
          <w:color w:val="auto"/>
          <w:szCs w:val="21"/>
          <w:u w:val="single"/>
        </w:rPr>
        <w:t>，包括绍兴市中医院改扩建工程内手术室吊塔的深化设计及施工，具体内容包括但不限于：完成按业主需求的施工图和技术规范要求的全部内容，包括</w:t>
      </w:r>
      <w:r>
        <w:rPr>
          <w:rFonts w:hint="default" w:ascii="Times New Roman" w:hAnsi="Times New Roman" w:cs="Times New Roman"/>
          <w:color w:val="auto"/>
          <w:u w:val="single"/>
        </w:rPr>
        <w:t>招标范围内的设备材料的供货、运输、卸货、保管、施工、安装调试、检测、试运行等，</w:t>
      </w:r>
      <w:r>
        <w:rPr>
          <w:rFonts w:hint="default" w:ascii="Times New Roman" w:hAnsi="Times New Roman" w:cs="Times New Roman"/>
          <w:color w:val="auto"/>
          <w:szCs w:val="21"/>
          <w:u w:val="single"/>
        </w:rPr>
        <w:t>如有图纸、清单不明确或缺项的内容须无条件按业主要求进行设计和施工，</w:t>
      </w:r>
      <w:r>
        <w:rPr>
          <w:rFonts w:hint="default" w:ascii="Times New Roman" w:hAnsi="Times New Roman" w:cs="Times New Roman"/>
          <w:color w:val="auto"/>
          <w:u w:val="single"/>
        </w:rPr>
        <w:t>并最终通过验收</w:t>
      </w:r>
      <w:r>
        <w:rPr>
          <w:rFonts w:hint="default" w:ascii="Times New Roman" w:hAnsi="Times New Roman" w:cs="Times New Roman"/>
          <w:color w:val="auto"/>
          <w:szCs w:val="21"/>
          <w:u w:val="single"/>
        </w:rPr>
        <w:t>；同时负责技术服务与培训，提交相关完整的技术资料（含操作手册）、施工技术档案以及质保期内的维修保养（含质保期内的维保人员驻点服务）等内容。具体详见招标文件技术标准和要求。</w:t>
      </w:r>
    </w:p>
    <w:p>
      <w:pPr>
        <w:widowControl/>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2.4计划工期：120天（中标通知书发出之日起开始），与净化工程同步。</w:t>
      </w:r>
    </w:p>
    <w:p>
      <w:pPr>
        <w:widowControl/>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2.5 质量要求：合格，并一次性通过相关机构检测。配合总承包单位争创钱江杯、鲁班奖。</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2.6标段划分：</w:t>
      </w:r>
      <w:r>
        <w:rPr>
          <w:rFonts w:hint="default" w:ascii="Times New Roman" w:hAnsi="Times New Roman" w:cs="Times New Roman"/>
          <w:b/>
          <w:color w:val="auto"/>
          <w:szCs w:val="21"/>
          <w:u w:val="single"/>
        </w:rPr>
        <w:t xml:space="preserve">/ </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2.7资格审查方式：</w:t>
      </w:r>
      <w:r>
        <w:rPr>
          <w:rFonts w:hint="default" w:ascii="Times New Roman" w:hAnsi="Times New Roman" w:cs="Times New Roman"/>
          <w:b/>
          <w:iCs/>
          <w:color w:val="auto"/>
          <w:szCs w:val="21"/>
          <w:u w:val="single"/>
        </w:rPr>
        <w:t>资格后审</w:t>
      </w:r>
      <w:r>
        <w:rPr>
          <w:rFonts w:hint="default" w:ascii="Times New Roman" w:hAnsi="Times New Roman" w:cs="Times New Roman"/>
          <w:color w:val="auto"/>
          <w:szCs w:val="21"/>
        </w:rPr>
        <w:t xml:space="preserve">。  </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3.投标人资格要求 </w:t>
      </w:r>
    </w:p>
    <w:p>
      <w:pPr>
        <w:widowControl/>
        <w:spacing w:line="360" w:lineRule="exact"/>
        <w:ind w:firstLine="420" w:firstLineChars="200"/>
        <w:rPr>
          <w:rFonts w:hint="default" w:ascii="Times New Roman" w:hAnsi="Times New Roman" w:cs="Times New Roman"/>
          <w:color w:val="auto"/>
          <w:szCs w:val="21"/>
          <w:lang w:val="en-US"/>
        </w:rPr>
      </w:pPr>
      <w:r>
        <w:rPr>
          <w:rFonts w:hint="default" w:ascii="Times New Roman" w:hAnsi="Times New Roman" w:cs="Times New Roman"/>
          <w:color w:val="auto"/>
          <w:szCs w:val="21"/>
        </w:rPr>
        <w:t>3.1 本次招标要求投标人具备</w:t>
      </w:r>
      <w:r>
        <w:rPr>
          <w:rFonts w:hint="default" w:ascii="Times New Roman" w:hAnsi="Times New Roman" w:cs="Times New Roman"/>
          <w:color w:val="auto"/>
          <w:szCs w:val="21"/>
          <w:u w:val="single"/>
          <w:lang w:val="en-US" w:eastAsia="zh-CN"/>
        </w:rPr>
        <w:t xml:space="preserve"> / 。</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3.2主要设备、材料要求：</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3.3其他要求：</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3.3.1企业具有绍兴市公共资源交易中心工程建设项目</w:t>
      </w:r>
      <w:r>
        <w:rPr>
          <w:rFonts w:hint="default" w:ascii="Times New Roman" w:hAnsi="Times New Roman" w:cs="Times New Roman"/>
          <w:b/>
          <w:color w:val="auto"/>
          <w:szCs w:val="21"/>
          <w:u w:val="single"/>
        </w:rPr>
        <w:t>2021</w:t>
      </w:r>
      <w:r>
        <w:rPr>
          <w:rFonts w:hint="default" w:ascii="Times New Roman" w:hAnsi="Times New Roman" w:cs="Times New Roman"/>
          <w:bCs/>
          <w:color w:val="auto"/>
          <w:szCs w:val="21"/>
        </w:rPr>
        <w:t>年度登记</w:t>
      </w:r>
      <w:r>
        <w:rPr>
          <w:rFonts w:hint="default" w:ascii="Times New Roman" w:hAnsi="Times New Roman" w:cs="Times New Roman"/>
          <w:color w:val="auto"/>
          <w:szCs w:val="21"/>
        </w:rPr>
        <w:t>资格并在有效期内。</w:t>
      </w:r>
    </w:p>
    <w:p>
      <w:pPr>
        <w:widowControl/>
        <w:spacing w:line="360" w:lineRule="exact"/>
        <w:ind w:firstLine="420" w:firstLineChars="200"/>
        <w:rPr>
          <w:rStyle w:val="133"/>
          <w:rFonts w:hint="default" w:ascii="Times New Roman" w:hAnsi="Times New Roman" w:cs="Times New Roman"/>
          <w:b/>
          <w:bCs/>
          <w:strike/>
          <w:color w:val="auto"/>
          <w:sz w:val="22"/>
        </w:rPr>
      </w:pPr>
      <w:r>
        <w:rPr>
          <w:rFonts w:hint="default" w:ascii="Times New Roman" w:hAnsi="Times New Roman" w:cs="Times New Roman"/>
          <w:strike/>
          <w:color w:val="auto"/>
          <w:szCs w:val="21"/>
        </w:rPr>
        <w:t>3.3.2企业需要</w:t>
      </w:r>
      <w:r>
        <w:rPr>
          <w:rFonts w:hint="default" w:ascii="Times New Roman" w:hAnsi="Times New Roman" w:cs="Times New Roman"/>
          <w:b/>
          <w:strike/>
          <w:color w:val="auto"/>
          <w:szCs w:val="21"/>
          <w:u w:val="single"/>
        </w:rPr>
        <w:t>经浙江省住建厅备案（省内企业不作要求）（有效期内）</w:t>
      </w:r>
      <w:r>
        <w:rPr>
          <w:rFonts w:hint="default" w:ascii="Times New Roman" w:hAnsi="Times New Roman" w:cs="Times New Roman"/>
          <w:strike/>
          <w:color w:val="auto"/>
          <w:szCs w:val="21"/>
        </w:rPr>
        <w:t>。</w:t>
      </w:r>
    </w:p>
    <w:p>
      <w:pPr>
        <w:widowControl/>
        <w:spacing w:line="360" w:lineRule="exact"/>
        <w:ind w:firstLine="420" w:firstLineChars="200"/>
        <w:rPr>
          <w:rFonts w:hint="default" w:ascii="Times New Roman" w:hAnsi="Times New Roman" w:cs="Times New Roman"/>
          <w:strike/>
          <w:dstrike w:val="0"/>
          <w:color w:val="auto"/>
          <w:szCs w:val="21"/>
        </w:rPr>
      </w:pPr>
      <w:r>
        <w:rPr>
          <w:rFonts w:hint="default" w:ascii="Times New Roman" w:hAnsi="Times New Roman" w:cs="Times New Roman"/>
          <w:strike/>
          <w:dstrike w:val="0"/>
          <w:color w:val="auto"/>
          <w:szCs w:val="21"/>
        </w:rPr>
        <w:t>3.3.3企业在</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年</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月</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日前与</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签订劳动者工资保障金管理协议。</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3.3.4企业</w:t>
      </w:r>
      <w:r>
        <w:rPr>
          <w:rFonts w:hint="default" w:ascii="Times New Roman" w:hAnsi="Times New Roman" w:cs="Times New Roman"/>
          <w:strike/>
          <w:color w:val="auto"/>
          <w:szCs w:val="21"/>
        </w:rPr>
        <w:t>和项目负责人</w:t>
      </w:r>
      <w:r>
        <w:rPr>
          <w:rFonts w:hint="default" w:ascii="Times New Roman" w:hAnsi="Times New Roman" w:cs="Times New Roman"/>
          <w:color w:val="auto"/>
          <w:szCs w:val="21"/>
        </w:rPr>
        <w:t>近</w:t>
      </w:r>
      <w:r>
        <w:rPr>
          <w:rFonts w:hint="default" w:ascii="Times New Roman" w:hAnsi="Times New Roman" w:cs="Times New Roman"/>
          <w:b/>
          <w:bCs/>
          <w:color w:val="auto"/>
          <w:szCs w:val="21"/>
          <w:u w:val="single"/>
        </w:rPr>
        <w:t xml:space="preserve"> 五 </w:t>
      </w:r>
      <w:r>
        <w:rPr>
          <w:rFonts w:hint="default" w:ascii="Times New Roman" w:hAnsi="Times New Roman" w:cs="Times New Roman"/>
          <w:color w:val="auto"/>
          <w:szCs w:val="21"/>
        </w:rPr>
        <w:t>年无行贿犯罪记录（投标人提供承诺书）。</w:t>
      </w:r>
    </w:p>
    <w:p>
      <w:pPr>
        <w:pStyle w:val="2"/>
        <w:spacing w:line="360" w:lineRule="exact"/>
        <w:ind w:firstLine="420" w:firstLineChars="200"/>
        <w:rPr>
          <w:rFonts w:hint="default" w:ascii="Times New Roman" w:hAnsi="Times New Roman" w:cs="Times New Roman"/>
          <w:color w:val="auto"/>
          <w:sz w:val="21"/>
          <w:szCs w:val="21"/>
          <w:u w:val="single"/>
          <w:shd w:val="clear" w:color="auto" w:fill="FFFFFF"/>
        </w:rPr>
      </w:pPr>
      <w:r>
        <w:rPr>
          <w:rFonts w:hint="default" w:ascii="Times New Roman" w:hAnsi="Times New Roman" w:cs="Times New Roman"/>
          <w:color w:val="auto"/>
          <w:sz w:val="21"/>
          <w:szCs w:val="21"/>
        </w:rPr>
        <w:t>3.4 本次招标</w:t>
      </w:r>
      <w:r>
        <w:rPr>
          <w:rFonts w:hint="default" w:ascii="Times New Roman" w:hAnsi="Times New Roman" w:cs="Times New Roman"/>
          <w:color w:val="auto"/>
          <w:sz w:val="21"/>
          <w:szCs w:val="21"/>
          <w:u w:val="single"/>
        </w:rPr>
        <w:t xml:space="preserve"> </w:t>
      </w:r>
      <w:r>
        <w:rPr>
          <w:rFonts w:hint="default" w:ascii="Times New Roman" w:hAnsi="Times New Roman" w:cs="Times New Roman"/>
          <w:b/>
          <w:color w:val="auto"/>
          <w:sz w:val="21"/>
          <w:szCs w:val="21"/>
          <w:u w:val="single"/>
        </w:rPr>
        <w:t xml:space="preserve">不接受 </w:t>
      </w:r>
      <w:r>
        <w:rPr>
          <w:rFonts w:hint="default" w:ascii="Times New Roman" w:hAnsi="Times New Roman" w:cs="Times New Roman"/>
          <w:color w:val="auto"/>
          <w:sz w:val="21"/>
          <w:szCs w:val="21"/>
        </w:rPr>
        <w:t>联合体投标。联合体投标的，应满足下列要求：</w:t>
      </w:r>
      <w:r>
        <w:rPr>
          <w:rFonts w:hint="default" w:ascii="Times New Roman" w:hAnsi="Times New Roman" w:cs="Times New Roman"/>
          <w:color w:val="auto"/>
          <w:sz w:val="21"/>
          <w:szCs w:val="21"/>
          <w:u w:val="single"/>
          <w:shd w:val="clear" w:color="auto" w:fill="FFFFFF"/>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3.5 各投标人均可就上述标段中的</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（具体数量）个标段投标。</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4.招标文件获取</w:t>
      </w:r>
      <w:bookmarkStart w:id="467" w:name="_GoBack"/>
      <w:bookmarkEnd w:id="467"/>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4.1 凡有意参加投标者，请于</w:t>
      </w:r>
      <w:r>
        <w:rPr>
          <w:rFonts w:hint="default" w:ascii="Times New Roman" w:hAnsi="Times New Roman" w:cs="Times New Roman"/>
          <w:color w:val="auto"/>
          <w:szCs w:val="21"/>
          <w:u w:val="single"/>
        </w:rPr>
        <w:t xml:space="preserve"> 2021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时至</w:t>
      </w:r>
      <w:r>
        <w:rPr>
          <w:rFonts w:hint="default" w:ascii="Times New Roman" w:hAnsi="Times New Roman" w:cs="Times New Roman"/>
          <w:bCs/>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时在绍兴市公共资源交易中心新版电子招投标交易平台（http://p.ggb.sx.gov.cn:6081/TPBidder/）自行下载招标文件，截止期后交易平台不再提供下载服务；未在规定时间内获取招标文件的，不接受其投标。</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 招标文件每套售价</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元，售后不退。图纸押金</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元，在退还图纸时退还（不计利息）。</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5.投标保证金</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本工程需缴纳投标保证金</w:t>
      </w:r>
      <w:r>
        <w:rPr>
          <w:rFonts w:hint="default" w:ascii="Times New Roman" w:hAnsi="Times New Roman" w:cs="Times New Roman"/>
          <w:b/>
          <w:color w:val="auto"/>
          <w:szCs w:val="21"/>
          <w:u w:val="single"/>
        </w:rPr>
        <w:t>5</w:t>
      </w:r>
      <w:r>
        <w:rPr>
          <w:rFonts w:hint="default" w:ascii="Times New Roman" w:hAnsi="Times New Roman" w:cs="Times New Roman"/>
          <w:color w:val="auto"/>
          <w:szCs w:val="21"/>
        </w:rPr>
        <w:t>万元, 投标保证金在投标人自行获取招标文件后，在</w:t>
      </w: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17:30</w:t>
      </w:r>
      <w:r>
        <w:rPr>
          <w:rFonts w:hint="default" w:ascii="Times New Roman" w:hAnsi="Times New Roman" w:cs="Times New Roman"/>
          <w:color w:val="auto"/>
          <w:szCs w:val="21"/>
        </w:rPr>
        <w:t>时前缴纳。缴纳方式为：</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1、投标人基本账户开具的银行票据，即汇票、电汇、转账支票等(不包括现金）。保证金缴入账户：账户一：开户单位名称：绍兴市公共资源交易中心保证金专户，开户行:绍兴银行营业部；账号：</w:t>
      </w:r>
      <w:r>
        <w:rPr>
          <w:rFonts w:hint="default" w:ascii="Times New Roman" w:hAnsi="Times New Roman" w:cs="Times New Roman"/>
          <w:color w:val="auto"/>
          <w:szCs w:val="21"/>
          <w:u w:val="single"/>
        </w:rPr>
        <w:t xml:space="preserve"> </w:t>
      </w:r>
      <w:r>
        <w:rPr>
          <w:rStyle w:val="49"/>
          <w:rFonts w:hint="default" w:ascii="Times New Roman" w:hAnsi="Times New Roman" w:eastAsia="宋体" w:cs="Times New Roman"/>
          <w:color w:val="auto"/>
          <w:szCs w:val="21"/>
        </w:rPr>
        <w:t xml:space="preserve">6224861565799003959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；账户二：开户单位名称：绍兴市公共资源交易中心保证金专户，开户行:中信银行绍兴城东支行；账号：</w:t>
      </w:r>
      <w:r>
        <w:rPr>
          <w:rStyle w:val="49"/>
          <w:rFonts w:hint="default" w:ascii="Times New Roman" w:hAnsi="Times New Roman" w:eastAsia="宋体" w:cs="Times New Roman"/>
          <w:color w:val="auto"/>
          <w:szCs w:val="21"/>
        </w:rPr>
        <w:t xml:space="preserve"> 3110810043370000076</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；投标人可自主选择以上账户之一缴纳投标保证金。</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2、招标人接受绍兴市招标投标协会出具的“投标保证金联保证明”作为投标保证金缴纳凭证，投标人不用另行提供。</w:t>
      </w:r>
    </w:p>
    <w:p>
      <w:pPr>
        <w:widowControl/>
        <w:spacing w:line="360" w:lineRule="exact"/>
        <w:ind w:firstLine="420" w:firstLineChars="200"/>
        <w:rPr>
          <w:rFonts w:hint="default" w:ascii="Times New Roman" w:hAnsi="Times New Roman" w:cs="Times New Roman"/>
          <w:bCs/>
          <w:color w:val="auto"/>
          <w:spacing w:val="-2"/>
          <w:szCs w:val="21"/>
        </w:rPr>
      </w:pPr>
      <w:r>
        <w:rPr>
          <w:rFonts w:hint="default" w:ascii="Times New Roman" w:hAnsi="Times New Roman" w:cs="Times New Roman"/>
          <w:color w:val="auto"/>
          <w:szCs w:val="21"/>
        </w:rPr>
        <w:t>3、招标人接受投标保证金电子保险保函。投标人自行在电子招投标交易平台（</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"http://p.ggb.sx.gov.cn:6081/TPBidder/" </w:instrText>
      </w:r>
      <w:r>
        <w:rPr>
          <w:rFonts w:hint="default" w:ascii="Times New Roman" w:hAnsi="Times New Roman" w:cs="Times New Roman"/>
          <w:color w:val="auto"/>
        </w:rPr>
        <w:fldChar w:fldCharType="separate"/>
      </w:r>
      <w:r>
        <w:rPr>
          <w:rStyle w:val="49"/>
          <w:rFonts w:hint="default" w:ascii="Times New Roman" w:hAnsi="Times New Roman" w:cs="Times New Roman"/>
          <w:color w:val="auto"/>
          <w:szCs w:val="21"/>
        </w:rPr>
        <w:t>http://p.ggb.sx.gov.cn:6081/TPBidder/</w:t>
      </w:r>
      <w:r>
        <w:rPr>
          <w:rStyle w:val="49"/>
          <w:rFonts w:hint="default" w:ascii="Times New Roman" w:hAnsi="Times New Roman" w:cs="Times New Roman"/>
          <w:color w:val="auto"/>
          <w:szCs w:val="21"/>
        </w:rPr>
        <w:fldChar w:fldCharType="end"/>
      </w:r>
      <w:r>
        <w:rPr>
          <w:rFonts w:hint="default" w:ascii="Times New Roman" w:hAnsi="Times New Roman" w:cs="Times New Roman"/>
          <w:color w:val="auto"/>
          <w:szCs w:val="21"/>
        </w:rPr>
        <w:t>）中自主选择办理。保险保函费用必须从投标人企业</w:t>
      </w:r>
      <w:r>
        <w:rPr>
          <w:rFonts w:hint="default" w:ascii="Times New Roman" w:hAnsi="Times New Roman" w:cs="Times New Roman"/>
          <w:color w:val="auto"/>
          <w:szCs w:val="21"/>
          <w:shd w:val="clear" w:color="auto" w:fill="FFFFFF"/>
        </w:rPr>
        <w:t>基本账户转出，并在投标保证金缴纳截止时间前</w:t>
      </w:r>
      <w:r>
        <w:rPr>
          <w:rFonts w:hint="default" w:ascii="Times New Roman" w:hAnsi="Times New Roman" w:cs="Times New Roman"/>
          <w:color w:val="auto"/>
          <w:szCs w:val="21"/>
        </w:rPr>
        <w:t>办妥保险保函手续</w:t>
      </w:r>
      <w:r>
        <w:rPr>
          <w:rFonts w:hint="default" w:ascii="Times New Roman" w:hAnsi="Times New Roman" w:cs="Times New Roman"/>
          <w:bCs/>
          <w:color w:val="auto"/>
          <w:spacing w:val="-2"/>
          <w:szCs w:val="21"/>
        </w:rPr>
        <w:t>。</w:t>
      </w:r>
    </w:p>
    <w:p>
      <w:pPr>
        <w:widowControl/>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6.其他有关内容</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6.1评标入围方法：</w:t>
      </w:r>
      <w:r>
        <w:rPr>
          <w:rFonts w:hint="default" w:ascii="Times New Roman" w:hAnsi="Times New Roman" w:cs="Times New Roman"/>
          <w:b/>
          <w:iCs/>
          <w:color w:val="auto"/>
          <w:szCs w:val="21"/>
          <w:u w:val="single"/>
        </w:rPr>
        <w:t>全部入围</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6.2评标方法：</w:t>
      </w:r>
      <w:r>
        <w:rPr>
          <w:rFonts w:hint="default" w:ascii="Times New Roman" w:hAnsi="Times New Roman" w:cs="Times New Roman"/>
          <w:b/>
          <w:iCs/>
          <w:color w:val="auto"/>
          <w:szCs w:val="21"/>
          <w:u w:val="single"/>
        </w:rPr>
        <w:t>综合评估法</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6.3中标方式：</w:t>
      </w:r>
      <w:r>
        <w:rPr>
          <w:rFonts w:hint="default" w:ascii="Times New Roman" w:hAnsi="Times New Roman" w:cs="Times New Roman"/>
          <w:b/>
          <w:iCs/>
          <w:color w:val="auto"/>
          <w:szCs w:val="21"/>
          <w:u w:val="single"/>
        </w:rPr>
        <w:t>最高分中标</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6.4投标文件的递交：投标文件递交的截止时间为</w:t>
      </w:r>
      <w:r>
        <w:rPr>
          <w:rFonts w:hint="default" w:ascii="Times New Roman" w:hAnsi="Times New Roman" w:cs="Times New Roman"/>
          <w:b/>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时，</w:t>
      </w:r>
      <w:r>
        <w:rPr>
          <w:rFonts w:hint="default" w:ascii="Times New Roman" w:hAnsi="Times New Roman" w:cs="Times New Roman"/>
          <w:color w:val="auto"/>
          <w:spacing w:val="-12"/>
          <w:szCs w:val="21"/>
        </w:rPr>
        <w:t>地点为</w:t>
      </w:r>
      <w:r>
        <w:rPr>
          <w:rFonts w:hint="default" w:ascii="Times New Roman" w:hAnsi="Times New Roman" w:cs="Times New Roman"/>
          <w:color w:val="auto"/>
          <w:szCs w:val="21"/>
          <w:u w:val="single"/>
        </w:rPr>
        <w:t>绍兴市公共资源交易中心四楼指定的开标室。</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7.发布公告的媒介    </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本次招标公告同时在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（发布公告的媒介名称）上发布。</w:t>
      </w:r>
    </w:p>
    <w:p>
      <w:pPr>
        <w:widowControl/>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8.若本公告相关内容与正式发出的招标文件不一致，以正式发出的招标文件为准。</w:t>
      </w:r>
    </w:p>
    <w:p>
      <w:pPr>
        <w:widowControl/>
        <w:tabs>
          <w:tab w:val="left" w:pos="2694"/>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9.联系方式 </w:t>
      </w:r>
    </w:p>
    <w:p>
      <w:pPr>
        <w:widowControl/>
        <w:tabs>
          <w:tab w:val="left" w:pos="2694"/>
        </w:tabs>
        <w:spacing w:line="360" w:lineRule="exact"/>
        <w:ind w:right="-134" w:rightChars="-64"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 标 人：</w:t>
      </w:r>
      <w:r>
        <w:rPr>
          <w:rFonts w:hint="default" w:ascii="Times New Roman" w:hAnsi="Times New Roman" w:cs="Times New Roman"/>
          <w:color w:val="auto"/>
          <w:szCs w:val="21"/>
          <w:u w:val="single"/>
        </w:rPr>
        <w:t xml:space="preserve">     浙江中成建工集团有限公司    </w:t>
      </w:r>
      <w:r>
        <w:rPr>
          <w:rFonts w:hint="default" w:ascii="Times New Roman" w:hAnsi="Times New Roman" w:cs="Times New Roman"/>
          <w:color w:val="auto"/>
          <w:szCs w:val="21"/>
        </w:rPr>
        <w:t>招标代理机构：</w:t>
      </w:r>
      <w:r>
        <w:rPr>
          <w:rFonts w:hint="default" w:ascii="Times New Roman" w:hAnsi="Times New Roman" w:cs="Times New Roman"/>
          <w:color w:val="auto"/>
          <w:szCs w:val="21"/>
          <w:u w:val="single"/>
        </w:rPr>
        <w:t xml:space="preserve"> 浙江翔实建设项目管理有限公司  </w:t>
      </w:r>
    </w:p>
    <w:p>
      <w:pPr>
        <w:widowControl/>
        <w:tabs>
          <w:tab w:val="left" w:pos="2694"/>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    址：</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凤林西路123号中成大厦       </w:t>
      </w:r>
      <w:r>
        <w:rPr>
          <w:rFonts w:hint="default" w:ascii="Times New Roman" w:hAnsi="Times New Roman" w:cs="Times New Roman"/>
          <w:color w:val="auto"/>
          <w:szCs w:val="21"/>
        </w:rPr>
        <w:t>地    址：</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绍兴市越城区阳明北路692号</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p>
    <w:p>
      <w:pPr>
        <w:widowControl/>
        <w:tabs>
          <w:tab w:val="left" w:pos="2694"/>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联 系 人：</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冯文君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联 系 人：</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金琴子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p>
    <w:p>
      <w:pPr>
        <w:widowControl/>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电    话：</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15967559599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电    话：</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0575-88682895、18969515361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p>
    <w:p>
      <w:pPr>
        <w:pStyle w:val="2"/>
        <w:rPr>
          <w:rFonts w:hint="default" w:ascii="Times New Roman" w:hAnsi="Times New Roman" w:cs="Times New Roman"/>
          <w:color w:val="auto"/>
        </w:rPr>
      </w:pPr>
    </w:p>
    <w:p>
      <w:pPr>
        <w:widowControl/>
        <w:spacing w:line="360" w:lineRule="exact"/>
        <w:ind w:left="4139" w:leftChars="1971" w:firstLine="420" w:firstLineChars="200"/>
        <w:jc w:val="right"/>
        <w:rPr>
          <w:rFonts w:hint="default" w:ascii="Times New Roman" w:hAnsi="Times New Roman" w:cs="Times New Roman"/>
          <w:b/>
          <w:i/>
          <w:color w:val="auto"/>
          <w:szCs w:val="21"/>
          <w:u w:val="single"/>
        </w:rPr>
      </w:pPr>
      <w:r>
        <w:rPr>
          <w:rFonts w:hint="default" w:ascii="Times New Roman" w:hAnsi="Times New Roman" w:cs="Times New Roman"/>
          <w:color w:val="auto"/>
          <w:szCs w:val="21"/>
        </w:rPr>
        <w:t>招标人：</w:t>
      </w:r>
      <w:r>
        <w:rPr>
          <w:rFonts w:hint="default" w:ascii="Times New Roman" w:hAnsi="Times New Roman" w:cs="Times New Roman"/>
          <w:color w:val="auto"/>
          <w:szCs w:val="21"/>
          <w:u w:val="single"/>
        </w:rPr>
        <w:t>浙江中成建工集团有限公司</w:t>
      </w:r>
    </w:p>
    <w:p>
      <w:pPr>
        <w:widowControl/>
        <w:spacing w:line="360" w:lineRule="exact"/>
        <w:ind w:left="4139" w:leftChars="1971" w:firstLine="420" w:firstLineChars="200"/>
        <w:jc w:val="right"/>
        <w:rPr>
          <w:rFonts w:hint="default" w:ascii="Times New Roman" w:hAnsi="Times New Roman" w:cs="Times New Roman"/>
          <w:color w:val="auto"/>
          <w:szCs w:val="21"/>
        </w:rPr>
      </w:pPr>
      <w:r>
        <w:rPr>
          <w:rFonts w:hint="default" w:ascii="Times New Roman" w:hAnsi="Times New Roman" w:cs="Times New Roman"/>
          <w:color w:val="auto"/>
          <w:szCs w:val="21"/>
        </w:rPr>
        <w:t>招标代理机构：</w:t>
      </w:r>
      <w:r>
        <w:rPr>
          <w:rFonts w:hint="default" w:ascii="Times New Roman" w:hAnsi="Times New Roman" w:cs="Times New Roman"/>
          <w:color w:val="auto"/>
          <w:szCs w:val="21"/>
          <w:u w:val="single"/>
        </w:rPr>
        <w:t>浙江翔实建设项目管理有限公司</w:t>
      </w:r>
    </w:p>
    <w:p>
      <w:pPr>
        <w:widowControl/>
        <w:tabs>
          <w:tab w:val="left" w:pos="2694"/>
        </w:tabs>
        <w:wordWrap w:val="0"/>
        <w:spacing w:line="360" w:lineRule="exact"/>
        <w:ind w:right="-134" w:rightChars="-64" w:firstLine="420" w:firstLineChars="200"/>
        <w:jc w:val="right"/>
        <w:rPr>
          <w:rFonts w:hint="default" w:ascii="Times New Roman" w:hAnsi="Times New Roman" w:cs="Times New Roman"/>
          <w:color w:val="auto"/>
          <w:szCs w:val="21"/>
        </w:rPr>
      </w:pPr>
      <w:r>
        <w:rPr>
          <w:rFonts w:hint="default" w:ascii="Times New Roman" w:hAnsi="Times New Roman" w:cs="Times New Roman"/>
          <w:color w:val="auto"/>
          <w:szCs w:val="21"/>
        </w:rPr>
        <w:t xml:space="preserve">                                                                       </w:t>
      </w: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p>
    <w:p>
      <w:pPr>
        <w:widowControl/>
        <w:spacing w:line="360" w:lineRule="exact"/>
        <w:rPr>
          <w:rFonts w:hint="default" w:ascii="Times New Roman" w:hAnsi="Times New Roman" w:cs="Times New Roman"/>
          <w:color w:val="auto"/>
          <w:szCs w:val="21"/>
        </w:rPr>
      </w:pPr>
    </w:p>
    <w:p>
      <w:pPr>
        <w:widowControl/>
        <w:spacing w:line="360" w:lineRule="exact"/>
        <w:rPr>
          <w:rFonts w:hint="default" w:ascii="Times New Roman" w:hAnsi="Times New Roman" w:cs="Times New Roman"/>
          <w:color w:val="auto"/>
          <w:szCs w:val="21"/>
        </w:rPr>
      </w:pPr>
    </w:p>
    <w:p>
      <w:pPr>
        <w:widowControl/>
        <w:spacing w:line="360" w:lineRule="exact"/>
        <w:ind w:firstLine="630" w:firstLineChars="300"/>
        <w:rPr>
          <w:rFonts w:hint="default" w:ascii="Times New Roman" w:hAnsi="Times New Roman" w:cs="Times New Roman"/>
          <w:color w:val="auto"/>
          <w:szCs w:val="21"/>
          <w:u w:val="single"/>
        </w:rPr>
      </w:pPr>
      <w:r>
        <w:rPr>
          <w:rFonts w:hint="default" w:ascii="Times New Roman" w:hAnsi="Times New Roman" w:cs="Times New Roman"/>
          <w:color w:val="auto"/>
          <w:szCs w:val="21"/>
        </w:rPr>
        <w:t>招标管理机构意见：                                  绍兴市公共资源交易中心意见：</w:t>
      </w:r>
    </w:p>
    <w:p>
      <w:pPr>
        <w:widowControl/>
        <w:spacing w:line="360" w:lineRule="exact"/>
        <w:ind w:firstLine="630" w:firstLineChars="300"/>
        <w:rPr>
          <w:rFonts w:hint="default" w:ascii="Times New Roman" w:hAnsi="Times New Roman" w:cs="Times New Roman"/>
          <w:color w:val="auto"/>
          <w:szCs w:val="21"/>
          <w:u w:val="single"/>
        </w:rPr>
      </w:pPr>
    </w:p>
    <w:p>
      <w:pPr>
        <w:widowControl/>
        <w:tabs>
          <w:tab w:val="left" w:pos="2694"/>
        </w:tabs>
        <w:wordWrap w:val="0"/>
        <w:spacing w:line="360" w:lineRule="exact"/>
        <w:ind w:right="-134" w:rightChars="-64" w:firstLine="840" w:firstLineChars="400"/>
        <w:rPr>
          <w:rFonts w:hint="default" w:ascii="Times New Roman" w:hAnsi="Times New Roman" w:cs="Times New Roman"/>
          <w:color w:val="auto"/>
          <w:szCs w:val="21"/>
        </w:rPr>
      </w:pP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日                                           </w:t>
      </w: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p>
    <w:p>
      <w:pPr>
        <w:widowControl/>
        <w:spacing w:line="360" w:lineRule="exact"/>
        <w:rPr>
          <w:rFonts w:hint="default" w:ascii="Times New Roman" w:hAnsi="Times New Roman" w:cs="Times New Roman"/>
          <w:color w:val="auto"/>
          <w:szCs w:val="21"/>
        </w:rPr>
      </w:pP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备注：1、委托中介机构代理的，尚需提供工程建设项目招标代理业务承接情况表。</w:t>
      </w:r>
    </w:p>
    <w:p>
      <w:pPr>
        <w:spacing w:line="360" w:lineRule="exact"/>
        <w:ind w:firstLine="1050" w:firstLineChars="500"/>
        <w:rPr>
          <w:rFonts w:hint="default" w:ascii="Times New Roman" w:hAnsi="Times New Roman" w:cs="Times New Roman"/>
          <w:color w:val="auto"/>
          <w:szCs w:val="21"/>
        </w:rPr>
      </w:pPr>
      <w:r>
        <w:rPr>
          <w:rFonts w:hint="default" w:ascii="Times New Roman" w:hAnsi="Times New Roman" w:cs="Times New Roman"/>
          <w:color w:val="auto"/>
          <w:szCs w:val="21"/>
        </w:rPr>
        <w:t>2、本表一式三份，招标人、招投标管理机构、中心各一份。</w:t>
      </w:r>
    </w:p>
    <w:p>
      <w:pPr>
        <w:pStyle w:val="4"/>
        <w:rPr>
          <w:rFonts w:hint="default" w:ascii="Times New Roman" w:hAnsi="Times New Roman" w:cs="Times New Roman" w:eastAsiaTheme="minorEastAsia"/>
          <w:color w:val="auto"/>
        </w:rPr>
      </w:pPr>
      <w:r>
        <w:rPr>
          <w:rFonts w:hint="default" w:ascii="Times New Roman" w:hAnsi="Times New Roman" w:cs="Times New Roman"/>
          <w:color w:val="auto"/>
          <w:kern w:val="0"/>
          <w:szCs w:val="21"/>
        </w:rPr>
        <w:br w:type="page"/>
      </w:r>
      <w:bookmarkStart w:id="1" w:name="_Toc21875"/>
      <w:r>
        <w:rPr>
          <w:rFonts w:hint="default" w:ascii="Times New Roman" w:hAnsi="Times New Roman" w:cs="Times New Roman" w:eastAsiaTheme="minorEastAsia"/>
          <w:color w:val="auto"/>
        </w:rPr>
        <w:t>第二章 投标人须知</w:t>
      </w:r>
      <w:bookmarkEnd w:id="1"/>
    </w:p>
    <w:p>
      <w:pPr>
        <w:keepNext/>
        <w:keepLines/>
        <w:spacing w:line="440" w:lineRule="auto"/>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b/>
          <w:bCs/>
          <w:color w:val="auto"/>
          <w:sz w:val="24"/>
          <w:szCs w:val="24"/>
        </w:rPr>
        <w:t>第一节 投标人须知前附表</w:t>
      </w:r>
    </w:p>
    <w:tbl>
      <w:tblPr>
        <w:tblStyle w:val="3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83"/>
        <w:gridCol w:w="2076"/>
        <w:gridCol w:w="6714"/>
        <w:gridCol w:w="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5" w:hRule="atLeast"/>
          <w:jc w:val="center"/>
        </w:trPr>
        <w:tc>
          <w:tcPr>
            <w:tcW w:w="983" w:type="dxa"/>
            <w:shd w:val="clear" w:color="000000" w:fill="FFFFFF"/>
            <w:tcMar>
              <w:left w:w="108" w:type="dxa"/>
              <w:right w:w="108" w:type="dxa"/>
            </w:tcMar>
            <w:vAlign w:val="center"/>
          </w:tcPr>
          <w:p>
            <w:pPr>
              <w:spacing w:beforeLines="50" w:line="440" w:lineRule="auto"/>
              <w:jc w:val="center"/>
              <w:rPr>
                <w:rFonts w:hint="default" w:ascii="Times New Roman" w:hAnsi="Times New Roman" w:cs="Times New Roman"/>
                <w:color w:val="auto"/>
                <w:szCs w:val="21"/>
              </w:rPr>
            </w:pPr>
            <w:r>
              <w:rPr>
                <w:rFonts w:hint="default" w:ascii="Times New Roman" w:hAnsi="Times New Roman" w:cs="Times New Roman"/>
                <w:b/>
                <w:color w:val="auto"/>
                <w:szCs w:val="21"/>
              </w:rPr>
              <w:t>条款号</w:t>
            </w:r>
          </w:p>
        </w:tc>
        <w:tc>
          <w:tcPr>
            <w:tcW w:w="2076" w:type="dxa"/>
            <w:shd w:val="clear" w:color="000000" w:fill="FFFFFF"/>
            <w:tcMar>
              <w:left w:w="108" w:type="dxa"/>
              <w:right w:w="108" w:type="dxa"/>
            </w:tcMar>
            <w:vAlign w:val="center"/>
          </w:tcPr>
          <w:p>
            <w:pPr>
              <w:spacing w:beforeLines="50" w:line="440" w:lineRule="auto"/>
              <w:jc w:val="center"/>
              <w:rPr>
                <w:rFonts w:hint="default" w:ascii="Times New Roman" w:hAnsi="Times New Roman" w:cs="Times New Roman"/>
                <w:color w:val="auto"/>
                <w:szCs w:val="21"/>
              </w:rPr>
            </w:pPr>
            <w:r>
              <w:rPr>
                <w:rFonts w:hint="default" w:ascii="Times New Roman" w:hAnsi="Times New Roman" w:cs="Times New Roman"/>
                <w:b/>
                <w:color w:val="auto"/>
                <w:szCs w:val="21"/>
              </w:rPr>
              <w:t>条款名称</w:t>
            </w:r>
          </w:p>
        </w:tc>
        <w:tc>
          <w:tcPr>
            <w:tcW w:w="6795" w:type="dxa"/>
            <w:gridSpan w:val="2"/>
            <w:shd w:val="clear" w:color="000000" w:fill="FFFFFF"/>
            <w:tcMar>
              <w:left w:w="108" w:type="dxa"/>
              <w:right w:w="108" w:type="dxa"/>
            </w:tcMar>
            <w:vAlign w:val="center"/>
          </w:tcPr>
          <w:p>
            <w:pPr>
              <w:spacing w:beforeLines="50" w:line="440" w:lineRule="auto"/>
              <w:jc w:val="center"/>
              <w:rPr>
                <w:rFonts w:hint="default" w:ascii="Times New Roman" w:hAnsi="Times New Roman" w:cs="Times New Roman"/>
                <w:color w:val="auto"/>
                <w:szCs w:val="21"/>
              </w:rPr>
            </w:pPr>
            <w:r>
              <w:rPr>
                <w:rFonts w:hint="default" w:ascii="Times New Roman" w:hAnsi="Times New Roman" w:cs="Times New Roman"/>
                <w:b/>
                <w:color w:val="auto"/>
                <w:szCs w:val="21"/>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93"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1.1.2</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招标人</w:t>
            </w:r>
          </w:p>
        </w:tc>
        <w:tc>
          <w:tcPr>
            <w:tcW w:w="6795" w:type="dxa"/>
            <w:gridSpan w:val="2"/>
            <w:shd w:val="clear" w:color="000000" w:fill="FFFFFF"/>
            <w:tcMar>
              <w:left w:w="108" w:type="dxa"/>
              <w:right w:w="108" w:type="dxa"/>
            </w:tcMar>
            <w:vAlign w:val="center"/>
          </w:tcPr>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名称：浙江中成建工集团有限公司</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地址：凤林西路123号中成大厦</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联系人：冯文君  电话：15967559599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57"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1.1.3</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招标代理机构</w:t>
            </w:r>
          </w:p>
        </w:tc>
        <w:tc>
          <w:tcPr>
            <w:tcW w:w="6795" w:type="dxa"/>
            <w:gridSpan w:val="2"/>
            <w:shd w:val="clear" w:color="000000" w:fill="FFFFFF"/>
            <w:tcMar>
              <w:left w:w="108" w:type="dxa"/>
              <w:right w:w="108" w:type="dxa"/>
            </w:tcMar>
            <w:vAlign w:val="center"/>
          </w:tcPr>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名称：浙江翔实建设项目管理有限公司</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地址：绍兴市越城区阳明北路692号</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联系人：金琴子  电话：0575-88682895/18969515361</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电子邮箱：25164046@qq.com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42"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1.1.4</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项目名称</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绍兴市中医院改扩建工程EPC总承包内手术室吊塔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6"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1.1.5</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建设地点</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项目位于越城区稽山路以东、环城东路及新世纪公寓以西、人民中路以北、东街以南地块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0"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1.2.1</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资金来源</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财政拨款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1.2.2</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出资比例</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9" w:hRule="atLeast"/>
          <w:jc w:val="center"/>
        </w:trPr>
        <w:tc>
          <w:tcPr>
            <w:tcW w:w="983" w:type="dxa"/>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1.2.3</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资金落实情况</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321"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1.3.1</w:t>
            </w:r>
          </w:p>
        </w:tc>
        <w:tc>
          <w:tcPr>
            <w:tcW w:w="2076"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招标范围</w:t>
            </w:r>
          </w:p>
        </w:tc>
        <w:tc>
          <w:tcPr>
            <w:tcW w:w="6795" w:type="dxa"/>
            <w:gridSpan w:val="2"/>
            <w:shd w:val="clear" w:color="000000" w:fill="FFFFFF"/>
            <w:tcMar>
              <w:left w:w="108" w:type="dxa"/>
              <w:right w:w="108" w:type="dxa"/>
            </w:tcMar>
            <w:vAlign w:val="center"/>
          </w:tcPr>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招标项目为交钥匙工程，包括绍兴市中医院改扩建工程内手术室吊塔的深化设计及施工，具体内容包括但不限于：完成按业主需求的施工图和技术规范要求的全部内容，包括招标范围内的设备材料的供货、运输、卸货、保管、施工、安装调试、检测、试运行等，如有图纸、清单不明确或缺项的内容须无条件按业主要求进行设计和施工，并最终通过验收；同时负责技术服务与培训，提交相关完整的技术资料（含操作手册）、施工技术档案以及质保期内的维修保养（含质保期内的维保人员驻点服务）等内容。具体详见招标文件技术标准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4"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1.3.2</w:t>
            </w:r>
          </w:p>
        </w:tc>
        <w:tc>
          <w:tcPr>
            <w:tcW w:w="2076" w:type="dxa"/>
            <w:shd w:val="clear" w:color="000000" w:fill="FFFFFF"/>
            <w:tcMar>
              <w:left w:w="108" w:type="dxa"/>
              <w:right w:w="108" w:type="dxa"/>
            </w:tcMar>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工期要求</w:t>
            </w:r>
          </w:p>
        </w:tc>
        <w:tc>
          <w:tcPr>
            <w:tcW w:w="6795" w:type="dxa"/>
            <w:gridSpan w:val="2"/>
            <w:shd w:val="clear" w:color="000000" w:fill="FFFFFF"/>
            <w:tcMar>
              <w:left w:w="108" w:type="dxa"/>
              <w:right w:w="108" w:type="dxa"/>
            </w:tcMar>
            <w:vAlign w:val="center"/>
          </w:tcPr>
          <w:p>
            <w:pPr>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120天（中标通知书发出之日起开始），与净化工程同步。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7"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1.3.3</w:t>
            </w:r>
          </w:p>
        </w:tc>
        <w:tc>
          <w:tcPr>
            <w:tcW w:w="2076" w:type="dxa"/>
            <w:shd w:val="clear" w:color="000000" w:fill="FFFFFF"/>
            <w:tcMar>
              <w:left w:w="108" w:type="dxa"/>
              <w:right w:w="108" w:type="dxa"/>
            </w:tcMar>
            <w:vAlign w:val="center"/>
          </w:tcPr>
          <w:p>
            <w:pPr>
              <w:ind w:firstLine="210" w:firstLineChars="100"/>
              <w:jc w:val="center"/>
              <w:rPr>
                <w:rFonts w:hint="default" w:ascii="Times New Roman" w:hAnsi="Times New Roman" w:cs="Times New Roman"/>
                <w:color w:val="auto"/>
                <w:szCs w:val="21"/>
              </w:rPr>
            </w:pPr>
            <w:r>
              <w:rPr>
                <w:rFonts w:hint="default" w:ascii="Times New Roman" w:hAnsi="Times New Roman" w:cs="Times New Roman"/>
                <w:color w:val="auto"/>
                <w:szCs w:val="21"/>
              </w:rPr>
              <w:t>质量要求</w:t>
            </w:r>
          </w:p>
        </w:tc>
        <w:tc>
          <w:tcPr>
            <w:tcW w:w="6795" w:type="dxa"/>
            <w:gridSpan w:val="2"/>
            <w:shd w:val="clear" w:color="000000" w:fill="FFFFFF"/>
            <w:tcMar>
              <w:left w:w="108" w:type="dxa"/>
              <w:right w:w="108" w:type="dxa"/>
            </w:tcMar>
            <w:vAlign w:val="center"/>
          </w:tcPr>
          <w:p>
            <w:pPr>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合格，并一次性通过相关机构检测。配合总承包单位争创钱江杯、鲁班奖。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4"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1.4.1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投标资格</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条件、要求</w:t>
            </w:r>
          </w:p>
        </w:tc>
        <w:tc>
          <w:tcPr>
            <w:tcW w:w="6795" w:type="dxa"/>
            <w:gridSpan w:val="2"/>
            <w:shd w:val="clear" w:color="000000" w:fill="FFFFFF"/>
            <w:tcMar>
              <w:left w:w="108" w:type="dxa"/>
              <w:right w:w="108" w:type="dxa"/>
            </w:tcMar>
            <w:vAlign w:val="center"/>
          </w:tcPr>
          <w:p>
            <w:pPr>
              <w:spacing w:line="44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3"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1.4.2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是否接受</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联合体投标</w:t>
            </w:r>
          </w:p>
        </w:tc>
        <w:tc>
          <w:tcPr>
            <w:tcW w:w="6795" w:type="dxa"/>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565"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1.9.1</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踏勘现场</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sym w:font="Wingdings 2" w:char="00A3"/>
            </w:r>
            <w:r>
              <w:rPr>
                <w:rFonts w:hint="default" w:ascii="Times New Roman" w:hAnsi="Times New Roman" w:cs="Times New Roman"/>
                <w:color w:val="auto"/>
                <w:szCs w:val="21"/>
              </w:rPr>
              <w:t>不组织</w:t>
            </w:r>
          </w:p>
          <w:p>
            <w:pPr>
              <w:spacing w:line="360" w:lineRule="exact"/>
              <w:ind w:firstLine="420" w:firstLineChars="200"/>
              <w:rPr>
                <w:rFonts w:hint="default" w:ascii="Times New Roman" w:hAnsi="Times New Roman" w:cs="Times New Roman"/>
                <w:bCs/>
                <w:color w:val="auto"/>
                <w:szCs w:val="21"/>
              </w:rPr>
            </w:pPr>
            <w:r>
              <w:rPr>
                <w:rFonts w:hint="default" w:ascii="Times New Roman" w:hAnsi="Times New Roman" w:cs="Times New Roman"/>
                <w:color w:val="auto"/>
                <w:szCs w:val="21"/>
                <w:bdr w:val="single" w:color="auto" w:sz="4" w:space="0"/>
              </w:rPr>
              <w:t>√</w:t>
            </w:r>
            <w:r>
              <w:rPr>
                <w:rFonts w:hint="default" w:ascii="Times New Roman" w:hAnsi="Times New Roman" w:cs="Times New Roman"/>
                <w:color w:val="auto"/>
                <w:szCs w:val="21"/>
              </w:rPr>
              <w:t>组织，踏勘截止时间：</w:t>
            </w:r>
            <w:r>
              <w:rPr>
                <w:rFonts w:hint="default" w:ascii="Times New Roman" w:hAnsi="Times New Roman" w:cs="Times New Roman"/>
                <w:color w:val="auto"/>
                <w:szCs w:val="21"/>
                <w:u w:val="single"/>
              </w:rPr>
              <w:t>投标截止时间前3天</w:t>
            </w:r>
            <w:r>
              <w:rPr>
                <w:rFonts w:hint="default" w:ascii="Times New Roman" w:hAnsi="Times New Roman" w:cs="Times New Roman"/>
                <w:bCs/>
                <w:color w:val="auto"/>
                <w:szCs w:val="21"/>
                <w:u w:val="single"/>
              </w:rPr>
              <w:t xml:space="preserve"> </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 xml:space="preserve">        踏勘集中地点：</w:t>
            </w:r>
            <w:r>
              <w:rPr>
                <w:rFonts w:hint="default" w:ascii="Times New Roman" w:hAnsi="Times New Roman" w:cs="Times New Roman"/>
                <w:bCs/>
                <w:color w:val="auto"/>
                <w:sz w:val="21"/>
                <w:szCs w:val="21"/>
                <w:u w:val="single"/>
              </w:rPr>
              <w:t>工程项目部会议室，联系人：</w:t>
            </w:r>
            <w:r>
              <w:rPr>
                <w:rFonts w:hint="default" w:ascii="Times New Roman" w:hAnsi="Times New Roman" w:cs="Times New Roman"/>
                <w:color w:val="auto"/>
                <w:sz w:val="21"/>
                <w:szCs w:val="21"/>
                <w:u w:val="single"/>
              </w:rPr>
              <w:t>冯文君，</w:t>
            </w:r>
            <w:r>
              <w:rPr>
                <w:rFonts w:hint="default" w:ascii="Times New Roman" w:hAnsi="Times New Roman" w:cs="Times New Roman"/>
                <w:bCs/>
                <w:color w:val="auto"/>
                <w:sz w:val="21"/>
                <w:szCs w:val="21"/>
                <w:u w:val="single"/>
              </w:rPr>
              <w:t>联系电话：</w:t>
            </w:r>
            <w:r>
              <w:rPr>
                <w:rFonts w:hint="default" w:ascii="Times New Roman" w:hAnsi="Times New Roman" w:cs="Times New Roman"/>
                <w:color w:val="auto"/>
                <w:sz w:val="21"/>
                <w:szCs w:val="21"/>
                <w:u w:val="single"/>
              </w:rPr>
              <w:t>15967559599</w:t>
            </w:r>
            <w:r>
              <w:rPr>
                <w:rFonts w:hint="default" w:ascii="Times New Roman" w:hAnsi="Times New Roman" w:cs="Times New Roman"/>
                <w:bCs/>
                <w:color w:val="auto"/>
                <w:sz w:val="21"/>
                <w:szCs w:val="21"/>
                <w:u w:val="single"/>
              </w:rPr>
              <w:t>。因工程复杂，请潜在投标人参加现场踏勘，未按时参加者，招标人不再另行组织，由潜在投标人自行踏勘。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1.10.1</w:t>
            </w:r>
          </w:p>
        </w:tc>
        <w:tc>
          <w:tcPr>
            <w:tcW w:w="2076" w:type="dxa"/>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投标预备会</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840"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1.10.2</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投标人提出问题的截止时间</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"mailto:时前（北京时间），请将要求澄清内容加盖单位公章后将扫描件、WORD电子版发到229330322@qq.com。" </w:instrText>
            </w:r>
            <w:r>
              <w:rPr>
                <w:rFonts w:hint="default" w:ascii="Times New Roman" w:hAnsi="Times New Roman" w:cs="Times New Roman"/>
                <w:color w:val="auto"/>
              </w:rPr>
              <w:fldChar w:fldCharType="separate"/>
            </w:r>
            <w:r>
              <w:rPr>
                <w:rFonts w:hint="default" w:ascii="Times New Roman" w:hAnsi="Times New Roman" w:cs="Times New Roman"/>
                <w:color w:val="auto"/>
                <w:szCs w:val="21"/>
              </w:rPr>
              <w:t>时前（北京时间），请将要求澄清内容加盖单位公章后将扫描件、WORD电子版发到25164046@qq.com。</w:t>
            </w:r>
            <w:r>
              <w:rPr>
                <w:rFonts w:hint="default" w:ascii="Times New Roman" w:hAnsi="Times New Roman" w:cs="Times New Roman"/>
                <w:color w:val="auto"/>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3100"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1.10.3</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招标文件的澄清、补充、修改的时间以及澄清、补充、修改文件的下载网址</w:t>
            </w:r>
          </w:p>
        </w:tc>
        <w:tc>
          <w:tcPr>
            <w:tcW w:w="6714" w:type="dxa"/>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澄清、补充、修改的内容影响投标文件编制的，招标人将在投标截止时间15日前，以电子文件形式上传至交易平台供投标人下载，不足15天的，招标人将顺延递交投标文件的截止时间。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澄清、补充、修改的内容不影响投标文件编制的，将在投标文件递交截止时间</w:t>
            </w:r>
            <w:r>
              <w:rPr>
                <w:rFonts w:hint="default" w:ascii="Times New Roman" w:hAnsi="Times New Roman" w:cs="Times New Roman"/>
                <w:color w:val="auto"/>
                <w:sz w:val="21"/>
                <w:szCs w:val="21"/>
                <w:u w:val="single"/>
              </w:rPr>
              <w:t xml:space="preserve"> 7 </w:t>
            </w:r>
            <w:r>
              <w:rPr>
                <w:rFonts w:hint="default" w:ascii="Times New Roman" w:hAnsi="Times New Roman" w:cs="Times New Roman"/>
                <w:color w:val="auto"/>
                <w:sz w:val="21"/>
                <w:szCs w:val="21"/>
              </w:rPr>
              <w:t>天前，以上款相同的形式发布。</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下载网址：绍兴公共资源交易网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z w:val="21"/>
                <w:szCs w:val="21"/>
              </w:rPr>
              <w:t>（http://ggb.sx.gov.cn/</w:t>
            </w:r>
            <w:r>
              <w:rPr>
                <w:rFonts w:hint="default" w:ascii="Times New Roman" w:hAnsi="Times New Roman" w:cs="Times New Roman"/>
                <w:color w:val="auto"/>
                <w:sz w:val="21"/>
                <w:szCs w:val="21"/>
              </w:rPr>
              <w:fldChar w:fldCharType="end"/>
            </w:r>
            <w:r>
              <w:rPr>
                <w:rFonts w:hint="default" w:ascii="Times New Roman" w:hAnsi="Times New Roman" w:cs="Times New Roman"/>
                <w:color w:val="auto"/>
                <w:sz w:val="21"/>
                <w:szCs w:val="21"/>
              </w:rPr>
              <w:t>），投标人须使用用户名和密码登录交易平台后下载相关文件。</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注：潜在投标人应密切关注交易平台，如有补充文件，投标人必须下载最新补充文件</w:t>
            </w:r>
            <w:r>
              <w:rPr>
                <w:rFonts w:hint="default" w:ascii="Times New Roman" w:hAnsi="Times New Roman" w:cs="Times New Roman"/>
                <w:strike/>
                <w:color w:val="auto"/>
                <w:sz w:val="21"/>
                <w:szCs w:val="21"/>
              </w:rPr>
              <w:t>并导入投标文件制作工具，否则制作的电子投标文件将无法开标</w:t>
            </w:r>
            <w:r>
              <w:rPr>
                <w:rFonts w:hint="default" w:ascii="Times New Roman" w:hAnsi="Times New Roman"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162"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1.10.4</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投标人确认收到澄清、补充、修改文件的时间</w:t>
            </w:r>
          </w:p>
        </w:tc>
        <w:tc>
          <w:tcPr>
            <w:tcW w:w="6714" w:type="dxa"/>
            <w:shd w:val="clear" w:color="000000" w:fill="FFFFFF"/>
            <w:tcMar>
              <w:left w:w="108" w:type="dxa"/>
              <w:right w:w="108" w:type="dxa"/>
            </w:tcMar>
            <w:vAlign w:val="center"/>
          </w:tcPr>
          <w:p>
            <w:pPr>
              <w:spacing w:line="360" w:lineRule="exact"/>
              <w:ind w:right="-136" w:rightChars="-65"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潜在投标人应自行关注绍兴公共资源交易网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pacing w:val="-6"/>
                <w:szCs w:val="21"/>
              </w:rPr>
              <w:t>（http://ggb.sx.gov.cn/</w:t>
            </w:r>
            <w:r>
              <w:rPr>
                <w:rFonts w:hint="default" w:ascii="Times New Roman" w:hAnsi="Times New Roman" w:cs="Times New Roman"/>
                <w:color w:val="auto"/>
                <w:spacing w:val="-6"/>
                <w:szCs w:val="21"/>
              </w:rPr>
              <w:fldChar w:fldCharType="end"/>
            </w:r>
            <w:r>
              <w:rPr>
                <w:rFonts w:hint="default" w:ascii="Times New Roman" w:hAnsi="Times New Roman" w:cs="Times New Roman"/>
                <w:color w:val="auto"/>
                <w:spacing w:val="-6"/>
                <w:szCs w:val="21"/>
              </w:rPr>
              <w:t>）的交易平台及短信通知</w:t>
            </w:r>
            <w:r>
              <w:rPr>
                <w:rFonts w:hint="default" w:ascii="Times New Roman" w:hAnsi="Times New Roman" w:cs="Times New Roman"/>
                <w:color w:val="auto"/>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663"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招标工程是否允许分包</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偏离</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构成招标文件的其他资料</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2.2.1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投标人要求澄清招标文件的截止时间</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日</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时</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2.2.2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投标截止时间</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2.2.3</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投标人确认收到招标文件澄清的时间</w:t>
            </w:r>
          </w:p>
        </w:tc>
        <w:tc>
          <w:tcPr>
            <w:tcW w:w="6714" w:type="dxa"/>
            <w:shd w:val="clear" w:color="000000" w:fill="FFFFFF"/>
            <w:tcMar>
              <w:left w:w="108" w:type="dxa"/>
              <w:right w:w="108" w:type="dxa"/>
            </w:tcMar>
            <w:vAlign w:val="center"/>
          </w:tcPr>
          <w:p>
            <w:pPr>
              <w:pStyle w:val="68"/>
              <w:adjustRightInd w:val="0"/>
              <w:snapToGrid w:val="0"/>
              <w:spacing w:line="360" w:lineRule="exact"/>
              <w:ind w:right="-136" w:rightChars="-65"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潜在投标人应自行关注绍兴公共资源交易网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z w:val="21"/>
                <w:szCs w:val="21"/>
              </w:rPr>
              <w:t>（http://ggb.sx.gov.cn/</w:t>
            </w:r>
            <w:r>
              <w:rPr>
                <w:rFonts w:hint="default" w:ascii="Times New Roman" w:hAnsi="Times New Roman" w:cs="Times New Roman"/>
                <w:color w:val="auto"/>
                <w:sz w:val="21"/>
                <w:szCs w:val="21"/>
              </w:rPr>
              <w:fldChar w:fldCharType="end"/>
            </w:r>
            <w:r>
              <w:rPr>
                <w:rFonts w:hint="default" w:ascii="Times New Roman" w:hAnsi="Times New Roman" w:cs="Times New Roman"/>
                <w:color w:val="auto"/>
                <w:sz w:val="21"/>
                <w:szCs w:val="21"/>
              </w:rPr>
              <w:t>）</w:t>
            </w:r>
            <w:r>
              <w:rPr>
                <w:rFonts w:hint="default" w:ascii="Times New Roman" w:hAnsi="Times New Roman" w:cs="Times New Roman"/>
                <w:color w:val="auto"/>
                <w:spacing w:val="-6"/>
                <w:sz w:val="21"/>
                <w:szCs w:val="21"/>
              </w:rPr>
              <w:t>的交易平台及短信通知</w:t>
            </w:r>
            <w:r>
              <w:rPr>
                <w:rFonts w:hint="default" w:ascii="Times New Roman" w:hAnsi="Times New Roman" w:cs="Times New Roman"/>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2.3.2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投标人确认收到招标文件修改的时间</w:t>
            </w:r>
          </w:p>
        </w:tc>
        <w:tc>
          <w:tcPr>
            <w:tcW w:w="6714" w:type="dxa"/>
            <w:shd w:val="clear" w:color="000000" w:fill="FFFFFF"/>
            <w:tcMar>
              <w:left w:w="108" w:type="dxa"/>
              <w:right w:w="108" w:type="dxa"/>
            </w:tcMar>
            <w:vAlign w:val="center"/>
          </w:tcPr>
          <w:p>
            <w:pPr>
              <w:pStyle w:val="68"/>
              <w:adjustRightInd w:val="0"/>
              <w:snapToGrid w:val="0"/>
              <w:spacing w:line="360" w:lineRule="exact"/>
              <w:ind w:right="-136" w:rightChars="-65"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潜在投标人应自行关注绍兴公共资源交易网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z w:val="21"/>
                <w:szCs w:val="21"/>
              </w:rPr>
              <w:t>（http://ggb.sx.gov.cn/</w:t>
            </w:r>
            <w:r>
              <w:rPr>
                <w:rFonts w:hint="default" w:ascii="Times New Roman" w:hAnsi="Times New Roman" w:cs="Times New Roman"/>
                <w:color w:val="auto"/>
                <w:sz w:val="21"/>
                <w:szCs w:val="21"/>
              </w:rPr>
              <w:fldChar w:fldCharType="end"/>
            </w:r>
            <w:r>
              <w:rPr>
                <w:rFonts w:hint="default" w:ascii="Times New Roman" w:hAnsi="Times New Roman" w:cs="Times New Roman"/>
                <w:color w:val="auto"/>
                <w:sz w:val="21"/>
                <w:szCs w:val="21"/>
              </w:rPr>
              <w:t>）</w:t>
            </w:r>
            <w:r>
              <w:rPr>
                <w:rFonts w:hint="default" w:ascii="Times New Roman" w:hAnsi="Times New Roman" w:cs="Times New Roman"/>
                <w:color w:val="auto"/>
                <w:spacing w:val="-6"/>
                <w:sz w:val="21"/>
                <w:szCs w:val="21"/>
              </w:rPr>
              <w:t>的交易平台及短信通知</w:t>
            </w:r>
            <w:r>
              <w:rPr>
                <w:rFonts w:hint="default" w:ascii="Times New Roman" w:hAnsi="Times New Roman" w:cs="Times New Roman"/>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3.1.1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构成投标文件的其他资料</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3.2.3</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最高投标限价或其计算方法</w:t>
            </w:r>
          </w:p>
        </w:tc>
        <w:tc>
          <w:tcPr>
            <w:tcW w:w="6714" w:type="dxa"/>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本次招标最高投标限价为： 300万元。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0"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3.2.4</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投标报价的其他要求</w:t>
            </w:r>
          </w:p>
        </w:tc>
        <w:tc>
          <w:tcPr>
            <w:tcW w:w="6714" w:type="dxa"/>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1、投标报价为投标人的投标文件中提出的</w:t>
            </w:r>
            <w:r>
              <w:rPr>
                <w:rFonts w:hint="default" w:ascii="Times New Roman" w:hAnsi="Times New Roman" w:cs="Times New Roman"/>
                <w:b/>
                <w:bCs/>
                <w:color w:val="auto"/>
                <w:sz w:val="21"/>
                <w:szCs w:val="21"/>
                <w:u w:val="single"/>
              </w:rPr>
              <w:t>招标范围内</w:t>
            </w:r>
            <w:r>
              <w:rPr>
                <w:rFonts w:hint="default" w:ascii="Times New Roman" w:hAnsi="Times New Roman" w:cs="Times New Roman"/>
                <w:color w:val="auto"/>
                <w:sz w:val="21"/>
                <w:szCs w:val="21"/>
              </w:rPr>
              <w:t>各项支付金额的总和。</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2、技术标中明确或招标文件、设计图纸确定的相应技术规范要求的费用应包括在投标报价中，否则视同投标优惠。</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合同的交货和安装地点为本须知前附表第1.1.5项所述，除非合同中另有规定，投标人在投标总价中的价格均包括完成该工程的设备和材料供应、安装、调试开通、利润、税金、风险等所有费用,但投标报价不得超过本投标人须知前附表第3.2.3条所规定的上限，否则作废标处理。</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4、投标人应先到项目现场踏勘以充分了解现场位置、情况、道路、储存空间、装卸限制及任何其它足以影响报价的情况，任何因忽视或误解工地情况而导致的索赔或工期延长申请将不获批准。</w:t>
            </w:r>
          </w:p>
          <w:p>
            <w:pPr>
              <w:pStyle w:val="55"/>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投标人的投标报价包括但不限于：①按照本工程招标人提供的图纸、货物清单以及本项目技术要求所进行的进一步深化设计费（包括如遇到图纸、货物清单不明确或缺项的内容须无条件满足招标方要求进行的设计）；②设备费、运输保险费、卸货费、保管费、仓储费、工程施工费、设备安装费、安装调试费、检测费、技术服务与培训费、试运行费用、验收费、备品备件（含专用工具）费、质保期内的维修保养费（含质保期内的维保人员驻点服务）、规费、税金、政策性文件规定及合同包含的所有风险、责任等，并通过验收合格的所有费用；③深化设计增加的工程施工费用；④工程施工过程中的开孔和工程完工后的填补、修复（</w:t>
            </w:r>
            <w:r>
              <w:rPr>
                <w:rFonts w:hint="default" w:ascii="Times New Roman" w:hAnsi="Times New Roman" w:cs="Times New Roman"/>
                <w:color w:val="auto"/>
                <w:sz w:val="21"/>
                <w:szCs w:val="21"/>
                <w:lang w:val="en-US"/>
              </w:rPr>
              <w:t>符合消防验收规范</w:t>
            </w:r>
            <w:r>
              <w:rPr>
                <w:rFonts w:hint="default" w:ascii="Times New Roman" w:hAnsi="Times New Roman" w:cs="Times New Roman"/>
                <w:color w:val="auto"/>
                <w:sz w:val="21"/>
                <w:szCs w:val="21"/>
              </w:rPr>
              <w:t>）与清理工作（如用水泥砂浆、砼材料填实设备、框架及建筑结构之间的缝隙；外露的电线、管道修补、批灰、面层修饰等工作）等等费用；⑤</w:t>
            </w:r>
            <w:r>
              <w:rPr>
                <w:rStyle w:val="51"/>
                <w:rFonts w:hint="default" w:ascii="Times New Roman" w:hAnsi="Times New Roman" w:cs="Times New Roman"/>
                <w:color w:val="auto"/>
              </w:rPr>
              <w:t>不可预见费（不可预见费为招标范围之外或招标人、中医院有特殊功能要求增加的费用。费率为</w:t>
            </w:r>
            <w:r>
              <w:rPr>
                <w:rStyle w:val="51"/>
                <w:rFonts w:hint="default" w:ascii="Times New Roman" w:hAnsi="Times New Roman" w:cs="Times New Roman"/>
                <w:color w:val="auto"/>
                <w:lang w:val="en-US"/>
              </w:rPr>
              <w:t>3%</w:t>
            </w:r>
            <w:r>
              <w:rPr>
                <w:rStyle w:val="51"/>
                <w:rFonts w:hint="default" w:ascii="Times New Roman" w:hAnsi="Times New Roman" w:cs="Times New Roman"/>
                <w:color w:val="auto"/>
              </w:rPr>
              <w:t>）；</w:t>
            </w:r>
            <w:r>
              <w:rPr>
                <w:rStyle w:val="88"/>
                <w:rFonts w:hint="default" w:ascii="Times New Roman" w:hAnsi="Times New Roman" w:cs="Times New Roman"/>
                <w:color w:val="auto"/>
                <w:kern w:val="2"/>
                <w:sz w:val="21"/>
                <w:szCs w:val="21"/>
              </w:rPr>
              <w:t>⑥本条款中第7点内容</w:t>
            </w:r>
            <w:r>
              <w:rPr>
                <w:rFonts w:hint="default" w:ascii="Times New Roman" w:hAnsi="Times New Roman" w:cs="Times New Roman"/>
                <w:color w:val="auto"/>
                <w:sz w:val="21"/>
                <w:szCs w:val="21"/>
              </w:rPr>
              <w:t>等。请各投标人综合分析并充分考虑后全部组价计入本次报价中，中标后对上述方面的费用增加将不予调整。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并全部包含在本次投标总价中，中标后一律不予调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6、本项目风险控制价为最高限价的60％，若中标人低于该风险控制价中标的，中标人必须额外补交中标价净值与风险控制价之差额，中标人不提交的视为放弃中标。在风险控制价的基础上，每下降1％缴纳差额保证金壹万元(不足1％按1％计算)，以此类推。差额保证金待项目履约完成后7个工作日内无息退还。(差额保证金应在中标通知书发出后7个工作日内交至招标人，以网上银行、电汇、转账等方式交纳)。同时本项目也不接受招标项目范围内的捐赠。</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7、在施工过程中必须会发生且须支付给总包单位的费用（费率为4%，低于费率4%作无效标处理），投标人应</w:t>
            </w:r>
            <w:r>
              <w:rPr>
                <w:rStyle w:val="51"/>
                <w:rFonts w:hint="default" w:ascii="Times New Roman" w:hAnsi="Times New Roman" w:cs="Times New Roman"/>
                <w:color w:val="auto"/>
              </w:rPr>
              <w:t>在投标总价中</w:t>
            </w:r>
            <w:r>
              <w:rPr>
                <w:rFonts w:hint="default" w:ascii="Times New Roman" w:hAnsi="Times New Roman" w:cs="Times New Roman"/>
                <w:color w:val="auto"/>
                <w:sz w:val="21"/>
                <w:szCs w:val="21"/>
              </w:rPr>
              <w:t>单独列报，但该费用不足部分请投标人综合考虑后计入投标总价内，中标后一律不予调整。</w:t>
            </w:r>
            <w:r>
              <w:rPr>
                <w:rStyle w:val="51"/>
                <w:rFonts w:hint="default" w:ascii="Times New Roman" w:hAnsi="Times New Roman" w:cs="Times New Roman"/>
                <w:color w:val="auto"/>
              </w:rPr>
              <w:t>现场必须发生费用具体包括：安全文明施工费、</w:t>
            </w:r>
            <w:r>
              <w:rPr>
                <w:rFonts w:hint="default" w:ascii="Times New Roman" w:hAnsi="Times New Roman" w:cs="Times New Roman"/>
                <w:color w:val="auto"/>
                <w:sz w:val="21"/>
                <w:szCs w:val="21"/>
              </w:rPr>
              <w:t>垂直运输费、场地使用费、防疫措施费等等，均</w:t>
            </w:r>
            <w:r>
              <w:rPr>
                <w:rStyle w:val="51"/>
                <w:rFonts w:hint="default" w:ascii="Times New Roman" w:hAnsi="Times New Roman" w:cs="Times New Roman"/>
                <w:color w:val="auto"/>
              </w:rPr>
              <w:t>由总包方负责实施。</w:t>
            </w:r>
            <w:r>
              <w:rPr>
                <w:rFonts w:hint="default" w:ascii="Times New Roman" w:hAnsi="Times New Roman" w:cs="Times New Roman"/>
                <w:color w:val="auto"/>
                <w:sz w:val="21"/>
                <w:szCs w:val="21"/>
              </w:rPr>
              <w:t>同时须满足下列要求：</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①投标人进场后须与总包签订总包管理协议，服从总包管理要求。</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②投标人的安装进场时间不应晚于监理、业主审批的施工总进度计划进场时间。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③投标人进场前，图纸须齐全，以免影响后续施工进度（投标人须对图纸进行深化设计）。</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④进入施工现场后，设备及材料堆放场地须按照总包要求进行布设，满足标准化工地要求。</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⑤投标人应做好自身安全管理工作，加强对所属人员的安全管理和交底教育工作，对自身安全承担全部责任，若因其发生安全事故造成对第三方的损失（包括荣誉损失）均由投标人负责。</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⑥除以上内容外，施工现场其余直接发生费用，则由双方自行协商解决。</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8、鉴于目前总包施工现状，室外脚手架搭建情况，请投标人自行考虑设备运输事宜并承担运输费用，并充分考虑综合进入投标总价，中标后不予调整。</w:t>
            </w:r>
          </w:p>
          <w:p>
            <w:pPr>
              <w:pStyle w:val="31"/>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9、投标人按照上述要求编制投标报价。一旦确认某一投标人中标，除合同规定可调整内容外，中标人不得要求追加任何费用。</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3.3.1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投标有效期</w:t>
            </w:r>
          </w:p>
        </w:tc>
        <w:tc>
          <w:tcPr>
            <w:tcW w:w="6714" w:type="dxa"/>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不少于90个日历天（从投标截止之日起算）。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3.4.1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投标保证金</w:t>
            </w:r>
          </w:p>
        </w:tc>
        <w:tc>
          <w:tcPr>
            <w:tcW w:w="6714" w:type="dxa"/>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形式：见招标公告</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金额：见招标公告</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递交方式：见招标公告</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投标保证金不予退还的情形：</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1.投标人在投标有效期内撤销或修改其投标文件。</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2.中标人无正当理由不与招标人订立合同，或在签订合同时向招标人提出附加条件，或未按招标文件要求提交履约保证金的。</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3.经查实，投标人在投标过程中串通投标或弄虚作假的。</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4.拟派项目负责人在投标截止日有在其他在建合同工程上担任项目负责人的情形。</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出现上述不予退还情形的，招标人告知交易中心登记后，平台将自动划转其投标保证金</w:t>
            </w:r>
            <w:r>
              <w:rPr>
                <w:rFonts w:hint="default" w:ascii="Times New Roman" w:hAnsi="Times New Roman" w:cs="Times New Roman"/>
                <w:strike/>
                <w:color w:val="auto"/>
                <w:sz w:val="21"/>
                <w:szCs w:val="21"/>
              </w:rPr>
              <w:t>及银行同期存款利息</w:t>
            </w:r>
            <w:r>
              <w:rPr>
                <w:rFonts w:hint="default" w:ascii="Times New Roman" w:hAnsi="Times New Roman" w:cs="Times New Roman"/>
                <w:color w:val="auto"/>
                <w:sz w:val="21"/>
                <w:szCs w:val="21"/>
              </w:rPr>
              <w:t>至招标人指定账户，不再退还给投标人。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资格审查资料</w:t>
            </w:r>
          </w:p>
        </w:tc>
        <w:tc>
          <w:tcPr>
            <w:tcW w:w="6714" w:type="dxa"/>
            <w:shd w:val="clear" w:color="000000" w:fill="FFFFFF"/>
            <w:tcMar>
              <w:left w:w="108" w:type="dxa"/>
              <w:right w:w="108" w:type="dxa"/>
            </w:tcMa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1.企业法人营业执照复印件；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lang w:val="en-US" w:eastAsia="zh-CN"/>
              </w:rPr>
              <w:t>2</w:t>
            </w:r>
            <w:r>
              <w:rPr>
                <w:rFonts w:hint="default" w:ascii="Times New Roman" w:hAnsi="Times New Roman" w:cs="Times New Roman"/>
                <w:color w:val="auto"/>
                <w:szCs w:val="21"/>
              </w:rPr>
              <w:t>.</w:t>
            </w:r>
            <w:r>
              <w:rPr>
                <w:rFonts w:hint="default" w:ascii="Times New Roman" w:hAnsi="Times New Roman" w:cs="Times New Roman"/>
                <w:b/>
                <w:color w:val="auto"/>
                <w:szCs w:val="21"/>
              </w:rPr>
              <w:t>承诺书</w:t>
            </w:r>
            <w:r>
              <w:rPr>
                <w:rFonts w:hint="default" w:ascii="Times New Roman" w:hAnsi="Times New Roman" w:cs="Times New Roman"/>
                <w:color w:val="auto"/>
                <w:szCs w:val="21"/>
              </w:rPr>
              <w:t>（1、承诺对资格审查资料所有提交的证明材料真实有效性负责，若发现其有伪造证书、业绩等行为的，同意招标人不接受其投标，其缴纳的投标保证金不予退还；2、承诺企业</w:t>
            </w:r>
            <w:r>
              <w:rPr>
                <w:rFonts w:hint="default" w:ascii="Times New Roman" w:hAnsi="Times New Roman" w:cs="Times New Roman"/>
                <w:strike/>
                <w:color w:val="auto"/>
                <w:szCs w:val="21"/>
              </w:rPr>
              <w:t>和项目负责人</w:t>
            </w:r>
            <w:r>
              <w:rPr>
                <w:rFonts w:hint="default" w:ascii="Times New Roman" w:hAnsi="Times New Roman" w:cs="Times New Roman"/>
                <w:color w:val="auto"/>
                <w:szCs w:val="21"/>
              </w:rPr>
              <w:t>近 5年内无行贿犯罪记录。3、投标人如为代理商需承诺：中标后提供所投品牌制造商的唯一授权书。），格式自拟，加盖投标人公章。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3.5.2</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近年财务状况的年份要求</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3.5.3</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近年完成的类似项目的年份要求</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详见技术标评审标准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3.5.5</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近年发生的重大诉讼及仲裁情况的年份要求</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3.6</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是否允许递交备选投标方案</w:t>
            </w:r>
          </w:p>
        </w:tc>
        <w:tc>
          <w:tcPr>
            <w:tcW w:w="6714" w:type="dxa"/>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801" w:hRule="atLeast"/>
          <w:jc w:val="center"/>
        </w:trPr>
        <w:tc>
          <w:tcPr>
            <w:tcW w:w="983" w:type="dxa"/>
            <w:shd w:val="clear" w:color="auto" w:fill="auto"/>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3.7.3</w:t>
            </w:r>
          </w:p>
        </w:tc>
        <w:tc>
          <w:tcPr>
            <w:tcW w:w="2076" w:type="dxa"/>
            <w:shd w:val="clear" w:color="auto" w:fill="auto"/>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签字或盖章要求</w:t>
            </w:r>
          </w:p>
        </w:tc>
        <w:tc>
          <w:tcPr>
            <w:tcW w:w="6714" w:type="dxa"/>
            <w:shd w:val="clear" w:color="auto" w:fill="auto"/>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一、电子投标文件签字或盖章要求：在招标文件格式规定的签字处，投标人必须加盖法定代表人电子章；在招标文件格式规定的盖章处加盖单位电子公章。</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其它要求：无</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二、纸质投标文件签字或盖章要求详见招标文件格式</w:t>
            </w:r>
            <w:r>
              <w:rPr>
                <w:rFonts w:hint="default" w:ascii="Times New Roman" w:hAnsi="Times New Roman" w:cs="Times New Roman"/>
                <w:strike/>
                <w:color w:val="auto"/>
                <w:sz w:val="21"/>
                <w:szCs w:val="21"/>
              </w:rPr>
              <w:t>（联合体投标的，投标文件中除联合体协议书须联合体双方盖章外，其余内容只需联合体牵头人盖章）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jc w:val="center"/>
        </w:trPr>
        <w:tc>
          <w:tcPr>
            <w:tcW w:w="983" w:type="dxa"/>
            <w:shd w:val="clear" w:color="auto" w:fill="auto"/>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3.7.4</w:t>
            </w:r>
          </w:p>
        </w:tc>
        <w:tc>
          <w:tcPr>
            <w:tcW w:w="2076" w:type="dxa"/>
            <w:shd w:val="clear" w:color="auto" w:fill="auto"/>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投标文件</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份数</w:t>
            </w:r>
          </w:p>
        </w:tc>
        <w:tc>
          <w:tcPr>
            <w:tcW w:w="6714" w:type="dxa"/>
            <w:shd w:val="clear" w:color="auto" w:fill="auto"/>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资格审查资料：正本一份，副本陆份；</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技 术 标：正本一份，副本陆份；</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商 务 标：正本一份，副本陆份。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803" w:hRule="atLeast"/>
          <w:jc w:val="center"/>
        </w:trPr>
        <w:tc>
          <w:tcPr>
            <w:tcW w:w="983" w:type="dxa"/>
            <w:shd w:val="clear" w:color="auto" w:fill="auto"/>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3.7.5</w:t>
            </w:r>
          </w:p>
        </w:tc>
        <w:tc>
          <w:tcPr>
            <w:tcW w:w="2076" w:type="dxa"/>
            <w:shd w:val="clear" w:color="auto" w:fill="auto"/>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装订要求</w:t>
            </w:r>
          </w:p>
        </w:tc>
        <w:tc>
          <w:tcPr>
            <w:tcW w:w="6714" w:type="dxa"/>
            <w:shd w:val="clear" w:color="auto" w:fill="auto"/>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应装订成册，不得采用活页夹，建议编制目录和页码。注：投标文件资格审查资料、技术标、商务标分别按招标文件格式要求统一装订成册。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732"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4.1.1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bCs/>
                <w:iCs/>
                <w:color w:val="auto"/>
                <w:kern w:val="2"/>
                <w:sz w:val="21"/>
                <w:szCs w:val="21"/>
              </w:rPr>
              <w:t>投标文件的外包装和密封要求</w:t>
            </w:r>
          </w:p>
        </w:tc>
        <w:tc>
          <w:tcPr>
            <w:tcW w:w="6714" w:type="dxa"/>
            <w:shd w:val="clear" w:color="000000" w:fill="FFFFFF"/>
            <w:tcMar>
              <w:left w:w="108" w:type="dxa"/>
              <w:right w:w="108" w:type="dxa"/>
            </w:tcMar>
            <w:vAlign w:val="center"/>
          </w:tcPr>
          <w:p>
            <w:pPr>
              <w:pStyle w:val="68"/>
              <w:adjustRightInd w:val="0"/>
              <w:snapToGrid w:val="0"/>
              <w:spacing w:line="360" w:lineRule="exact"/>
              <w:ind w:firstLine="422"/>
              <w:jc w:val="both"/>
              <w:rPr>
                <w:rFonts w:hint="default" w:ascii="Times New Roman" w:hAnsi="Times New Roman" w:cs="Times New Roman"/>
                <w:color w:val="auto"/>
                <w:sz w:val="21"/>
                <w:szCs w:val="21"/>
              </w:rPr>
            </w:pPr>
            <w:r>
              <w:rPr>
                <w:rFonts w:hint="default" w:ascii="Times New Roman" w:hAnsi="Times New Roman" w:cs="Times New Roman"/>
                <w:b/>
                <w:iCs/>
                <w:color w:val="auto"/>
                <w:kern w:val="2"/>
                <w:sz w:val="21"/>
                <w:szCs w:val="21"/>
              </w:rPr>
              <w:t>投标文件的正本副本统一包装在一个密封袋内，</w:t>
            </w:r>
            <w:r>
              <w:rPr>
                <w:rFonts w:hint="default" w:ascii="Times New Roman" w:hAnsi="Times New Roman" w:cs="Times New Roman"/>
                <w:color w:val="auto"/>
                <w:sz w:val="21"/>
                <w:szCs w:val="21"/>
              </w:rPr>
              <w:t>资格审查资料、技术标、商务标分别密封包装，</w:t>
            </w:r>
            <w:r>
              <w:rPr>
                <w:rFonts w:hint="default" w:ascii="Times New Roman" w:hAnsi="Times New Roman" w:cs="Times New Roman"/>
                <w:b/>
                <w:iCs/>
                <w:color w:val="auto"/>
                <w:kern w:val="2"/>
                <w:sz w:val="21"/>
                <w:szCs w:val="21"/>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551"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4.1.2</w:t>
            </w:r>
          </w:p>
        </w:tc>
        <w:tc>
          <w:tcPr>
            <w:tcW w:w="2076" w:type="dxa"/>
            <w:shd w:val="clear" w:color="000000" w:fill="FFFFFF"/>
            <w:tcMar>
              <w:left w:w="108" w:type="dxa"/>
              <w:right w:w="108" w:type="dxa"/>
            </w:tcMar>
            <w:vAlign w:val="center"/>
          </w:tcPr>
          <w:p>
            <w:pPr>
              <w:tabs>
                <w:tab w:val="left" w:pos="0"/>
                <w:tab w:val="right" w:leader="dot" w:pos="8280"/>
              </w:tabs>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封套上写明</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招标人地址：</w:t>
            </w:r>
            <w:r>
              <w:rPr>
                <w:rFonts w:hint="default" w:ascii="Times New Roman" w:hAnsi="Times New Roman" w:cs="Times New Roman"/>
                <w:b/>
                <w:color w:val="auto"/>
                <w:szCs w:val="21"/>
                <w:u w:val="single"/>
              </w:rPr>
              <w:t>凤林西路123号中成大厦</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招标人名称：</w:t>
            </w:r>
            <w:r>
              <w:rPr>
                <w:rFonts w:hint="default" w:ascii="Times New Roman" w:hAnsi="Times New Roman" w:cs="Times New Roman"/>
                <w:b/>
                <w:color w:val="auto"/>
                <w:szCs w:val="21"/>
                <w:u w:val="single"/>
              </w:rPr>
              <w:t>浙江中成建工集团有限公司</w:t>
            </w:r>
          </w:p>
          <w:p>
            <w:pPr>
              <w:spacing w:line="360" w:lineRule="exact"/>
              <w:ind w:firstLine="422" w:firstLineChars="200"/>
              <w:rPr>
                <w:rFonts w:hint="default" w:ascii="Times New Roman" w:hAnsi="Times New Roman" w:cs="Times New Roman"/>
                <w:color w:val="auto"/>
                <w:szCs w:val="21"/>
              </w:rPr>
            </w:pPr>
            <w:r>
              <w:rPr>
                <w:rFonts w:hint="default" w:ascii="Times New Roman" w:hAnsi="Times New Roman" w:cs="Times New Roman"/>
                <w:b/>
                <w:bCs/>
                <w:color w:val="auto"/>
                <w:szCs w:val="21"/>
                <w:u w:val="single"/>
              </w:rPr>
              <w:t>绍兴市中医院改扩建工程EPC总承包内手术室吊塔</w:t>
            </w:r>
            <w:r>
              <w:rPr>
                <w:rFonts w:hint="default" w:ascii="Times New Roman" w:hAnsi="Times New Roman" w:cs="Times New Roman"/>
                <w:color w:val="auto"/>
                <w:szCs w:val="21"/>
              </w:rPr>
              <w:t>投标文件，在2021年  月  日  时  分前不得开启。</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rPr>
              <w:t>在包封上注明“资格审查资料”或“技术标”或“商务标”字样。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7078"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4.2.2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递交投标文件方式和地点</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本项目采用“不见面”开标方式，不强制要求投标人参加现场开标会。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"http://www.sxztb.gov.cn/sxweb/ReadAttachFile.aspx?AttachID=37f9b03b-ad6a-42af-b0e6-b5a96971394e" \t "_blank" </w:instrText>
            </w:r>
            <w:r>
              <w:rPr>
                <w:rFonts w:hint="default" w:ascii="Times New Roman" w:hAnsi="Times New Roman" w:cs="Times New Roman"/>
                <w:color w:val="auto"/>
              </w:rPr>
              <w:fldChar w:fldCharType="separate"/>
            </w:r>
            <w:r>
              <w:rPr>
                <w:rFonts w:hint="default" w:ascii="Times New Roman" w:hAnsi="Times New Roman" w:cs="Times New Roman"/>
                <w:color w:val="auto"/>
                <w:szCs w:val="21"/>
              </w:rPr>
              <w:t>绍兴市迪荡新城惠利街20号鼎盛时代大厦</w:t>
            </w:r>
            <w:r>
              <w:rPr>
                <w:rFonts w:hint="default" w:ascii="Times New Roman" w:hAnsi="Times New Roman" w:cs="Times New Roman"/>
                <w:color w:val="auto"/>
                <w:szCs w:val="21"/>
              </w:rPr>
              <w:fldChar w:fldCharType="end"/>
            </w:r>
            <w:r>
              <w:rPr>
                <w:rFonts w:hint="default" w:ascii="Times New Roman" w:hAnsi="Times New Roman" w:cs="Times New Roman"/>
                <w:color w:val="auto"/>
                <w:szCs w:val="21"/>
              </w:rPr>
              <w:t>绍兴市公共资源交易中心四楼，收件人：陈振宇，电话0575-88307031，建议采用邮政EMS邮寄）。投标人在开标现场不需要书面签字确认等有关操作。</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818"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4.2.3</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是否退还投标文件</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2626" w:hRule="atLeast"/>
          <w:jc w:val="center"/>
        </w:trPr>
        <w:tc>
          <w:tcPr>
            <w:tcW w:w="983" w:type="dxa"/>
            <w:shd w:val="clear" w:color="000000" w:fill="FFFFFF"/>
            <w:tcMar>
              <w:left w:w="108" w:type="dxa"/>
              <w:right w:w="108" w:type="dxa"/>
            </w:tcMar>
            <w:vAlign w:val="center"/>
          </w:tcPr>
          <w:p>
            <w:pPr>
              <w:adjustRightInd w:val="0"/>
              <w:snapToGrid w:val="0"/>
              <w:spacing w:line="440" w:lineRule="exact"/>
              <w:rPr>
                <w:rFonts w:hint="default" w:ascii="Times New Roman" w:hAnsi="Times New Roman" w:cs="Times New Roman"/>
                <w:color w:val="auto"/>
                <w:szCs w:val="21"/>
              </w:rPr>
            </w:pPr>
            <w:r>
              <w:rPr>
                <w:rFonts w:hint="default" w:ascii="Times New Roman" w:hAnsi="Times New Roman" w:cs="Times New Roman"/>
                <w:color w:val="auto"/>
                <w:szCs w:val="21"/>
              </w:rPr>
              <w:t>4.2.5</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投标文件的拒收情形</w:t>
            </w:r>
          </w:p>
        </w:tc>
        <w:tc>
          <w:tcPr>
            <w:tcW w:w="6714" w:type="dxa"/>
            <w:shd w:val="clear" w:color="000000" w:fill="FFFFFF"/>
            <w:tcMar>
              <w:left w:w="108" w:type="dxa"/>
              <w:right w:w="108" w:type="dxa"/>
            </w:tcMar>
            <w:vAlign w:val="center"/>
          </w:tcPr>
          <w:p>
            <w:pPr>
              <w:pStyle w:val="68"/>
              <w:numPr>
                <w:ilvl w:val="0"/>
                <w:numId w:val="1"/>
              </w:numPr>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未按要求密封的投标文件。</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二、逾期送达的或者未送达指定地点的投标文件。</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三、保证金未与所投标段关联的。</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四、未按规定缴纳招标文件工本费的。</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833"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5.1</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开标时间、开标地点、参加开标会议的要求</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一、开标时间：同投标截止时间。</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二、开标地点：绍兴市公共资源交易中心指定开标室。</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2117"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5.2</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开标</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（1）密封情况检查：由公证处公证人员检查。</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（2）开标顺序：按获取招标文件顺序依次开标。</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（为确保开评标现场的疫情防控安全，到现场参与开评标的各类人员应出示健康码。为减少人员聚集程度及滞留时间，投标人不需在开标现场。）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84"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6.1.1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评标委员会的组建</w:t>
            </w:r>
          </w:p>
        </w:tc>
        <w:tc>
          <w:tcPr>
            <w:tcW w:w="6714" w:type="dxa"/>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评标委员会构成：</w:t>
            </w:r>
            <w:r>
              <w:rPr>
                <w:rFonts w:hint="default" w:ascii="Times New Roman" w:hAnsi="Times New Roman" w:cs="Times New Roman"/>
                <w:color w:val="auto"/>
                <w:szCs w:val="21"/>
                <w:u w:val="single"/>
              </w:rPr>
              <w:t xml:space="preserve">  按规定   </w:t>
            </w:r>
            <w:r>
              <w:rPr>
                <w:rFonts w:hint="default" w:ascii="Times New Roman" w:hAnsi="Times New Roman" w:cs="Times New Roman"/>
                <w:color w:val="auto"/>
                <w:szCs w:val="21"/>
              </w:rPr>
              <w:t>；</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评标专家确定方式：</w:t>
            </w:r>
            <w:r>
              <w:rPr>
                <w:rFonts w:hint="default" w:ascii="Times New Roman" w:hAnsi="Times New Roman" w:cs="Times New Roman"/>
                <w:color w:val="auto"/>
                <w:sz w:val="21"/>
                <w:szCs w:val="21"/>
                <w:u w:val="single"/>
              </w:rPr>
              <w:t xml:space="preserve">  按规定   </w:t>
            </w:r>
            <w:r>
              <w:rPr>
                <w:rFonts w:hint="default" w:ascii="Times New Roman" w:hAnsi="Times New Roman"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698"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6．3</w:t>
            </w:r>
          </w:p>
        </w:tc>
        <w:tc>
          <w:tcPr>
            <w:tcW w:w="2076" w:type="dxa"/>
            <w:shd w:val="clear" w:color="000000" w:fill="FFFFFF"/>
            <w:tcMar>
              <w:left w:w="108" w:type="dxa"/>
              <w:right w:w="108" w:type="dxa"/>
            </w:tcMar>
            <w:vAlign w:val="center"/>
          </w:tcPr>
          <w:p>
            <w:pPr>
              <w:adjustRightInd w:val="0"/>
              <w:snapToGrid w:val="0"/>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评标方法</w:t>
            </w:r>
          </w:p>
        </w:tc>
        <w:tc>
          <w:tcPr>
            <w:tcW w:w="6714" w:type="dxa"/>
            <w:shd w:val="clear" w:color="000000" w:fill="FFFFFF"/>
            <w:tcMar>
              <w:left w:w="108" w:type="dxa"/>
              <w:right w:w="108" w:type="dxa"/>
            </w:tcMar>
            <w:vAlign w:val="center"/>
          </w:tcPr>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"http://218.108.28.22/zjgcjy/infodetail/?infoid=3561d4c5-1965-4914-8d10-bfd371957ee6&amp;siteid=1&amp;categoryNum=032003" \t "_blank" \o "浙江省重点建设工程施工招标资格后审综合评标示范办法（信用报告）" </w:instrText>
            </w:r>
            <w:r>
              <w:rPr>
                <w:rFonts w:hint="default" w:ascii="Times New Roman" w:hAnsi="Times New Roman" w:cs="Times New Roman"/>
                <w:color w:val="auto"/>
              </w:rPr>
              <w:fldChar w:fldCharType="separate"/>
            </w:r>
            <w:r>
              <w:rPr>
                <w:rFonts w:hint="default" w:ascii="Times New Roman" w:hAnsi="Times New Roman" w:cs="Times New Roman"/>
                <w:color w:val="auto"/>
                <w:szCs w:val="21"/>
              </w:rPr>
              <w:t>综合评估法</w:t>
            </w:r>
            <w:r>
              <w:rPr>
                <w:rFonts w:hint="default" w:ascii="Times New Roman" w:hAnsi="Times New Roman" w:cs="Times New Roman"/>
                <w:color w:val="auto"/>
                <w:szCs w:val="21"/>
              </w:rPr>
              <w:fldChar w:fldCharType="end"/>
            </w: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2820"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6.4</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中标候选人公示</w:t>
            </w:r>
          </w:p>
        </w:tc>
        <w:tc>
          <w:tcPr>
            <w:tcW w:w="6714" w:type="dxa"/>
            <w:shd w:val="clear" w:color="000000" w:fill="FFFFFF"/>
            <w:tcMar>
              <w:left w:w="108" w:type="dxa"/>
              <w:right w:w="108" w:type="dxa"/>
            </w:tcMar>
            <w:vAlign w:val="center"/>
          </w:tcPr>
          <w:p>
            <w:pPr>
              <w:pStyle w:val="55"/>
              <w:spacing w:line="34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在中标公示前，招标人通过中国裁判文书网（</w:t>
            </w:r>
            <w:r>
              <w:rPr>
                <w:rFonts w:hint="default" w:ascii="Times New Roman" w:hAnsi="Times New Roman" w:cs="Times New Roman"/>
                <w:color w:val="auto"/>
                <w:spacing w:val="-11"/>
                <w:sz w:val="21"/>
                <w:szCs w:val="21"/>
              </w:rPr>
              <w:t>https：//wenshu.court.gov.cn/</w:t>
            </w:r>
            <w:r>
              <w:rPr>
                <w:rFonts w:hint="default" w:ascii="Times New Roman" w:hAnsi="Times New Roman" w:cs="Times New Roman"/>
                <w:color w:val="auto"/>
                <w:sz w:val="21"/>
                <w:szCs w:val="21"/>
              </w:rPr>
              <w:t>）按照招标文件约定对拟中标单位</w:t>
            </w:r>
            <w:r>
              <w:rPr>
                <w:rFonts w:hint="default" w:ascii="Times New Roman" w:hAnsi="Times New Roman" w:cs="Times New Roman"/>
                <w:strike/>
                <w:color w:val="auto"/>
                <w:sz w:val="21"/>
                <w:szCs w:val="21"/>
              </w:rPr>
              <w:t>及其拟派项目负责人</w:t>
            </w:r>
            <w:r>
              <w:rPr>
                <w:rFonts w:hint="default" w:ascii="Times New Roman" w:hAnsi="Times New Roman" w:cs="Times New Roman"/>
                <w:color w:val="auto"/>
                <w:sz w:val="21"/>
                <w:szCs w:val="21"/>
              </w:rPr>
              <w:t>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3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37"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7.1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是否授权评标委员会确定中标人</w:t>
            </w:r>
          </w:p>
        </w:tc>
        <w:tc>
          <w:tcPr>
            <w:tcW w:w="6714" w:type="dxa"/>
            <w:shd w:val="clear" w:color="000000" w:fill="FFFFFF"/>
            <w:tcMar>
              <w:left w:w="108" w:type="dxa"/>
              <w:right w:w="108" w:type="dxa"/>
            </w:tcMar>
            <w:vAlign w:val="center"/>
          </w:tcPr>
          <w:p>
            <w:pPr>
              <w:adjustRightInd w:val="0"/>
              <w:snapToGrid w:val="0"/>
              <w:spacing w:line="36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□是</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eastAsia="MS Mincho" w:cs="Times New Roman"/>
                <w:color w:val="auto"/>
                <w:szCs w:val="21"/>
              </w:rPr>
              <w:t>☑</w:t>
            </w:r>
            <w:r>
              <w:rPr>
                <w:rFonts w:hint="default" w:ascii="Times New Roman" w:hAnsi="Times New Roman" w:cs="Times New Roman" w:eastAsiaTheme="minorEastAsia"/>
                <w:color w:val="auto"/>
                <w:szCs w:val="21"/>
              </w:rPr>
              <w:t>否，推荐的中标候选人数量：</w:t>
            </w:r>
            <w:r>
              <w:rPr>
                <w:rFonts w:hint="default" w:ascii="Times New Roman" w:hAnsi="Times New Roman" w:cs="Times New Roman" w:eastAsiaTheme="minorEastAsia"/>
                <w:color w:val="auto"/>
                <w:szCs w:val="21"/>
                <w:u w:val="single"/>
              </w:rPr>
              <w:t xml:space="preserve"> 1 </w:t>
            </w:r>
            <w:r>
              <w:rPr>
                <w:rFonts w:hint="default" w:ascii="Times New Roman" w:hAnsi="Times New Roman" w:cs="Times New Roman" w:eastAsiaTheme="minorEastAsia"/>
                <w:color w:val="auto"/>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419"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7.3.1</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履约保证金</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履约保证金的形式：银行保函、保险公司保函或融资担保公司保函。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履约保证金的金额：合同总价的2%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166" w:hRule="atLeast"/>
          <w:jc w:val="center"/>
        </w:trPr>
        <w:tc>
          <w:tcPr>
            <w:tcW w:w="983" w:type="dxa"/>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8．2</w:t>
            </w:r>
          </w:p>
        </w:tc>
        <w:tc>
          <w:tcPr>
            <w:tcW w:w="2076" w:type="dxa"/>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不再招标</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的情形</w:t>
            </w:r>
          </w:p>
        </w:tc>
        <w:tc>
          <w:tcPr>
            <w:tcW w:w="6714" w:type="dxa"/>
            <w:shd w:val="clear" w:color="000000" w:fill="FFFFFF"/>
            <w:tcMar>
              <w:left w:w="108" w:type="dxa"/>
              <w:right w:w="108" w:type="dxa"/>
            </w:tcMar>
            <w:vAlign w:val="center"/>
          </w:tcPr>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692"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10.1</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否决投标的情形</w:t>
            </w:r>
          </w:p>
          <w:p>
            <w:pPr>
              <w:spacing w:line="360" w:lineRule="exact"/>
              <w:jc w:val="center"/>
              <w:rPr>
                <w:rFonts w:hint="default" w:ascii="Times New Roman" w:hAnsi="Times New Roman" w:cs="Times New Roman"/>
                <w:color w:val="auto"/>
                <w:szCs w:val="21"/>
              </w:rPr>
            </w:pPr>
          </w:p>
        </w:tc>
        <w:tc>
          <w:tcPr>
            <w:tcW w:w="6714" w:type="dxa"/>
            <w:shd w:val="clear" w:color="000000" w:fill="FFFFFF"/>
            <w:tcMar>
              <w:left w:w="108" w:type="dxa"/>
              <w:right w:w="108" w:type="dxa"/>
            </w:tcMar>
            <w:vAlign w:val="center"/>
          </w:tcPr>
          <w:p>
            <w:pPr>
              <w:spacing w:line="35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w:t>
            </w:r>
            <w:r>
              <w:rPr>
                <w:rFonts w:hint="default" w:ascii="Times New Roman" w:hAnsi="Times New Roman" w:cs="Times New Roman"/>
                <w:color w:val="auto"/>
                <w:szCs w:val="21"/>
                <w:shd w:val="clear" w:color="auto" w:fill="FFFFFF"/>
              </w:rPr>
              <w:t>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35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二、投标文件存在以下情形之一的，由评标委员会审核并经过询标程序，其投标文件将被否决：</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（一）符合性内容</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1.资格审查资料不符合要求；</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2.未按招标文件的要求加盖单位印章，或投标人的法定代表人（或其委托代理人）未按招标文件要求签字或盖章的，或委托代理人签字盖章但无有效的委托授权书的；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3.投标人存在投标人须知第1.4.3规定的不得存在的情形之一的；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4.投标函</w:t>
            </w:r>
            <w:r>
              <w:rPr>
                <w:rFonts w:hint="default" w:ascii="Times New Roman" w:hAnsi="Times New Roman" w:cs="Times New Roman"/>
                <w:strike/>
                <w:color w:val="auto"/>
                <w:szCs w:val="21"/>
                <w:shd w:val="clear" w:color="auto" w:fill="FFFFFF"/>
              </w:rPr>
              <w:t>及投标函附录</w:t>
            </w:r>
            <w:r>
              <w:rPr>
                <w:rFonts w:hint="default" w:ascii="Times New Roman" w:hAnsi="Times New Roman" w:cs="Times New Roman"/>
                <w:color w:val="auto"/>
                <w:szCs w:val="21"/>
                <w:shd w:val="clear" w:color="auto" w:fill="FFFFFF"/>
              </w:rPr>
              <w:t>载明的交货期不响应招标文件要求的；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5.投标人不以自己的名义或未按招标文件要求提供投标保证金，或提供的投标保证金有缺陷而不能接受的；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6.投标报价高于招标文件设定的最高投标限价的；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7.改变招标人提供的货物清单内容的（货物名称、单位、数量）；</w:t>
            </w:r>
          </w:p>
          <w:p>
            <w:pPr>
              <w:spacing w:line="350" w:lineRule="exact"/>
              <w:ind w:firstLine="422" w:firstLineChars="200"/>
              <w:rPr>
                <w:rFonts w:hint="default" w:ascii="Times New Roman" w:hAnsi="Times New Roman" w:cs="Times New Roman"/>
                <w:b/>
                <w:color w:val="auto"/>
                <w:szCs w:val="21"/>
                <w:shd w:val="clear" w:color="auto" w:fill="FFFFFF"/>
              </w:rPr>
            </w:pPr>
            <w:r>
              <w:rPr>
                <w:rFonts w:hint="default" w:ascii="Times New Roman" w:hAnsi="Times New Roman" w:cs="Times New Roman"/>
                <w:b/>
                <w:color w:val="auto"/>
                <w:szCs w:val="21"/>
                <w:shd w:val="clear" w:color="auto" w:fill="FFFFFF"/>
              </w:rPr>
              <w:t>8. 投标人及其法定代表人控股的其他公司，不得同时参加同一标段投标。否则，均按否决投标处理；</w:t>
            </w:r>
          </w:p>
          <w:p>
            <w:pPr>
              <w:pStyle w:val="55"/>
              <w:spacing w:line="350" w:lineRule="exact"/>
              <w:ind w:firstLine="422"/>
              <w:rPr>
                <w:rFonts w:hint="default" w:ascii="Times New Roman" w:hAnsi="Times New Roman" w:cs="Times New Roman"/>
                <w:b/>
                <w:strike/>
                <w:color w:val="auto"/>
                <w:lang w:val="en-US"/>
              </w:rPr>
            </w:pPr>
            <w:r>
              <w:rPr>
                <w:rFonts w:hint="default" w:ascii="Times New Roman" w:hAnsi="Times New Roman" w:cs="Times New Roman"/>
                <w:b/>
                <w:strike/>
                <w:color w:val="auto"/>
                <w:sz w:val="21"/>
                <w:szCs w:val="21"/>
                <w:shd w:val="clear" w:color="auto" w:fill="FFFFFF"/>
                <w:lang w:val="en-US"/>
              </w:rPr>
              <w:t>9.</w:t>
            </w:r>
            <w:r>
              <w:rPr>
                <w:rFonts w:hint="default" w:ascii="Times New Roman" w:hAnsi="Times New Roman" w:cs="Times New Roman"/>
                <w:b/>
                <w:strike/>
                <w:color w:val="auto"/>
                <w:sz w:val="21"/>
                <w:szCs w:val="21"/>
              </w:rPr>
              <w:t>一个制造商对同一品牌同一型号的货物，仅能委托一个代理商参加投标，否则按否决投标处理。</w:t>
            </w:r>
          </w:p>
          <w:p>
            <w:pPr>
              <w:pStyle w:val="55"/>
              <w:spacing w:line="350" w:lineRule="exact"/>
              <w:ind w:firstLine="420"/>
              <w:rPr>
                <w:rFonts w:hint="default" w:ascii="Times New Roman" w:hAnsi="Times New Roman" w:cs="Times New Roman"/>
                <w:strike/>
                <w:color w:val="auto"/>
                <w:lang w:val="en-US"/>
              </w:rPr>
            </w:pPr>
            <w:r>
              <w:rPr>
                <w:rFonts w:hint="default" w:ascii="Times New Roman" w:hAnsi="Times New Roman" w:cs="Times New Roman"/>
                <w:strike/>
                <w:color w:val="auto"/>
                <w:sz w:val="21"/>
                <w:szCs w:val="21"/>
              </w:rPr>
              <w:sym w:font="Wingdings 2" w:char="00A3"/>
            </w:r>
            <w:r>
              <w:rPr>
                <w:rFonts w:hint="default" w:ascii="Times New Roman" w:hAnsi="Times New Roman" w:cs="Times New Roman"/>
                <w:strike/>
                <w:color w:val="auto"/>
                <w:sz w:val="21"/>
                <w:szCs w:val="21"/>
                <w:shd w:val="clear" w:color="auto" w:fill="FFFFFF"/>
                <w:lang w:val="en-US"/>
              </w:rPr>
              <w:t>10.投标人被省发展改革委列入招标投标失信黑名单，且在披露期内的；</w:t>
            </w:r>
          </w:p>
          <w:p>
            <w:pPr>
              <w:pStyle w:val="55"/>
              <w:spacing w:line="350" w:lineRule="exact"/>
              <w:ind w:firstLine="420"/>
              <w:rPr>
                <w:rFonts w:hint="default" w:ascii="Times New Roman" w:hAnsi="Times New Roman" w:cs="Times New Roman"/>
                <w:strike/>
                <w:color w:val="auto"/>
                <w:sz w:val="21"/>
                <w:szCs w:val="21"/>
                <w:shd w:val="clear" w:color="auto" w:fill="FFFFFF"/>
                <w:lang w:val="en-US"/>
              </w:rPr>
            </w:pPr>
            <w:r>
              <w:rPr>
                <w:rFonts w:hint="default" w:ascii="Times New Roman" w:hAnsi="Times New Roman" w:cs="Times New Roman"/>
                <w:strike/>
                <w:color w:val="auto"/>
                <w:sz w:val="21"/>
                <w:szCs w:val="21"/>
                <w:shd w:val="clear" w:color="auto" w:fill="FFFFFF"/>
                <w:lang w:val="en-US"/>
              </w:rPr>
              <w:t>11.投标人在“信用中国”网站上，被列为失信被执行人的；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12.存在法律、法规、规章规定的其它无效投标情况的。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（二）技术标内容</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1.采用的验收标准和方法、主要技术指标达不到国家强制性标准的或要求的；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2.不符合以下技术规格、标准或性能指标的（招标人认为需要增加的，无则删除本条）：</w:t>
            </w:r>
            <w:r>
              <w:rPr>
                <w:rFonts w:hint="default" w:ascii="Times New Roman" w:hAnsi="Times New Roman" w:cs="Times New Roman"/>
                <w:color w:val="auto"/>
                <w:szCs w:val="21"/>
                <w:u w:val="single"/>
                <w:shd w:val="clear" w:color="auto" w:fill="FFFFFF"/>
              </w:rPr>
              <w:t xml:space="preserve"> / </w:t>
            </w:r>
            <w:r>
              <w:rPr>
                <w:rFonts w:hint="default" w:ascii="Times New Roman" w:hAnsi="Times New Roman" w:cs="Times New Roman"/>
                <w:color w:val="auto"/>
                <w:szCs w:val="21"/>
                <w:shd w:val="clear" w:color="auto" w:fill="FFFFFF"/>
              </w:rPr>
              <w:t xml:space="preserve">。            </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（三）商务标内容</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1.同一投标人提交两个以上不同的投标文件或者投标报价的；</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2.报价评审时，投标人拒绝按以下条款修正的：</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评标委员会认为投标人需要修正的投标内容；</w:t>
            </w:r>
          </w:p>
          <w:p>
            <w:pPr>
              <w:numPr>
                <w:ilvl w:val="0"/>
                <w:numId w:val="2"/>
              </w:numPr>
              <w:spacing w:line="360" w:lineRule="exact"/>
              <w:ind w:left="220" w:firstLine="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投标函</w:t>
            </w:r>
            <w:r>
              <w:rPr>
                <w:rFonts w:hint="default" w:ascii="Times New Roman" w:hAnsi="Times New Roman" w:cs="Times New Roman"/>
                <w:strike/>
                <w:color w:val="auto"/>
                <w:szCs w:val="21"/>
                <w:shd w:val="clear" w:color="auto" w:fill="FFFFFF"/>
              </w:rPr>
              <w:t>及投标函附录</w:t>
            </w:r>
            <w:r>
              <w:rPr>
                <w:rFonts w:hint="default" w:ascii="Times New Roman" w:hAnsi="Times New Roman" w:cs="Times New Roman"/>
                <w:color w:val="auto"/>
                <w:szCs w:val="21"/>
                <w:shd w:val="clear" w:color="auto" w:fill="FFFFFF"/>
              </w:rPr>
              <w:t>载明的投标报价或其它关键内容字迹模糊或无法辨认的；</w:t>
            </w:r>
          </w:p>
          <w:p>
            <w:pPr>
              <w:pStyle w:val="2"/>
              <w:numPr>
                <w:ilvl w:val="0"/>
                <w:numId w:val="2"/>
              </w:numPr>
              <w:spacing w:line="360" w:lineRule="exact"/>
              <w:ind w:firstLine="480"/>
              <w:rPr>
                <w:rFonts w:hint="default" w:ascii="Times New Roman" w:hAnsi="Times New Roman" w:cs="Times New Roman"/>
                <w:color w:val="auto"/>
                <w:sz w:val="21"/>
                <w:szCs w:val="21"/>
                <w:u w:val="single"/>
              </w:rPr>
            </w:pPr>
            <w:r>
              <w:rPr>
                <w:rFonts w:hint="default" w:ascii="Times New Roman" w:hAnsi="Times New Roman" w:cs="Times New Roman"/>
                <w:color w:val="auto"/>
                <w:sz w:val="21"/>
                <w:szCs w:val="21"/>
              </w:rPr>
              <w:t>未按以下要求进行报价的：</w:t>
            </w:r>
            <w:r>
              <w:rPr>
                <w:rFonts w:hint="default" w:ascii="Times New Roman" w:hAnsi="Times New Roman" w:cs="Times New Roman"/>
                <w:color w:val="auto"/>
                <w:sz w:val="21"/>
                <w:szCs w:val="21"/>
                <w:u w:val="single"/>
              </w:rPr>
              <w:t>详见投标人须知前附表第3.2.4条款中第7点内容。</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8207"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10.2</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异议与投诉</w:t>
            </w:r>
          </w:p>
        </w:tc>
        <w:tc>
          <w:tcPr>
            <w:tcW w:w="6714" w:type="dxa"/>
            <w:shd w:val="clear" w:color="000000" w:fill="FFFFFF"/>
            <w:tcMar>
              <w:left w:w="108" w:type="dxa"/>
              <w:right w:w="108" w:type="dxa"/>
            </w:tcMar>
            <w:vAlign w:val="center"/>
          </w:tcPr>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一、异议</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一）潜在投标人或者其他利害关系人对招标文件有异议的，应当在投标截止时间10日前以书面形式向招标人或招标代理公司提出。招标人将在收到异议之日起3个日内作出书面答复；作出答复前，暂停招标投标活动。</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（三）投标人及其他利害关系人对评标结果有异议的，应当在中标候选人公示期内以书面形式向招标人或招标代理公司提出。招标人将在收</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到异议之日起3个日内作出书面答复；作出答复前，暂停招标投标活动。</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（四）对招标文件、评标结果的异议，提出和答复的形式只采用书面形式。</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二、投诉</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1692"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10.3</w:t>
            </w:r>
          </w:p>
        </w:tc>
        <w:tc>
          <w:tcPr>
            <w:tcW w:w="2076" w:type="dxa"/>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定标</w:t>
            </w:r>
          </w:p>
        </w:tc>
        <w:tc>
          <w:tcPr>
            <w:tcW w:w="6714" w:type="dxa"/>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57" w:hRule="atLeast"/>
          <w:jc w:val="center"/>
        </w:trPr>
        <w:tc>
          <w:tcPr>
            <w:tcW w:w="983" w:type="dxa"/>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bookmarkStart w:id="2" w:name="_Toc29615"/>
            <w:r>
              <w:rPr>
                <w:rFonts w:hint="default" w:ascii="Times New Roman" w:hAnsi="Times New Roman" w:cs="Times New Roman"/>
                <w:color w:val="auto"/>
                <w:szCs w:val="21"/>
              </w:rPr>
              <w:t>10.4</w:t>
            </w:r>
          </w:p>
        </w:tc>
        <w:tc>
          <w:tcPr>
            <w:tcW w:w="2076" w:type="dxa"/>
            <w:shd w:val="clear" w:color="000000" w:fill="FFFFFF"/>
            <w:tcMar>
              <w:left w:w="108" w:type="dxa"/>
              <w:right w:w="108" w:type="dxa"/>
            </w:tcMar>
            <w:vAlign w:val="center"/>
          </w:tcPr>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r>
              <w:rPr>
                <w:rFonts w:hint="default" w:ascii="Times New Roman" w:hAnsi="Times New Roman" w:cs="Times New Roman"/>
                <w:color w:val="auto"/>
                <w:sz w:val="21"/>
                <w:szCs w:val="21"/>
                <w:shd w:val="clear" w:color="auto" w:fill="FFFFFF"/>
              </w:rPr>
              <w:t>招标人补充的其他</w:t>
            </w:r>
          </w:p>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r>
              <w:rPr>
                <w:rFonts w:hint="default" w:ascii="Times New Roman" w:hAnsi="Times New Roman" w:cs="Times New Roman"/>
                <w:color w:val="auto"/>
                <w:sz w:val="21"/>
                <w:szCs w:val="21"/>
                <w:shd w:val="clear" w:color="auto" w:fill="FFFFFF"/>
              </w:rPr>
              <w:t>内容</w:t>
            </w:r>
          </w:p>
        </w:tc>
        <w:tc>
          <w:tcPr>
            <w:tcW w:w="6714" w:type="dxa"/>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本招标项目由</w:t>
            </w:r>
            <w:r>
              <w:rPr>
                <w:rFonts w:hint="default" w:ascii="Times New Roman" w:hAnsi="Times New Roman" w:cs="Times New Roman"/>
                <w:b/>
                <w:bCs/>
                <w:color w:val="auto"/>
                <w:szCs w:val="21"/>
                <w:u w:val="single"/>
                <w:shd w:val="clear" w:color="auto" w:fill="FFFFFF"/>
              </w:rPr>
              <w:t>绍兴市越城区公管办</w:t>
            </w:r>
            <w:r>
              <w:rPr>
                <w:rFonts w:hint="default" w:ascii="Times New Roman" w:hAnsi="Times New Roman" w:cs="Times New Roman"/>
                <w:color w:val="auto"/>
                <w:szCs w:val="21"/>
                <w:shd w:val="clear" w:color="auto" w:fill="FFFFFF"/>
              </w:rPr>
              <w:t>参与监督，并请</w:t>
            </w:r>
            <w:r>
              <w:rPr>
                <w:rFonts w:hint="default" w:ascii="Times New Roman" w:hAnsi="Times New Roman" w:cs="Times New Roman"/>
                <w:b/>
                <w:bCs/>
                <w:color w:val="auto"/>
                <w:szCs w:val="21"/>
                <w:u w:val="single"/>
                <w:shd w:val="clear" w:color="auto" w:fill="FFFFFF"/>
              </w:rPr>
              <w:t>绍兴市国信公证处</w:t>
            </w:r>
            <w:r>
              <w:rPr>
                <w:rFonts w:hint="default" w:ascii="Times New Roman" w:hAnsi="Times New Roman" w:cs="Times New Roman"/>
                <w:color w:val="auto"/>
                <w:szCs w:val="21"/>
                <w:shd w:val="clear" w:color="auto" w:fill="FFFFFF"/>
              </w:rPr>
              <w:t>予以公证。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57" w:hRule="atLeast"/>
          <w:jc w:val="center"/>
        </w:trPr>
        <w:tc>
          <w:tcPr>
            <w:tcW w:w="983" w:type="dxa"/>
            <w:vMerge w:val="restar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10.5</w:t>
            </w:r>
          </w:p>
        </w:tc>
        <w:tc>
          <w:tcPr>
            <w:tcW w:w="2076" w:type="dxa"/>
            <w:vMerge w:val="restart"/>
            <w:shd w:val="clear" w:color="000000" w:fill="FFFFFF"/>
            <w:tcMar>
              <w:left w:w="108" w:type="dxa"/>
              <w:right w:w="108" w:type="dxa"/>
            </w:tcMar>
            <w:vAlign w:val="center"/>
          </w:tcPr>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r>
              <w:rPr>
                <w:rFonts w:hint="default" w:ascii="Times New Roman" w:hAnsi="Times New Roman" w:cs="Times New Roman"/>
                <w:color w:val="auto"/>
                <w:sz w:val="21"/>
                <w:szCs w:val="21"/>
                <w:shd w:val="clear" w:color="auto" w:fill="FFFFFF"/>
              </w:rPr>
              <w:t>特别提醒</w:t>
            </w:r>
          </w:p>
        </w:tc>
        <w:tc>
          <w:tcPr>
            <w:tcW w:w="6714" w:type="dxa"/>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shd w:val="clear" w:color="auto" w:fill="FFFFFF"/>
              </w:rPr>
              <w:t>投标人在投标过程中应认真审阅相关医疗专项图纸，原则按图施工，如发现图纸有原则性错误或不符合现行国家规范或标准，请投标人在要求</w:t>
            </w:r>
            <w:r>
              <w:rPr>
                <w:rFonts w:hint="default" w:ascii="Times New Roman" w:hAnsi="Times New Roman" w:cs="Times New Roman"/>
                <w:color w:val="auto"/>
                <w:szCs w:val="21"/>
              </w:rPr>
              <w:t>提出问题的截止时间前（具体时间详见前附表第2.2.1条款）提交。</w:t>
            </w:r>
          </w:p>
          <w:p>
            <w:pPr>
              <w:shd w:val="clear" w:color="auto" w:fill="FFFFFF"/>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如发现清单中未包括交钥匙工程所须的全部内容，即有缺项漏项的，请在投标报价表中“其他清单”中补充完善，并列出详细的细目单。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81" w:type="dxa"/>
          <w:trHeight w:val="957" w:hRule="atLeast"/>
          <w:jc w:val="center"/>
        </w:trPr>
        <w:tc>
          <w:tcPr>
            <w:tcW w:w="983" w:type="dxa"/>
            <w:vMerge w:val="continue"/>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p>
        </w:tc>
        <w:tc>
          <w:tcPr>
            <w:tcW w:w="2076" w:type="dxa"/>
            <w:vMerge w:val="continue"/>
            <w:shd w:val="clear" w:color="000000" w:fill="FFFFFF"/>
            <w:tcMar>
              <w:left w:w="108" w:type="dxa"/>
              <w:right w:w="108" w:type="dxa"/>
            </w:tcMar>
            <w:vAlign w:val="center"/>
          </w:tcPr>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p>
        </w:tc>
        <w:tc>
          <w:tcPr>
            <w:tcW w:w="6714" w:type="dxa"/>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rPr>
            </w:pPr>
            <w:r>
              <w:rPr>
                <w:rFonts w:hint="default" w:ascii="Times New Roman" w:hAnsi="Times New Roman" w:eastAsia="宋体" w:cs="Times New Roman"/>
                <w:color w:val="auto"/>
                <w:sz w:val="21"/>
                <w:szCs w:val="21"/>
              </w:rPr>
              <w:t>进入</w:t>
            </w:r>
            <w:r>
              <w:rPr>
                <w:rFonts w:hint="default" w:ascii="Times New Roman" w:hAnsi="Times New Roman" w:eastAsia="宋体" w:cs="Times New Roman"/>
                <w:color w:val="auto"/>
                <w:sz w:val="21"/>
                <w:szCs w:val="21"/>
                <w:lang w:eastAsia="zh-CN"/>
              </w:rPr>
              <w:t>绍兴市公共资源交易</w:t>
            </w:r>
            <w:r>
              <w:rPr>
                <w:rFonts w:hint="default" w:ascii="Times New Roman" w:hAnsi="Times New Roman" w:eastAsia="宋体" w:cs="Times New Roman"/>
                <w:color w:val="auto"/>
                <w:sz w:val="21"/>
                <w:szCs w:val="21"/>
              </w:rPr>
              <w:t>中心需查验行程码，行程码核验中发现有省外疫情中高风险的，保安将联系相关疫情防控部门进行处置；省外非中高风险地区的，需要出示48小时内的核酸检查报告，阴性的方可进入。</w:t>
            </w:r>
          </w:p>
        </w:tc>
      </w:tr>
    </w:tbl>
    <w:p>
      <w:pPr>
        <w:pStyle w:val="4"/>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br w:type="page"/>
      </w:r>
      <w:r>
        <w:rPr>
          <w:rFonts w:hint="default" w:ascii="Times New Roman" w:hAnsi="Times New Roman" w:cs="Times New Roman" w:eastAsiaTheme="minorEastAsia"/>
          <w:color w:val="auto"/>
          <w:kern w:val="0"/>
          <w:sz w:val="24"/>
          <w:szCs w:val="24"/>
        </w:rPr>
        <w:t>第二节 投标人须知</w:t>
      </w:r>
      <w:bookmarkEnd w:id="2"/>
    </w:p>
    <w:p>
      <w:pPr>
        <w:pStyle w:val="56"/>
        <w:spacing w:before="0"/>
        <w:ind w:firstLine="420" w:firstLineChars="200"/>
        <w:rPr>
          <w:rFonts w:hint="default" w:ascii="Times New Roman" w:hAnsi="Times New Roman" w:eastAsia="宋体" w:cs="Times New Roman"/>
          <w:color w:val="auto"/>
          <w:sz w:val="21"/>
          <w:szCs w:val="21"/>
        </w:rPr>
      </w:pPr>
      <w:bookmarkStart w:id="3" w:name="_Toc11269"/>
      <w:bookmarkStart w:id="4" w:name="_Toc392345909"/>
      <w:r>
        <w:rPr>
          <w:rFonts w:hint="default" w:ascii="Times New Roman" w:hAnsi="Times New Roman" w:eastAsia="宋体" w:cs="Times New Roman"/>
          <w:color w:val="auto"/>
          <w:sz w:val="21"/>
          <w:szCs w:val="21"/>
        </w:rPr>
        <w:t>1. 总则</w:t>
      </w:r>
      <w:bookmarkEnd w:id="3"/>
      <w:bookmarkEnd w:id="4"/>
    </w:p>
    <w:p>
      <w:pPr>
        <w:pStyle w:val="57"/>
        <w:ind w:firstLine="422" w:firstLineChars="200"/>
        <w:rPr>
          <w:rFonts w:hint="default" w:ascii="Times New Roman" w:hAnsi="Times New Roman" w:eastAsia="宋体" w:cs="Times New Roman"/>
          <w:b/>
          <w:color w:val="auto"/>
          <w:sz w:val="21"/>
          <w:szCs w:val="21"/>
        </w:rPr>
      </w:pPr>
      <w:bookmarkStart w:id="5" w:name="_Toc152045530"/>
      <w:bookmarkStart w:id="6" w:name="_Toc392345910"/>
      <w:bookmarkStart w:id="7" w:name="_Toc229646712"/>
      <w:bookmarkStart w:id="8" w:name="_Toc9106"/>
      <w:bookmarkStart w:id="9" w:name="_Toc144974498"/>
      <w:bookmarkStart w:id="10" w:name="_Toc152042306"/>
      <w:r>
        <w:rPr>
          <w:rFonts w:hint="default" w:ascii="Times New Roman" w:hAnsi="Times New Roman" w:eastAsia="宋体" w:cs="Times New Roman"/>
          <w:b/>
          <w:color w:val="auto"/>
          <w:sz w:val="21"/>
          <w:szCs w:val="21"/>
        </w:rPr>
        <w:t>1.1 项目概况</w:t>
      </w:r>
      <w:bookmarkEnd w:id="5"/>
      <w:bookmarkEnd w:id="6"/>
      <w:bookmarkEnd w:id="7"/>
      <w:bookmarkEnd w:id="8"/>
      <w:bookmarkEnd w:id="9"/>
      <w:bookmarkEnd w:id="10"/>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1.1.2 本招标项目招标人：见投标人须知前附表。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1.1.3 本招标项目招标代理机构：见投标人须知前附表。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1.1.4 本招标项目名称：见投标人须知前附表。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1.1.5 本招标项目建设地点：见投标人须知前附表。</w:t>
      </w:r>
    </w:p>
    <w:p>
      <w:pPr>
        <w:pStyle w:val="57"/>
        <w:ind w:firstLine="422" w:firstLineChars="200"/>
        <w:rPr>
          <w:rFonts w:hint="default" w:ascii="Times New Roman" w:hAnsi="Times New Roman" w:eastAsia="宋体" w:cs="Times New Roman"/>
          <w:b/>
          <w:color w:val="auto"/>
          <w:sz w:val="21"/>
          <w:szCs w:val="21"/>
        </w:rPr>
      </w:pPr>
      <w:bookmarkStart w:id="11" w:name="_Toc144974499"/>
      <w:bookmarkStart w:id="12" w:name="_Toc152045531"/>
      <w:bookmarkStart w:id="13" w:name="_Toc152042307"/>
      <w:bookmarkStart w:id="14" w:name="_Toc229646713"/>
      <w:bookmarkStart w:id="15" w:name="_Toc392345911"/>
      <w:bookmarkStart w:id="16" w:name="_Toc3629"/>
      <w:r>
        <w:rPr>
          <w:rFonts w:hint="default" w:ascii="Times New Roman" w:hAnsi="Times New Roman" w:eastAsia="宋体" w:cs="Times New Roman"/>
          <w:b/>
          <w:color w:val="auto"/>
          <w:sz w:val="21"/>
          <w:szCs w:val="21"/>
        </w:rPr>
        <w:t>1.2 资金来源和落实情况</w:t>
      </w:r>
      <w:bookmarkEnd w:id="11"/>
      <w:bookmarkEnd w:id="12"/>
      <w:bookmarkEnd w:id="13"/>
      <w:bookmarkEnd w:id="14"/>
      <w:bookmarkEnd w:id="15"/>
      <w:bookmarkEnd w:id="16"/>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1.2.1 本招标项目的资金来源及出资比例：见投标人须知前附表。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1.2.2本招标项目的资金落实情况：见投标人须知前附表。</w:t>
      </w:r>
    </w:p>
    <w:p>
      <w:pPr>
        <w:pStyle w:val="57"/>
        <w:ind w:firstLine="422" w:firstLineChars="200"/>
        <w:rPr>
          <w:rFonts w:hint="default" w:ascii="Times New Roman" w:hAnsi="Times New Roman" w:eastAsia="宋体" w:cs="Times New Roman"/>
          <w:b/>
          <w:color w:val="auto"/>
          <w:sz w:val="21"/>
          <w:szCs w:val="21"/>
        </w:rPr>
      </w:pPr>
      <w:bookmarkStart w:id="17" w:name="_Toc152042308"/>
      <w:bookmarkStart w:id="18" w:name="_Toc144974500"/>
      <w:bookmarkStart w:id="19" w:name="_Toc152045532"/>
      <w:bookmarkStart w:id="20" w:name="_Toc229646714"/>
      <w:bookmarkStart w:id="21" w:name="_Toc460"/>
      <w:bookmarkStart w:id="22" w:name="_Toc392345912"/>
      <w:r>
        <w:rPr>
          <w:rFonts w:hint="default" w:ascii="Times New Roman" w:hAnsi="Times New Roman" w:eastAsia="宋体" w:cs="Times New Roman"/>
          <w:b/>
          <w:color w:val="auto"/>
          <w:sz w:val="21"/>
          <w:szCs w:val="21"/>
        </w:rPr>
        <w:t>1.3 招标范围及计划服务期</w:t>
      </w:r>
      <w:bookmarkEnd w:id="17"/>
      <w:bookmarkEnd w:id="18"/>
      <w:bookmarkEnd w:id="19"/>
      <w:bookmarkEnd w:id="20"/>
      <w:bookmarkEnd w:id="21"/>
      <w:bookmarkEnd w:id="22"/>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1.3.1 本次招标范围：见投标人须知前附表。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1.3.2 本招标项目的计划服务期：见投标人须知前附表。</w:t>
      </w:r>
    </w:p>
    <w:p>
      <w:pPr>
        <w:pStyle w:val="57"/>
        <w:ind w:firstLine="422" w:firstLineChars="200"/>
        <w:rPr>
          <w:rFonts w:hint="default" w:ascii="Times New Roman" w:hAnsi="Times New Roman" w:eastAsia="宋体" w:cs="Times New Roman"/>
          <w:b/>
          <w:color w:val="auto"/>
          <w:sz w:val="21"/>
          <w:szCs w:val="21"/>
        </w:rPr>
      </w:pPr>
      <w:bookmarkStart w:id="23" w:name="_Toc392345913"/>
      <w:bookmarkStart w:id="24" w:name="_Toc144974502"/>
      <w:bookmarkStart w:id="25" w:name="_Toc152045534"/>
      <w:bookmarkStart w:id="26" w:name="_Toc22287"/>
      <w:bookmarkStart w:id="27" w:name="_Toc229646715"/>
      <w:bookmarkStart w:id="28" w:name="_Toc152042310"/>
      <w:r>
        <w:rPr>
          <w:rFonts w:hint="default" w:ascii="Times New Roman" w:hAnsi="Times New Roman" w:eastAsia="宋体" w:cs="Times New Roman"/>
          <w:b/>
          <w:color w:val="auto"/>
          <w:sz w:val="21"/>
          <w:szCs w:val="21"/>
        </w:rPr>
        <w:t>1.4 投标人资格要求</w:t>
      </w:r>
      <w:bookmarkEnd w:id="23"/>
      <w:bookmarkEnd w:id="24"/>
      <w:bookmarkEnd w:id="25"/>
      <w:bookmarkEnd w:id="26"/>
      <w:bookmarkEnd w:id="27"/>
      <w:bookmarkEnd w:id="2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1.4.1投标人应具备承担本标段服务的资格条件、要求。</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（1）资质条件：见投标人须知前附表；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（2）业绩要求：见投标人须知前附表；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（3）信誉要求：见投标人须知前附表；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（4）其他要求：见投标人须知前附表。</w:t>
      </w:r>
    </w:p>
    <w:p>
      <w:pPr>
        <w:spacing w:line="400" w:lineRule="exact"/>
        <w:ind w:firstLine="420" w:firstLineChars="200"/>
        <w:rPr>
          <w:rFonts w:hint="default" w:ascii="Times New Roman" w:hAnsi="Times New Roman" w:cs="Times New Roman"/>
          <w:color w:val="auto"/>
          <w:szCs w:val="21"/>
        </w:rPr>
      </w:pPr>
      <w:bookmarkStart w:id="29" w:name="_Toc144974503"/>
      <w:bookmarkStart w:id="30" w:name="_Toc152042311"/>
      <w:bookmarkStart w:id="31" w:name="_Toc152045535"/>
      <w:bookmarkStart w:id="32" w:name="_Toc229646716"/>
      <w:r>
        <w:rPr>
          <w:rFonts w:hint="default" w:ascii="Times New Roman" w:hAnsi="Times New Roman" w:cs="Times New Roman"/>
          <w:color w:val="auto"/>
          <w:szCs w:val="21"/>
        </w:rPr>
        <w:t>1.4.2投标人须知前附表规定接受联合体投标的，除应符合本章第1.4.1项和投标人须知前附表的要求外，还应遵守以下规定：</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（1）联合体各方应按招标文件提供的格式签订联合体协议书，明确联合体牵头人和各方权利义务；</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（2）由同一专业的单位组成的联合体，按照资质等级较低的单位确定资质等级；</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（3）联合体各方不得再以自己名次单独或参加其他联合体在同一标段中投标。</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1.4.3投标人不得存在下列情形之一：</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（1）为招标人不具有独立法人资格的附属机构（单位）；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（2）为本标段的代建人；</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（3）为本标段提供招标代理服务的；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（4）单位负责人为同一人或者存在控股、管理关系的不同单位，同时参加本标段投标的；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（5）投标人及其法定代表人控股的其他公司，同时参加本标段投标的；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（6）与招标人存在利害关系可能影响招标公正性的法人、其他组织或者个人参加投标的；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（7）被责令停业的；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（8）被暂停或取消投标资格的；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（9）财产被接管或冻结的。</w:t>
      </w:r>
    </w:p>
    <w:p>
      <w:pPr>
        <w:pStyle w:val="57"/>
        <w:ind w:firstLine="422" w:firstLineChars="200"/>
        <w:rPr>
          <w:rFonts w:hint="default" w:ascii="Times New Roman" w:hAnsi="Times New Roman" w:eastAsia="宋体" w:cs="Times New Roman"/>
          <w:b/>
          <w:color w:val="auto"/>
          <w:sz w:val="21"/>
          <w:szCs w:val="21"/>
        </w:rPr>
      </w:pPr>
      <w:bookmarkStart w:id="33" w:name="_Toc10130"/>
      <w:bookmarkStart w:id="34" w:name="_Toc392345914"/>
      <w:r>
        <w:rPr>
          <w:rFonts w:hint="default" w:ascii="Times New Roman" w:hAnsi="Times New Roman" w:eastAsia="宋体" w:cs="Times New Roman"/>
          <w:b/>
          <w:color w:val="auto"/>
          <w:sz w:val="21"/>
          <w:szCs w:val="21"/>
        </w:rPr>
        <w:t>1.5 费用承担</w:t>
      </w:r>
      <w:bookmarkEnd w:id="29"/>
      <w:bookmarkEnd w:id="30"/>
      <w:bookmarkEnd w:id="31"/>
      <w:bookmarkEnd w:id="32"/>
      <w:bookmarkEnd w:id="33"/>
      <w:bookmarkEnd w:id="3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投标人准备和参加投标活动发生的费用自理。</w:t>
      </w:r>
    </w:p>
    <w:p>
      <w:pPr>
        <w:pStyle w:val="57"/>
        <w:ind w:firstLine="422" w:firstLineChars="200"/>
        <w:rPr>
          <w:rFonts w:hint="default" w:ascii="Times New Roman" w:hAnsi="Times New Roman" w:eastAsia="宋体" w:cs="Times New Roman"/>
          <w:b/>
          <w:color w:val="auto"/>
          <w:sz w:val="21"/>
          <w:szCs w:val="21"/>
        </w:rPr>
      </w:pPr>
      <w:bookmarkStart w:id="35" w:name="_Toc319408072"/>
      <w:bookmarkStart w:id="36" w:name="_Toc245036603"/>
      <w:bookmarkStart w:id="37" w:name="_Toc322615398"/>
      <w:bookmarkStart w:id="38" w:name="_Toc392345915"/>
      <w:bookmarkStart w:id="39" w:name="_Toc152042312"/>
      <w:bookmarkStart w:id="40" w:name="_Toc319407837"/>
      <w:bookmarkStart w:id="41" w:name="_Toc25357"/>
      <w:bookmarkStart w:id="42" w:name="_Toc152045536"/>
      <w:bookmarkStart w:id="43" w:name="_Toc323711750"/>
      <w:bookmarkStart w:id="44" w:name="_Toc144974504"/>
      <w:bookmarkStart w:id="45" w:name="_Toc229646724"/>
      <w:bookmarkStart w:id="46" w:name="_Toc152042318"/>
      <w:bookmarkStart w:id="47" w:name="_Toc152045542"/>
      <w:bookmarkStart w:id="48" w:name="_Toc144974510"/>
      <w:r>
        <w:rPr>
          <w:rFonts w:hint="default" w:ascii="Times New Roman" w:hAnsi="Times New Roman" w:eastAsia="宋体" w:cs="Times New Roman"/>
          <w:b/>
          <w:color w:val="auto"/>
          <w:sz w:val="21"/>
          <w:szCs w:val="21"/>
        </w:rPr>
        <w:t>1.6 保密</w:t>
      </w:r>
      <w:bookmarkEnd w:id="35"/>
      <w:bookmarkEnd w:id="36"/>
      <w:bookmarkEnd w:id="37"/>
      <w:bookmarkEnd w:id="38"/>
      <w:bookmarkEnd w:id="39"/>
      <w:bookmarkEnd w:id="40"/>
      <w:bookmarkEnd w:id="41"/>
      <w:bookmarkEnd w:id="42"/>
      <w:bookmarkEnd w:id="43"/>
      <w:bookmarkEnd w:id="4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参与招标投标活动的各方应对招标文件和投标文件中的商业和技术等秘密保密，违者应对由此造成的后果承担法律责任。 </w:t>
      </w:r>
    </w:p>
    <w:p>
      <w:pPr>
        <w:pStyle w:val="57"/>
        <w:ind w:firstLine="422" w:firstLineChars="200"/>
        <w:rPr>
          <w:rFonts w:hint="default" w:ascii="Times New Roman" w:hAnsi="Times New Roman" w:eastAsia="宋体" w:cs="Times New Roman"/>
          <w:b/>
          <w:color w:val="auto"/>
          <w:sz w:val="21"/>
          <w:szCs w:val="21"/>
        </w:rPr>
      </w:pPr>
      <w:bookmarkStart w:id="49" w:name="_Toc144974505"/>
      <w:bookmarkStart w:id="50" w:name="_Toc152045537"/>
      <w:bookmarkStart w:id="51" w:name="_Toc4033"/>
      <w:bookmarkStart w:id="52" w:name="_Toc322615399"/>
      <w:bookmarkStart w:id="53" w:name="_Toc392345916"/>
      <w:bookmarkStart w:id="54" w:name="_Toc319407838"/>
      <w:bookmarkStart w:id="55" w:name="_Toc152042313"/>
      <w:bookmarkStart w:id="56" w:name="_Toc245036604"/>
      <w:bookmarkStart w:id="57" w:name="_Toc319408073"/>
      <w:bookmarkStart w:id="58" w:name="_Toc323711751"/>
      <w:r>
        <w:rPr>
          <w:rFonts w:hint="default" w:ascii="Times New Roman" w:hAnsi="Times New Roman" w:eastAsia="宋体" w:cs="Times New Roman"/>
          <w:b/>
          <w:color w:val="auto"/>
          <w:sz w:val="21"/>
          <w:szCs w:val="21"/>
        </w:rPr>
        <w:t>1.7 语言</w:t>
      </w:r>
      <w:bookmarkEnd w:id="49"/>
      <w:r>
        <w:rPr>
          <w:rFonts w:hint="default" w:ascii="Times New Roman" w:hAnsi="Times New Roman" w:eastAsia="宋体" w:cs="Times New Roman"/>
          <w:b/>
          <w:color w:val="auto"/>
          <w:sz w:val="21"/>
          <w:szCs w:val="21"/>
        </w:rPr>
        <w:t>文字</w:t>
      </w:r>
      <w:bookmarkEnd w:id="50"/>
      <w:bookmarkEnd w:id="51"/>
      <w:bookmarkEnd w:id="52"/>
      <w:bookmarkEnd w:id="53"/>
      <w:bookmarkEnd w:id="54"/>
      <w:bookmarkEnd w:id="55"/>
      <w:bookmarkEnd w:id="56"/>
      <w:bookmarkEnd w:id="57"/>
      <w:bookmarkEnd w:id="5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除专用术语外，与招标投标有关的语言均使用中文。必要时专用术语应附有中文注释。</w:t>
      </w:r>
    </w:p>
    <w:p>
      <w:pPr>
        <w:pStyle w:val="57"/>
        <w:ind w:firstLine="422" w:firstLineChars="200"/>
        <w:rPr>
          <w:rFonts w:hint="default" w:ascii="Times New Roman" w:hAnsi="Times New Roman" w:eastAsia="宋体" w:cs="Times New Roman"/>
          <w:b/>
          <w:color w:val="auto"/>
          <w:sz w:val="21"/>
          <w:szCs w:val="21"/>
        </w:rPr>
      </w:pPr>
      <w:bookmarkStart w:id="59" w:name="_Toc323711752"/>
      <w:bookmarkStart w:id="60" w:name="_Toc245036605"/>
      <w:bookmarkStart w:id="61" w:name="_Toc144974506"/>
      <w:bookmarkStart w:id="62" w:name="_Toc319407839"/>
      <w:bookmarkStart w:id="63" w:name="_Toc152042314"/>
      <w:bookmarkStart w:id="64" w:name="_Toc322615400"/>
      <w:bookmarkStart w:id="65" w:name="_Toc392345917"/>
      <w:bookmarkStart w:id="66" w:name="_Toc152045538"/>
      <w:bookmarkStart w:id="67" w:name="_Toc319408074"/>
      <w:bookmarkStart w:id="68" w:name="_Toc31144"/>
      <w:r>
        <w:rPr>
          <w:rFonts w:hint="default" w:ascii="Times New Roman" w:hAnsi="Times New Roman" w:eastAsia="宋体" w:cs="Times New Roman"/>
          <w:b/>
          <w:color w:val="auto"/>
          <w:sz w:val="21"/>
          <w:szCs w:val="21"/>
        </w:rPr>
        <w:t>1.8 计量单位</w:t>
      </w:r>
      <w:bookmarkEnd w:id="59"/>
      <w:bookmarkEnd w:id="60"/>
      <w:bookmarkEnd w:id="61"/>
      <w:bookmarkEnd w:id="62"/>
      <w:bookmarkEnd w:id="63"/>
      <w:bookmarkEnd w:id="64"/>
      <w:bookmarkEnd w:id="65"/>
      <w:bookmarkEnd w:id="66"/>
      <w:bookmarkEnd w:id="67"/>
      <w:bookmarkEnd w:id="6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所有计量均采用中华人民共和国法定计量单位。</w:t>
      </w:r>
    </w:p>
    <w:p>
      <w:pPr>
        <w:pStyle w:val="57"/>
        <w:ind w:firstLine="422" w:firstLineChars="200"/>
        <w:rPr>
          <w:rFonts w:hint="default" w:ascii="Times New Roman" w:hAnsi="Times New Roman" w:eastAsia="宋体" w:cs="Times New Roman"/>
          <w:b/>
          <w:color w:val="auto"/>
          <w:sz w:val="21"/>
          <w:szCs w:val="21"/>
        </w:rPr>
      </w:pPr>
      <w:bookmarkStart w:id="69" w:name="_Toc926"/>
      <w:bookmarkStart w:id="70" w:name="_Toc392345918"/>
      <w:bookmarkStart w:id="71" w:name="_Toc322615401"/>
      <w:bookmarkStart w:id="72" w:name="_Toc323711753"/>
      <w:bookmarkStart w:id="73" w:name="_Toc152045539"/>
      <w:bookmarkStart w:id="74" w:name="_Toc319408075"/>
      <w:bookmarkStart w:id="75" w:name="_Toc245036606"/>
      <w:bookmarkStart w:id="76" w:name="_Toc144974507"/>
      <w:bookmarkStart w:id="77" w:name="_Toc152042315"/>
      <w:bookmarkStart w:id="78" w:name="_Toc319407840"/>
      <w:r>
        <w:rPr>
          <w:rFonts w:hint="default" w:ascii="Times New Roman" w:hAnsi="Times New Roman" w:eastAsia="宋体" w:cs="Times New Roman"/>
          <w:b/>
          <w:color w:val="auto"/>
          <w:sz w:val="21"/>
          <w:szCs w:val="21"/>
        </w:rPr>
        <w:t>1.9 踏勘现场</w:t>
      </w:r>
      <w:bookmarkEnd w:id="69"/>
      <w:bookmarkEnd w:id="70"/>
      <w:bookmarkEnd w:id="71"/>
      <w:bookmarkEnd w:id="72"/>
      <w:bookmarkEnd w:id="73"/>
      <w:bookmarkEnd w:id="74"/>
      <w:bookmarkEnd w:id="75"/>
      <w:bookmarkEnd w:id="76"/>
      <w:bookmarkEnd w:id="77"/>
      <w:bookmarkEnd w:id="7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1.9.1 投标人须知前附表规定组织踏勘现场的，招标人按投标人须知前附表规定的时间、地点组织投标人踏勘项目现场。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1.9.2 投标人踏勘现场发生的费用自理。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1.9.3 除招标人的原因外，投标人自行负责在踏勘现场中所发生的人员伤亡和财产损失。</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1.9.4 招标人在踏勘现场中介绍的工程场地和相关的周边环境情况，供投标人在编制投标文件时参考，招标人不对投标人据此作出的判断和决策负责。</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1.9.5 招标人提供的本工程的相关参考资料，并不构成合同文件的组成部分，投标人应对上述资料的解释、推论和应用负责，招标人不对投标人据此作出的判断和决策承担任何责任。</w:t>
      </w:r>
    </w:p>
    <w:p>
      <w:pPr>
        <w:pStyle w:val="57"/>
        <w:ind w:firstLine="422" w:firstLineChars="200"/>
        <w:rPr>
          <w:rFonts w:hint="default" w:ascii="Times New Roman" w:hAnsi="Times New Roman" w:eastAsia="宋体" w:cs="Times New Roman"/>
          <w:b/>
          <w:color w:val="auto"/>
          <w:sz w:val="21"/>
          <w:szCs w:val="21"/>
        </w:rPr>
      </w:pPr>
      <w:bookmarkStart w:id="79" w:name="_Toc323711754"/>
      <w:bookmarkStart w:id="80" w:name="_Toc322615402"/>
      <w:bookmarkStart w:id="81" w:name="_Toc245036607"/>
      <w:bookmarkStart w:id="82" w:name="_Toc319407841"/>
      <w:bookmarkStart w:id="83" w:name="_Toc319408076"/>
      <w:bookmarkStart w:id="84" w:name="_Toc144974508"/>
      <w:bookmarkStart w:id="85" w:name="_Toc152042316"/>
      <w:bookmarkStart w:id="86" w:name="_Toc152045540"/>
      <w:bookmarkStart w:id="87" w:name="_Toc392345919"/>
      <w:bookmarkStart w:id="88" w:name="_Toc1967"/>
      <w:r>
        <w:rPr>
          <w:rFonts w:hint="default" w:ascii="Times New Roman" w:hAnsi="Times New Roman" w:eastAsia="宋体" w:cs="Times New Roman"/>
          <w:b/>
          <w:color w:val="auto"/>
          <w:sz w:val="21"/>
          <w:szCs w:val="21"/>
        </w:rPr>
        <w:t xml:space="preserve">1.10 </w:t>
      </w:r>
      <w:bookmarkEnd w:id="79"/>
      <w:bookmarkEnd w:id="80"/>
      <w:bookmarkEnd w:id="81"/>
      <w:bookmarkEnd w:id="82"/>
      <w:bookmarkEnd w:id="83"/>
      <w:bookmarkEnd w:id="84"/>
      <w:bookmarkEnd w:id="85"/>
      <w:bookmarkEnd w:id="86"/>
      <w:bookmarkEnd w:id="87"/>
      <w:r>
        <w:rPr>
          <w:rFonts w:hint="default" w:ascii="Times New Roman" w:hAnsi="Times New Roman" w:eastAsia="宋体" w:cs="Times New Roman"/>
          <w:b/>
          <w:color w:val="auto"/>
          <w:sz w:val="21"/>
          <w:szCs w:val="21"/>
        </w:rPr>
        <w:t>投标预备会</w:t>
      </w:r>
      <w:bookmarkEnd w:id="8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1.10.1投标人须知前附表规定召开投标预备会的，招标人按投标人须知前附表规定的时间和地点召开投标预备会，澄清投标人提出的问题。</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1.10.2投标人应在投标人须知前附表规定的时间前，以电子邮件的形式（可匿名）将提出的问题发至招标人的电子邮箱。</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1.10.3招标人在投标人须知前附表规定的时间内，将对投标人所提问题进行澄清和对招标文件的补充、修改，并在投标人须知前附表1.10.4指定的网站上公开发布。该澄清内容为招标文件的组成部分。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1.10.4上传疑问邮箱，下载澄清、修改、补充文件网址见投标人须知前附表。</w:t>
      </w:r>
    </w:p>
    <w:p>
      <w:pPr>
        <w:pStyle w:val="57"/>
        <w:ind w:firstLine="422" w:firstLineChars="200"/>
        <w:rPr>
          <w:rFonts w:hint="default" w:ascii="Times New Roman" w:hAnsi="Times New Roman" w:eastAsia="宋体" w:cs="Times New Roman"/>
          <w:b/>
          <w:color w:val="auto"/>
          <w:sz w:val="21"/>
          <w:szCs w:val="21"/>
        </w:rPr>
      </w:pPr>
      <w:bookmarkStart w:id="89" w:name="_Toc27344"/>
      <w:r>
        <w:rPr>
          <w:rFonts w:hint="default" w:ascii="Times New Roman" w:hAnsi="Times New Roman" w:eastAsia="宋体" w:cs="Times New Roman"/>
          <w:b/>
          <w:color w:val="auto"/>
          <w:sz w:val="21"/>
          <w:szCs w:val="21"/>
        </w:rPr>
        <w:t>1.11分包</w:t>
      </w:r>
      <w:bookmarkEnd w:id="89"/>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投标人拟在中标后将中标项目的部分非主体、非关键性工作进行分包的，应符合投标人须知前附表规定的分包内容、分包金额和资质要求等限制性条件。</w:t>
      </w:r>
    </w:p>
    <w:p>
      <w:pPr>
        <w:pStyle w:val="57"/>
        <w:ind w:firstLine="422" w:firstLineChars="200"/>
        <w:rPr>
          <w:rFonts w:hint="default" w:ascii="Times New Roman" w:hAnsi="Times New Roman" w:eastAsia="宋体" w:cs="Times New Roman"/>
          <w:b/>
          <w:color w:val="auto"/>
          <w:sz w:val="21"/>
          <w:szCs w:val="21"/>
        </w:rPr>
      </w:pPr>
      <w:bookmarkStart w:id="90" w:name="_Toc13279"/>
      <w:r>
        <w:rPr>
          <w:rFonts w:hint="default" w:ascii="Times New Roman" w:hAnsi="Times New Roman" w:eastAsia="宋体" w:cs="Times New Roman"/>
          <w:b/>
          <w:color w:val="auto"/>
          <w:sz w:val="21"/>
          <w:szCs w:val="21"/>
        </w:rPr>
        <w:t>1.12偏离</w:t>
      </w:r>
      <w:bookmarkEnd w:id="90"/>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投标人须知前附表允许投标文件偏离招标文件某些要求的，偏离应当符合招标文件规定的偏离范围和幅度。</w:t>
      </w:r>
    </w:p>
    <w:bookmarkEnd w:id="45"/>
    <w:bookmarkEnd w:id="46"/>
    <w:bookmarkEnd w:id="47"/>
    <w:bookmarkEnd w:id="48"/>
    <w:p>
      <w:pPr>
        <w:pStyle w:val="56"/>
        <w:spacing w:before="0"/>
        <w:ind w:firstLine="420" w:firstLineChars="200"/>
        <w:rPr>
          <w:rFonts w:hint="default" w:ascii="Times New Roman" w:hAnsi="Times New Roman" w:eastAsia="宋体" w:cs="Times New Roman"/>
          <w:color w:val="auto"/>
          <w:sz w:val="21"/>
          <w:szCs w:val="21"/>
        </w:rPr>
      </w:pPr>
      <w:bookmarkStart w:id="91" w:name="_Toc17"/>
      <w:bookmarkStart w:id="92" w:name="_Toc392345920"/>
      <w:bookmarkStart w:id="93" w:name="_Toc323711757"/>
      <w:bookmarkStart w:id="94" w:name="_Toc245036610"/>
      <w:bookmarkStart w:id="95" w:name="_Toc229646728"/>
      <w:bookmarkStart w:id="96" w:name="_Toc152042322"/>
      <w:bookmarkStart w:id="97" w:name="_Toc144974514"/>
      <w:bookmarkStart w:id="98" w:name="_Toc152045546"/>
      <w:bookmarkStart w:id="99" w:name="_Toc144974516"/>
      <w:bookmarkStart w:id="100" w:name="_Toc152045548"/>
      <w:bookmarkStart w:id="101" w:name="_Toc152042324"/>
      <w:bookmarkStart w:id="102" w:name="_Toc229646730"/>
      <w:r>
        <w:rPr>
          <w:rFonts w:hint="default" w:ascii="Times New Roman" w:hAnsi="Times New Roman" w:eastAsia="宋体" w:cs="Times New Roman"/>
          <w:color w:val="auto"/>
          <w:sz w:val="21"/>
          <w:szCs w:val="21"/>
        </w:rPr>
        <w:t>2. 招标文件</w:t>
      </w:r>
      <w:bookmarkEnd w:id="91"/>
      <w:bookmarkEnd w:id="92"/>
      <w:bookmarkEnd w:id="93"/>
      <w:bookmarkEnd w:id="94"/>
    </w:p>
    <w:p>
      <w:pPr>
        <w:pStyle w:val="57"/>
        <w:ind w:firstLine="422" w:firstLineChars="200"/>
        <w:rPr>
          <w:rFonts w:hint="default" w:ascii="Times New Roman" w:hAnsi="Times New Roman" w:eastAsia="宋体" w:cs="Times New Roman"/>
          <w:b/>
          <w:color w:val="auto"/>
          <w:sz w:val="21"/>
          <w:szCs w:val="21"/>
        </w:rPr>
      </w:pPr>
      <w:bookmarkStart w:id="103" w:name="_Toc245036611"/>
      <w:bookmarkStart w:id="104" w:name="_Toc144974511"/>
      <w:bookmarkStart w:id="105" w:name="_Toc26955"/>
      <w:bookmarkStart w:id="106" w:name="_Toc319407845"/>
      <w:bookmarkStart w:id="107" w:name="_Toc392345921"/>
      <w:bookmarkStart w:id="108" w:name="_Toc319408080"/>
      <w:bookmarkStart w:id="109" w:name="_Toc152045543"/>
      <w:bookmarkStart w:id="110" w:name="_Toc152042319"/>
      <w:bookmarkStart w:id="111" w:name="_Toc322615406"/>
      <w:bookmarkStart w:id="112" w:name="_Toc323711758"/>
      <w:r>
        <w:rPr>
          <w:rFonts w:hint="default" w:ascii="Times New Roman" w:hAnsi="Times New Roman" w:eastAsia="宋体" w:cs="Times New Roman"/>
          <w:b/>
          <w:color w:val="auto"/>
          <w:sz w:val="21"/>
          <w:szCs w:val="21"/>
        </w:rPr>
        <w:t>2.1 招标文件的组成</w:t>
      </w:r>
      <w:bookmarkEnd w:id="103"/>
      <w:bookmarkEnd w:id="104"/>
      <w:bookmarkEnd w:id="105"/>
      <w:bookmarkEnd w:id="106"/>
      <w:bookmarkEnd w:id="107"/>
      <w:bookmarkEnd w:id="108"/>
      <w:bookmarkEnd w:id="109"/>
      <w:bookmarkEnd w:id="110"/>
      <w:bookmarkEnd w:id="111"/>
      <w:bookmarkEnd w:id="112"/>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本招标文件包括：</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（1）招标公告；</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（2）投标人须知；</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（3）评标办法；</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（4）合同条款及格式；</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（5）招标内容和技术要求；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（6）投标文件格式；</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（7）投标人须知前附表规定的其他材料。</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根据本章第1.10款、第2.2款对招标文件所作的澄清、修改，构成招标文件的组成部分。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招标文件、招标文件的澄清或修改等在同一内容的表述上不一致时，以最后发出的书面文件为准。</w:t>
      </w:r>
    </w:p>
    <w:p>
      <w:pPr>
        <w:pStyle w:val="57"/>
        <w:ind w:firstLine="422" w:firstLineChars="200"/>
        <w:rPr>
          <w:rFonts w:hint="default" w:ascii="Times New Roman" w:hAnsi="Times New Roman" w:eastAsia="宋体" w:cs="Times New Roman"/>
          <w:b/>
          <w:color w:val="auto"/>
          <w:sz w:val="21"/>
          <w:szCs w:val="21"/>
        </w:rPr>
      </w:pPr>
      <w:bookmarkStart w:id="113" w:name="_Toc152042320"/>
      <w:bookmarkStart w:id="114" w:name="_Toc322615407"/>
      <w:bookmarkStart w:id="115" w:name="_Toc245036612"/>
      <w:bookmarkStart w:id="116" w:name="_Toc144974512"/>
      <w:bookmarkStart w:id="117" w:name="_Toc323711759"/>
      <w:bookmarkStart w:id="118" w:name="_Toc14430"/>
      <w:bookmarkStart w:id="119" w:name="_Toc319408081"/>
      <w:bookmarkStart w:id="120" w:name="_Toc319407846"/>
      <w:bookmarkStart w:id="121" w:name="_Toc152045544"/>
      <w:bookmarkStart w:id="122" w:name="_Toc392345922"/>
      <w:r>
        <w:rPr>
          <w:rFonts w:hint="default" w:ascii="Times New Roman" w:hAnsi="Times New Roman" w:eastAsia="宋体" w:cs="Times New Roman"/>
          <w:b/>
          <w:color w:val="auto"/>
          <w:sz w:val="21"/>
          <w:szCs w:val="21"/>
        </w:rPr>
        <w:t xml:space="preserve">2.2 </w:t>
      </w:r>
      <w:bookmarkEnd w:id="113"/>
      <w:bookmarkEnd w:id="114"/>
      <w:bookmarkEnd w:id="115"/>
      <w:bookmarkEnd w:id="116"/>
      <w:bookmarkEnd w:id="117"/>
      <w:bookmarkEnd w:id="118"/>
      <w:bookmarkEnd w:id="119"/>
      <w:bookmarkEnd w:id="120"/>
      <w:bookmarkEnd w:id="121"/>
      <w:bookmarkEnd w:id="122"/>
      <w:bookmarkStart w:id="123" w:name="_Toc392345924"/>
      <w:bookmarkStart w:id="124" w:name="_Toc3662"/>
      <w:r>
        <w:rPr>
          <w:rFonts w:hint="default" w:ascii="Times New Roman" w:hAnsi="Times New Roman" w:eastAsia="宋体" w:cs="Times New Roman"/>
          <w:b/>
          <w:color w:val="auto"/>
          <w:sz w:val="21"/>
          <w:szCs w:val="21"/>
        </w:rPr>
        <w:t xml:space="preserve"> 招标文件的澄清和修改</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2.2.2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2.2.3 投标人确认收到招标文件澄清和修改内容的时间：见投标人须知前附表。</w:t>
      </w:r>
    </w:p>
    <w:p>
      <w:pPr>
        <w:pStyle w:val="56"/>
        <w:spacing w:before="0"/>
        <w:ind w:firstLine="422" w:firstLineChars="200"/>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3. 投标文件</w:t>
      </w:r>
      <w:bookmarkEnd w:id="95"/>
      <w:bookmarkEnd w:id="96"/>
      <w:bookmarkEnd w:id="97"/>
      <w:bookmarkEnd w:id="98"/>
      <w:bookmarkEnd w:id="123"/>
      <w:bookmarkEnd w:id="124"/>
    </w:p>
    <w:p>
      <w:pPr>
        <w:pStyle w:val="57"/>
        <w:ind w:firstLine="422" w:firstLineChars="200"/>
        <w:rPr>
          <w:rFonts w:hint="default" w:ascii="Times New Roman" w:hAnsi="Times New Roman" w:eastAsia="宋体" w:cs="Times New Roman"/>
          <w:b/>
          <w:color w:val="auto"/>
          <w:sz w:val="21"/>
          <w:szCs w:val="21"/>
        </w:rPr>
      </w:pPr>
      <w:bookmarkStart w:id="125" w:name="_Toc229646729"/>
      <w:bookmarkStart w:id="126" w:name="_Toc392345925"/>
      <w:bookmarkStart w:id="127" w:name="_Toc152042323"/>
      <w:bookmarkStart w:id="128" w:name="_Toc22707"/>
      <w:bookmarkStart w:id="129" w:name="_Toc144974515"/>
      <w:bookmarkStart w:id="130" w:name="_Toc152045547"/>
      <w:r>
        <w:rPr>
          <w:rFonts w:hint="default" w:ascii="Times New Roman" w:hAnsi="Times New Roman" w:eastAsia="宋体" w:cs="Times New Roman"/>
          <w:b/>
          <w:color w:val="auto"/>
          <w:sz w:val="21"/>
          <w:szCs w:val="21"/>
        </w:rPr>
        <w:t>3.1 投标文件的组成</w:t>
      </w:r>
      <w:bookmarkEnd w:id="125"/>
      <w:bookmarkEnd w:id="126"/>
      <w:bookmarkEnd w:id="127"/>
      <w:bookmarkEnd w:id="128"/>
      <w:bookmarkEnd w:id="129"/>
      <w:bookmarkEnd w:id="130"/>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3.1.1商务标部分</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（1）投标函(格式)</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（2）法定代表人授权书及法定代表人身份证明(格式)</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（3）投标报价表（格式）</w:t>
      </w:r>
    </w:p>
    <w:p>
      <w:pPr>
        <w:pStyle w:val="11"/>
        <w:spacing w:line="400" w:lineRule="exact"/>
        <w:ind w:firstLine="630" w:firstLineChars="300"/>
        <w:rPr>
          <w:rFonts w:hint="default" w:ascii="Times New Roman" w:hAnsi="Times New Roman" w:cs="Times New Roman"/>
          <w:color w:val="auto"/>
          <w:szCs w:val="21"/>
        </w:rPr>
      </w:pPr>
      <w:r>
        <w:rPr>
          <w:rFonts w:hint="default" w:ascii="Times New Roman" w:hAnsi="Times New Roman" w:cs="Times New Roman"/>
          <w:color w:val="auto"/>
          <w:szCs w:val="21"/>
          <w:u w:val="single"/>
        </w:rPr>
        <w:t xml:space="preserve">    / </w:t>
      </w:r>
      <w:r>
        <w:rPr>
          <w:rFonts w:hint="default" w:ascii="Times New Roman" w:hAnsi="Times New Roman" w:cs="Times New Roman"/>
          <w:i/>
          <w:color w:val="auto"/>
          <w:szCs w:val="21"/>
          <w:u w:val="single"/>
        </w:rPr>
        <w:t>（</w:t>
      </w:r>
      <w:r>
        <w:rPr>
          <w:rFonts w:hint="default" w:ascii="Times New Roman" w:hAnsi="Times New Roman" w:cs="Times New Roman"/>
          <w:i/>
          <w:color w:val="auto"/>
          <w:szCs w:val="21"/>
        </w:rPr>
        <w:t>招标人需要增加的其他商务内容）</w:t>
      </w:r>
      <w:r>
        <w:rPr>
          <w:rFonts w:hint="default" w:ascii="Times New Roman" w:hAnsi="Times New Roman" w:cs="Times New Roman"/>
          <w:color w:val="auto"/>
          <w:szCs w:val="21"/>
        </w:rPr>
        <w:t>。</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3.1.2技术标部分</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1</w:t>
      </w:r>
      <w:r>
        <w:rPr>
          <w:rFonts w:hint="default" w:ascii="Times New Roman" w:hAnsi="Times New Roman" w:cs="Times New Roman"/>
          <w:color w:val="auto"/>
          <w:szCs w:val="21"/>
        </w:rPr>
        <w:t>）技术响应表（格式）</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2</w:t>
      </w:r>
      <w:r>
        <w:rPr>
          <w:rFonts w:hint="default" w:ascii="Times New Roman" w:hAnsi="Times New Roman" w:cs="Times New Roman"/>
          <w:color w:val="auto"/>
          <w:szCs w:val="21"/>
        </w:rPr>
        <w:t>）主要配置说明一览表</w:t>
      </w:r>
      <w:r>
        <w:rPr>
          <w:rFonts w:hint="default" w:ascii="Times New Roman" w:hAnsi="Times New Roman" w:cs="Times New Roman"/>
          <w:color w:val="auto"/>
          <w:szCs w:val="21"/>
          <w:lang w:eastAsia="zh-CN"/>
        </w:rPr>
        <w:t>（</w:t>
      </w:r>
      <w:r>
        <w:rPr>
          <w:rFonts w:hint="default" w:ascii="Times New Roman" w:hAnsi="Times New Roman" w:cs="Times New Roman"/>
          <w:color w:val="auto"/>
          <w:szCs w:val="21"/>
          <w:lang w:val="en-US" w:eastAsia="zh-CN"/>
        </w:rPr>
        <w:t>格式自拟</w:t>
      </w:r>
      <w:r>
        <w:rPr>
          <w:rFonts w:hint="default" w:ascii="Times New Roman" w:hAnsi="Times New Roman" w:cs="Times New Roman"/>
          <w:color w:val="auto"/>
          <w:szCs w:val="21"/>
          <w:lang w:eastAsia="zh-CN"/>
        </w:rPr>
        <w:t>）</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3</w:t>
      </w:r>
      <w:r>
        <w:rPr>
          <w:rFonts w:hint="default" w:ascii="Times New Roman" w:hAnsi="Times New Roman" w:cs="Times New Roman"/>
          <w:color w:val="auto"/>
          <w:szCs w:val="21"/>
        </w:rPr>
        <w:t>）</w:t>
      </w:r>
      <w:r>
        <w:rPr>
          <w:rFonts w:hint="default" w:ascii="Times New Roman" w:hAnsi="Times New Roman" w:cs="Times New Roman"/>
          <w:color w:val="auto"/>
          <w:szCs w:val="21"/>
        </w:rPr>
        <w:t>产品详细技术规格书及本招标文件中要求提供的文件及资料</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4</w:t>
      </w:r>
      <w:r>
        <w:rPr>
          <w:rFonts w:hint="default" w:ascii="Times New Roman" w:hAnsi="Times New Roman" w:cs="Times New Roman"/>
          <w:color w:val="auto"/>
          <w:szCs w:val="21"/>
        </w:rPr>
        <w:t>）产品的主要技术、结构、性能、特点和质量水平的详细描述</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5</w:t>
      </w:r>
      <w:r>
        <w:rPr>
          <w:rFonts w:hint="default" w:ascii="Times New Roman" w:hAnsi="Times New Roman" w:cs="Times New Roman"/>
          <w:color w:val="auto"/>
          <w:szCs w:val="21"/>
        </w:rPr>
        <w:t>）产品制造、安装、验收标准</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6</w:t>
      </w:r>
      <w:r>
        <w:rPr>
          <w:rFonts w:hint="default" w:ascii="Times New Roman" w:hAnsi="Times New Roman" w:cs="Times New Roman"/>
          <w:color w:val="auto"/>
          <w:szCs w:val="21"/>
        </w:rPr>
        <w:t>）主要工艺装备和主要检测设施的拥有情况和现状</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7</w:t>
      </w:r>
      <w:r>
        <w:rPr>
          <w:rFonts w:hint="default" w:ascii="Times New Roman" w:hAnsi="Times New Roman" w:cs="Times New Roman"/>
          <w:color w:val="auto"/>
          <w:szCs w:val="21"/>
        </w:rPr>
        <w:t>）质量手册或关于质量管理、质量体系、质量控制、质量保证的详细介绍</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8</w:t>
      </w:r>
      <w:r>
        <w:rPr>
          <w:rFonts w:hint="default" w:ascii="Times New Roman" w:hAnsi="Times New Roman" w:cs="Times New Roman"/>
          <w:color w:val="auto"/>
          <w:szCs w:val="21"/>
        </w:rPr>
        <w:t>) 产品的技术服务和售后服务的内容和措施</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u w:val="single"/>
        </w:rPr>
        <w:t>投标人提供的材料、辅助材料、专用工具及备品备件（易损件）（格式）</w:t>
      </w:r>
      <w:r>
        <w:rPr>
          <w:rFonts w:hint="default" w:ascii="Times New Roman" w:hAnsi="Times New Roman" w:cs="Times New Roman"/>
          <w:color w:val="auto"/>
          <w:szCs w:val="21"/>
          <w:u w:val="single"/>
        </w:rPr>
        <w:t>、品牌偏离表</w:t>
      </w:r>
      <w:r>
        <w:rPr>
          <w:rFonts w:hint="default" w:ascii="Times New Roman" w:hAnsi="Times New Roman" w:cs="Times New Roman"/>
          <w:color w:val="auto"/>
          <w:szCs w:val="21"/>
          <w:u w:val="single"/>
        </w:rPr>
        <w:t>（格式）</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u w:val="single"/>
        </w:rPr>
        <w:t xml:space="preserve"> </w:t>
      </w:r>
      <w:r>
        <w:rPr>
          <w:rFonts w:hint="default" w:ascii="Times New Roman" w:hAnsi="Times New Roman" w:cs="Times New Roman"/>
          <w:i/>
          <w:color w:val="auto"/>
          <w:szCs w:val="21"/>
        </w:rPr>
        <w:t>（招标人需要增加的其他技术内容）</w:t>
      </w:r>
      <w:r>
        <w:rPr>
          <w:rFonts w:hint="default" w:ascii="Times New Roman" w:hAnsi="Times New Roman" w:cs="Times New Roman"/>
          <w:color w:val="auto"/>
          <w:szCs w:val="21"/>
        </w:rPr>
        <w:t>。</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注：未尽事宜请各投标单位按技术部分评分标准制作(重要)！</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3.1.3资格审查资料</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详见投标人须知前附表第3.5条款。</w:t>
      </w:r>
    </w:p>
    <w:p>
      <w:pPr>
        <w:pStyle w:val="57"/>
        <w:ind w:firstLine="422" w:firstLineChars="200"/>
        <w:rPr>
          <w:rFonts w:hint="default" w:ascii="Times New Roman" w:hAnsi="Times New Roman" w:eastAsia="宋体" w:cs="Times New Roman"/>
          <w:b/>
          <w:color w:val="auto"/>
          <w:sz w:val="21"/>
          <w:szCs w:val="21"/>
        </w:rPr>
      </w:pPr>
      <w:bookmarkStart w:id="131" w:name="_Toc5081"/>
      <w:bookmarkStart w:id="132" w:name="_Toc392345926"/>
      <w:r>
        <w:rPr>
          <w:rFonts w:hint="default" w:ascii="Times New Roman" w:hAnsi="Times New Roman" w:eastAsia="宋体" w:cs="Times New Roman"/>
          <w:b/>
          <w:color w:val="auto"/>
          <w:sz w:val="21"/>
          <w:szCs w:val="21"/>
        </w:rPr>
        <w:t>3.2 投标报价</w:t>
      </w:r>
      <w:bookmarkEnd w:id="99"/>
      <w:bookmarkEnd w:id="100"/>
      <w:bookmarkEnd w:id="101"/>
      <w:bookmarkEnd w:id="102"/>
      <w:bookmarkEnd w:id="131"/>
      <w:bookmarkEnd w:id="132"/>
    </w:p>
    <w:p>
      <w:pPr>
        <w:spacing w:line="400" w:lineRule="exact"/>
        <w:ind w:firstLine="420" w:firstLineChars="200"/>
        <w:rPr>
          <w:rFonts w:hint="default" w:ascii="Times New Roman" w:hAnsi="Times New Roman" w:cs="Times New Roman"/>
          <w:color w:val="auto"/>
          <w:szCs w:val="21"/>
        </w:rPr>
      </w:pPr>
      <w:bookmarkStart w:id="133" w:name="_Toc144974517"/>
      <w:bookmarkStart w:id="134" w:name="_Toc229646731"/>
      <w:bookmarkStart w:id="135" w:name="_Toc152045549"/>
      <w:bookmarkStart w:id="136" w:name="_Toc152042325"/>
      <w:r>
        <w:rPr>
          <w:rFonts w:hint="default" w:ascii="Times New Roman" w:hAnsi="Times New Roman" w:cs="Times New Roman"/>
          <w:color w:val="auto"/>
          <w:szCs w:val="21"/>
        </w:rPr>
        <w:t>3.2.1 投标人应按本招标文件中“投标文件格式”的要求填写相应表格。</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3.2.2 投标人在投标截止时间前修改投标函中的投标总报价，应同时修改本招标文件中“投标文件格式”中的相应报价。此修改须符合本章第4.3款的有关要求。</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3.2.3招标人设有最高投标限价的，投标人的投标报价不得超过最高投标限价，最高投标限价详见投标人须知前附表。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3.2.4投标报价的其他要求详见投标人须知前附表。</w:t>
      </w:r>
    </w:p>
    <w:p>
      <w:pPr>
        <w:pStyle w:val="57"/>
        <w:ind w:firstLine="422" w:firstLineChars="200"/>
        <w:rPr>
          <w:rFonts w:hint="default" w:ascii="Times New Roman" w:hAnsi="Times New Roman" w:eastAsia="宋体" w:cs="Times New Roman"/>
          <w:b/>
          <w:color w:val="auto"/>
          <w:sz w:val="21"/>
          <w:szCs w:val="21"/>
        </w:rPr>
      </w:pPr>
      <w:bookmarkStart w:id="137" w:name="_Toc22162"/>
      <w:bookmarkStart w:id="138" w:name="_Toc392345927"/>
      <w:r>
        <w:rPr>
          <w:rFonts w:hint="default" w:ascii="Times New Roman" w:hAnsi="Times New Roman" w:eastAsia="宋体" w:cs="Times New Roman"/>
          <w:b/>
          <w:color w:val="auto"/>
          <w:sz w:val="21"/>
          <w:szCs w:val="21"/>
        </w:rPr>
        <w:t>3.3 投标有效期</w:t>
      </w:r>
      <w:bookmarkEnd w:id="133"/>
      <w:bookmarkEnd w:id="134"/>
      <w:bookmarkEnd w:id="135"/>
      <w:bookmarkEnd w:id="136"/>
      <w:bookmarkEnd w:id="137"/>
      <w:bookmarkEnd w:id="138"/>
    </w:p>
    <w:p>
      <w:pPr>
        <w:spacing w:line="400" w:lineRule="exact"/>
        <w:ind w:firstLine="420" w:firstLineChars="200"/>
        <w:rPr>
          <w:rFonts w:hint="default" w:ascii="Times New Roman" w:hAnsi="Times New Roman" w:cs="Times New Roman"/>
          <w:color w:val="auto"/>
          <w:szCs w:val="21"/>
        </w:rPr>
      </w:pPr>
      <w:bookmarkStart w:id="139" w:name="_Toc152045550"/>
      <w:bookmarkStart w:id="140" w:name="_Toc152042326"/>
      <w:bookmarkStart w:id="141" w:name="_Toc144974518"/>
      <w:bookmarkStart w:id="142" w:name="_Toc229646732"/>
      <w:r>
        <w:rPr>
          <w:rFonts w:hint="default" w:ascii="Times New Roman" w:hAnsi="Times New Roman" w:cs="Times New Roman"/>
          <w:color w:val="auto"/>
          <w:szCs w:val="21"/>
        </w:rPr>
        <w:t>3.3.1 在投标人须知前附表规定的投标有效期内，投标人不得撤销其投标文件。</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57"/>
        <w:ind w:firstLine="422" w:firstLineChars="200"/>
        <w:rPr>
          <w:rFonts w:hint="default" w:ascii="Times New Roman" w:hAnsi="Times New Roman" w:eastAsia="宋体" w:cs="Times New Roman"/>
          <w:b/>
          <w:color w:val="auto"/>
          <w:sz w:val="21"/>
          <w:szCs w:val="21"/>
        </w:rPr>
      </w:pPr>
      <w:bookmarkStart w:id="143" w:name="_Toc392345928"/>
      <w:bookmarkStart w:id="144" w:name="_Toc10327"/>
      <w:r>
        <w:rPr>
          <w:rFonts w:hint="default" w:ascii="Times New Roman" w:hAnsi="Times New Roman" w:eastAsia="宋体" w:cs="Times New Roman"/>
          <w:b/>
          <w:color w:val="auto"/>
          <w:sz w:val="21"/>
          <w:szCs w:val="21"/>
        </w:rPr>
        <w:t>3.4 投标保证金</w:t>
      </w:r>
      <w:bookmarkEnd w:id="139"/>
      <w:bookmarkEnd w:id="140"/>
      <w:bookmarkEnd w:id="141"/>
      <w:bookmarkEnd w:id="142"/>
      <w:bookmarkEnd w:id="143"/>
      <w:bookmarkEnd w:id="144"/>
    </w:p>
    <w:p>
      <w:pPr>
        <w:spacing w:line="400" w:lineRule="exact"/>
        <w:ind w:firstLine="420" w:firstLineChars="200"/>
        <w:rPr>
          <w:rFonts w:hint="default" w:ascii="Times New Roman" w:hAnsi="Times New Roman" w:cs="Times New Roman"/>
          <w:color w:val="auto"/>
          <w:szCs w:val="21"/>
        </w:rPr>
      </w:pPr>
      <w:bookmarkStart w:id="145" w:name="_Toc152045552"/>
      <w:bookmarkStart w:id="146" w:name="_Toc229646733"/>
      <w:bookmarkStart w:id="147" w:name="_Toc144974520"/>
      <w:bookmarkStart w:id="148" w:name="_Toc152042328"/>
      <w:r>
        <w:rPr>
          <w:rFonts w:hint="default" w:ascii="Times New Roman" w:hAnsi="Times New Roman" w:cs="Times New Roman"/>
          <w:color w:val="auto"/>
          <w:szCs w:val="21"/>
        </w:rPr>
        <w:t>3.4.1 投标人应按投标人须知前附表规定的金额、时间及形式递交投标保证金，并作为其投标文件的组成部分。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3.4.2投标人应按本章第3.4.1 项要求提交投标保证金。</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3.4.3</w:t>
      </w:r>
      <w:r>
        <w:rPr>
          <w:rFonts w:hint="default" w:ascii="Times New Roman" w:hAnsi="Times New Roman" w:cs="Times New Roman"/>
          <w:color w:val="auto"/>
          <w:sz w:val="20"/>
          <w:szCs w:val="20"/>
        </w:rPr>
        <w:t>投标保证金的退还：</w:t>
      </w:r>
      <w:r>
        <w:rPr>
          <w:rFonts w:hint="default" w:ascii="Times New Roman" w:hAnsi="Times New Roman" w:cs="Times New Roman"/>
          <w:color w:val="auto"/>
        </w:rPr>
        <w:t>按现行规定退还</w:t>
      </w:r>
      <w:r>
        <w:rPr>
          <w:rFonts w:hint="default" w:ascii="Times New Roman" w:hAnsi="Times New Roman" w:cs="Times New Roman"/>
          <w:color w:val="auto"/>
          <w:sz w:val="20"/>
          <w:szCs w:val="20"/>
        </w:rPr>
        <w:t>。</w:t>
      </w:r>
    </w:p>
    <w:p>
      <w:pPr>
        <w:spacing w:line="440" w:lineRule="exact"/>
        <w:ind w:firstLine="420" w:firstLineChars="200"/>
        <w:rPr>
          <w:rFonts w:hint="default" w:ascii="Times New Roman" w:hAnsi="Times New Roman" w:cs="Times New Roman"/>
          <w:color w:val="auto"/>
        </w:rPr>
      </w:pPr>
      <w:r>
        <w:rPr>
          <w:rFonts w:hint="default" w:ascii="Times New Roman" w:hAnsi="Times New Roman" w:cs="Times New Roman"/>
          <w:color w:val="auto"/>
          <w:szCs w:val="21"/>
        </w:rPr>
        <w:t>3.4.4</w:t>
      </w:r>
      <w:r>
        <w:rPr>
          <w:rFonts w:hint="default" w:ascii="Times New Roman" w:hAnsi="Times New Roman" w:cs="Times New Roman"/>
          <w:color w:val="auto"/>
        </w:rPr>
        <w:t xml:space="preserve">有下列情形之一的，投标保证金将不予退还： </w:t>
      </w:r>
    </w:p>
    <w:p>
      <w:pPr>
        <w:spacing w:line="44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（1）投标人在规定的投标有效期内撤销或修改其投标文件；</w:t>
      </w:r>
    </w:p>
    <w:p>
      <w:pPr>
        <w:spacing w:line="44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（2）中标人在收到中标通知书后，无正当理由拒签合同协议书或未按招标文件规定提交履约担保。</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rPr>
        <w:t>（3）其他法律法规规定情形。</w:t>
      </w:r>
      <w:r>
        <w:rPr>
          <w:rFonts w:hint="default" w:ascii="Times New Roman" w:hAnsi="Times New Roman" w:cs="Times New Roman"/>
          <w:color w:val="auto"/>
          <w:szCs w:val="21"/>
        </w:rPr>
        <w:t xml:space="preserve"> </w:t>
      </w:r>
    </w:p>
    <w:bookmarkEnd w:id="145"/>
    <w:bookmarkEnd w:id="146"/>
    <w:bookmarkEnd w:id="147"/>
    <w:bookmarkEnd w:id="148"/>
    <w:p>
      <w:pPr>
        <w:pStyle w:val="57"/>
        <w:ind w:firstLine="422" w:firstLineChars="200"/>
        <w:rPr>
          <w:rFonts w:hint="default" w:ascii="Times New Roman" w:hAnsi="Times New Roman" w:eastAsia="宋体" w:cs="Times New Roman"/>
          <w:b/>
          <w:strike/>
          <w:color w:val="auto"/>
          <w:sz w:val="21"/>
          <w:szCs w:val="21"/>
        </w:rPr>
      </w:pPr>
      <w:bookmarkStart w:id="149" w:name="_Toc152042329"/>
      <w:bookmarkStart w:id="150" w:name="_Toc144974521"/>
      <w:bookmarkStart w:id="151" w:name="_Toc152045553"/>
      <w:bookmarkStart w:id="152" w:name="_Toc319407854"/>
      <w:bookmarkStart w:id="153" w:name="_Toc322615415"/>
      <w:bookmarkStart w:id="154" w:name="_Toc319408089"/>
      <w:bookmarkStart w:id="155" w:name="_Toc323711767"/>
      <w:bookmarkStart w:id="156" w:name="_Toc245036620"/>
      <w:bookmarkStart w:id="157" w:name="_Toc16875"/>
      <w:bookmarkStart w:id="158" w:name="_Toc392345930"/>
      <w:bookmarkStart w:id="159" w:name="_Toc152042335"/>
      <w:bookmarkStart w:id="160" w:name="_Toc152045559"/>
      <w:bookmarkStart w:id="161" w:name="_Toc229646740"/>
      <w:bookmarkStart w:id="162" w:name="_Toc144974527"/>
      <w:r>
        <w:rPr>
          <w:rFonts w:hint="default" w:ascii="Times New Roman" w:hAnsi="Times New Roman" w:eastAsia="宋体" w:cs="Times New Roman"/>
          <w:b/>
          <w:strike/>
          <w:color w:val="auto"/>
          <w:sz w:val="21"/>
          <w:szCs w:val="21"/>
        </w:rPr>
        <w:t>3.</w:t>
      </w:r>
      <w:bookmarkEnd w:id="149"/>
      <w:bookmarkEnd w:id="150"/>
      <w:bookmarkEnd w:id="151"/>
      <w:bookmarkEnd w:id="152"/>
      <w:bookmarkEnd w:id="153"/>
      <w:bookmarkEnd w:id="154"/>
      <w:bookmarkEnd w:id="155"/>
      <w:bookmarkEnd w:id="156"/>
      <w:bookmarkStart w:id="163" w:name="_Toc319407855"/>
      <w:bookmarkStart w:id="164" w:name="_Toc323711768"/>
      <w:bookmarkStart w:id="165" w:name="_Toc245036621"/>
      <w:bookmarkStart w:id="166" w:name="_Toc319408090"/>
      <w:bookmarkStart w:id="167" w:name="_Toc322615416"/>
      <w:r>
        <w:rPr>
          <w:rFonts w:hint="default" w:ascii="Times New Roman" w:hAnsi="Times New Roman" w:eastAsia="宋体" w:cs="Times New Roman"/>
          <w:b/>
          <w:strike/>
          <w:color w:val="auto"/>
          <w:sz w:val="21"/>
          <w:szCs w:val="21"/>
        </w:rPr>
        <w:t>5资格审查资料</w:t>
      </w:r>
      <w:bookmarkEnd w:id="157"/>
    </w:p>
    <w:p>
      <w:pPr>
        <w:spacing w:line="400" w:lineRule="exact"/>
        <w:ind w:firstLine="420" w:firstLineChars="200"/>
        <w:rPr>
          <w:rFonts w:hint="default" w:ascii="Times New Roman" w:hAnsi="Times New Roman" w:cs="Times New Roman"/>
          <w:strike/>
          <w:color w:val="auto"/>
          <w:szCs w:val="21"/>
        </w:rPr>
      </w:pPr>
      <w:bookmarkStart w:id="168" w:name="_Toc247513977"/>
      <w:bookmarkStart w:id="169" w:name="_Toc152045554"/>
      <w:bookmarkStart w:id="170" w:name="_Toc152042330"/>
      <w:bookmarkStart w:id="171" w:name="_Toc247527578"/>
      <w:bookmarkStart w:id="172" w:name="_Toc300834974"/>
      <w:bookmarkStart w:id="173" w:name="_Toc229646735"/>
      <w:bookmarkStart w:id="174" w:name="_Toc144974522"/>
      <w:r>
        <w:rPr>
          <w:rFonts w:hint="default" w:ascii="Times New Roman" w:hAnsi="Times New Roman" w:cs="Times New Roman"/>
          <w:strike/>
          <w:color w:val="auto"/>
          <w:szCs w:val="21"/>
        </w:rPr>
        <w:t>3.5.1 “投标人基本情况表”应附投标人营业执照副本、资质证书副本等材料的复印件。</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3.5.2 “近年完成的类似项目情况表”应附中标通知书、合同复印件及医院验收证明，具体年份要求见投标人须知前附表。每张表格只填写一个项目，并标明序号。</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3.5.3“正在进行的项目和新承接的项目情况表”应附中标通知书和合同复印件。每张表格只填写一个项目，并标明序号。</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3.5.5 “近年发生的诉讼及仲裁情况”应说明相关情况，并附法院或仲裁机构作出的判决、裁决等有关法律文书复印件，具体年份要求见投标人须知前附表。</w:t>
      </w:r>
    </w:p>
    <w:p>
      <w:pPr>
        <w:spacing w:line="400" w:lineRule="exact"/>
        <w:ind w:firstLine="420" w:firstLineChars="200"/>
        <w:rPr>
          <w:rFonts w:hint="default" w:ascii="Times New Roman" w:hAnsi="Times New Roman" w:cs="Times New Roman"/>
          <w:bCs/>
          <w:strike/>
          <w:color w:val="auto"/>
          <w:szCs w:val="21"/>
        </w:rPr>
      </w:pPr>
      <w:r>
        <w:rPr>
          <w:rFonts w:hint="default" w:ascii="Times New Roman" w:hAnsi="Times New Roman" w:cs="Times New Roman"/>
          <w:strike/>
          <w:color w:val="auto"/>
          <w:szCs w:val="21"/>
        </w:rPr>
        <w:t>3.5.6 投标单位应本着诚实信用的原则，提供真实可信的资格审查资料。若投标单位提供虚假资料，一经查实，</w:t>
      </w:r>
      <w:r>
        <w:rPr>
          <w:rFonts w:hint="default" w:ascii="Times New Roman" w:hAnsi="Times New Roman" w:cs="Times New Roman"/>
          <w:bCs/>
          <w:strike/>
          <w:color w:val="auto"/>
          <w:szCs w:val="21"/>
        </w:rPr>
        <w:t>除</w:t>
      </w:r>
      <w:r>
        <w:rPr>
          <w:rFonts w:hint="default" w:ascii="Times New Roman" w:hAnsi="Times New Roman" w:cs="Times New Roman"/>
          <w:strike/>
          <w:color w:val="auto"/>
          <w:szCs w:val="21"/>
        </w:rPr>
        <w:t>按否决投标处理</w:t>
      </w:r>
      <w:r>
        <w:rPr>
          <w:rFonts w:hint="default" w:ascii="Times New Roman" w:hAnsi="Times New Roman" w:cs="Times New Roman"/>
          <w:bCs/>
          <w:strike/>
          <w:color w:val="auto"/>
          <w:szCs w:val="21"/>
        </w:rPr>
        <w:t>外，其投标保证金不予退还。</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3.5.7资格审查资料详见投标人须知前附表。</w:t>
      </w:r>
    </w:p>
    <w:bookmarkEnd w:id="168"/>
    <w:bookmarkEnd w:id="169"/>
    <w:bookmarkEnd w:id="170"/>
    <w:bookmarkEnd w:id="171"/>
    <w:bookmarkEnd w:id="172"/>
    <w:bookmarkEnd w:id="173"/>
    <w:bookmarkEnd w:id="174"/>
    <w:p>
      <w:pPr>
        <w:pStyle w:val="57"/>
        <w:ind w:firstLine="422" w:firstLineChars="200"/>
        <w:rPr>
          <w:rFonts w:hint="default" w:ascii="Times New Roman" w:hAnsi="Times New Roman" w:eastAsia="宋体" w:cs="Times New Roman"/>
          <w:b/>
          <w:color w:val="auto"/>
          <w:sz w:val="21"/>
          <w:szCs w:val="21"/>
        </w:rPr>
      </w:pPr>
      <w:bookmarkStart w:id="175" w:name="_Toc29305"/>
      <w:r>
        <w:rPr>
          <w:rFonts w:hint="default" w:ascii="Times New Roman" w:hAnsi="Times New Roman" w:eastAsia="宋体" w:cs="Times New Roman"/>
          <w:b/>
          <w:color w:val="auto"/>
          <w:sz w:val="21"/>
          <w:szCs w:val="21"/>
        </w:rPr>
        <w:t>3.6备选投标方案</w:t>
      </w:r>
      <w:bookmarkEnd w:id="175"/>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57"/>
        <w:ind w:firstLine="422" w:firstLineChars="200"/>
        <w:rPr>
          <w:rFonts w:hint="default" w:ascii="Times New Roman" w:hAnsi="Times New Roman" w:eastAsia="宋体" w:cs="Times New Roman"/>
          <w:b/>
          <w:color w:val="auto"/>
          <w:sz w:val="21"/>
          <w:szCs w:val="21"/>
        </w:rPr>
      </w:pPr>
      <w:bookmarkStart w:id="176" w:name="_Toc11039"/>
      <w:r>
        <w:rPr>
          <w:rFonts w:hint="default" w:ascii="Times New Roman" w:hAnsi="Times New Roman" w:eastAsia="宋体" w:cs="Times New Roman"/>
          <w:b/>
          <w:color w:val="auto"/>
          <w:sz w:val="21"/>
          <w:szCs w:val="21"/>
        </w:rPr>
        <w:t>3.7投标文件的编制</w:t>
      </w:r>
      <w:bookmarkEnd w:id="158"/>
      <w:bookmarkEnd w:id="163"/>
      <w:bookmarkEnd w:id="164"/>
      <w:bookmarkEnd w:id="165"/>
      <w:bookmarkEnd w:id="166"/>
      <w:bookmarkEnd w:id="167"/>
      <w:bookmarkEnd w:id="176"/>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3.7.1投标文件应按第七章“投标文件格式”进行编写，如有必要，可以增加附页，作为投标文件的组成部分。其中，投标函在满足招标文件实质性要求的基础上，可以提出比招标文件要求更有利于招标人的承诺。</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3.7.3投标文件正本一份, 副本份数见投标人须知前附表。正本和副本的封面上应清楚地标记“正本”或“副本”的字样。当副本和正本不一致时，以正本为准。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3.7.4投标文件的正本与副本应分别装订成册，</w:t>
      </w:r>
      <w:r>
        <w:rPr>
          <w:rFonts w:hint="default" w:ascii="Times New Roman" w:hAnsi="Times New Roman" w:cs="Times New Roman"/>
          <w:color w:val="auto"/>
          <w:szCs w:val="21"/>
          <w:lang w:eastAsia="zh-CN"/>
        </w:rPr>
        <w:t>建议</w:t>
      </w:r>
      <w:r>
        <w:rPr>
          <w:rFonts w:hint="default" w:ascii="Times New Roman" w:hAnsi="Times New Roman" w:cs="Times New Roman"/>
          <w:color w:val="auto"/>
          <w:szCs w:val="21"/>
        </w:rPr>
        <w:t>编制目录。</w:t>
      </w:r>
      <w:bookmarkStart w:id="177" w:name="_Toc152042331"/>
      <w:bookmarkStart w:id="178" w:name="_Toc245036622"/>
      <w:bookmarkStart w:id="179" w:name="_Toc152045555"/>
      <w:bookmarkStart w:id="180" w:name="_Toc323711769"/>
      <w:bookmarkStart w:id="181" w:name="_Toc144974523"/>
      <w:bookmarkStart w:id="182" w:name="_Toc392345931"/>
      <w:r>
        <w:rPr>
          <w:rFonts w:hint="default" w:ascii="Times New Roman" w:hAnsi="Times New Roman" w:cs="Times New Roman"/>
          <w:color w:val="auto"/>
          <w:szCs w:val="21"/>
        </w:rPr>
        <w:t>具体装订要求见投标人须知前附表规定。</w:t>
      </w:r>
    </w:p>
    <w:p>
      <w:pPr>
        <w:pStyle w:val="56"/>
        <w:spacing w:before="0"/>
        <w:ind w:firstLine="420" w:firstLineChars="200"/>
        <w:rPr>
          <w:rFonts w:hint="default" w:ascii="Times New Roman" w:hAnsi="Times New Roman" w:eastAsia="宋体" w:cs="Times New Roman"/>
          <w:color w:val="auto"/>
          <w:sz w:val="21"/>
          <w:szCs w:val="21"/>
        </w:rPr>
      </w:pPr>
      <w:bookmarkStart w:id="183" w:name="_Toc7085"/>
      <w:r>
        <w:rPr>
          <w:rFonts w:hint="default" w:ascii="Times New Roman" w:hAnsi="Times New Roman" w:eastAsia="宋体" w:cs="Times New Roman"/>
          <w:color w:val="auto"/>
          <w:sz w:val="21"/>
          <w:szCs w:val="21"/>
        </w:rPr>
        <w:t>4. 投标</w:t>
      </w:r>
      <w:bookmarkEnd w:id="177"/>
      <w:bookmarkEnd w:id="178"/>
      <w:bookmarkEnd w:id="179"/>
      <w:bookmarkEnd w:id="180"/>
      <w:bookmarkEnd w:id="181"/>
      <w:bookmarkEnd w:id="182"/>
      <w:bookmarkEnd w:id="183"/>
    </w:p>
    <w:p>
      <w:pPr>
        <w:pStyle w:val="57"/>
        <w:ind w:firstLine="422" w:firstLineChars="200"/>
        <w:rPr>
          <w:rFonts w:hint="default" w:ascii="Times New Roman" w:hAnsi="Times New Roman" w:eastAsia="宋体" w:cs="Times New Roman"/>
          <w:b/>
          <w:color w:val="auto"/>
          <w:sz w:val="21"/>
          <w:szCs w:val="21"/>
        </w:rPr>
      </w:pPr>
      <w:bookmarkStart w:id="184" w:name="_Toc152042332"/>
      <w:bookmarkStart w:id="185" w:name="_Toc20016"/>
      <w:bookmarkStart w:id="186" w:name="_Toc319407857"/>
      <w:bookmarkStart w:id="187" w:name="_Toc322615418"/>
      <w:bookmarkStart w:id="188" w:name="_Toc319408092"/>
      <w:bookmarkStart w:id="189" w:name="_Toc323711770"/>
      <w:bookmarkStart w:id="190" w:name="_Toc245036623"/>
      <w:bookmarkStart w:id="191" w:name="_Toc392345932"/>
      <w:bookmarkStart w:id="192" w:name="_Toc144974524"/>
      <w:bookmarkStart w:id="193" w:name="_Toc152045556"/>
      <w:r>
        <w:rPr>
          <w:rFonts w:hint="default" w:ascii="Times New Roman" w:hAnsi="Times New Roman" w:eastAsia="宋体" w:cs="Times New Roman"/>
          <w:b/>
          <w:color w:val="auto"/>
          <w:sz w:val="21"/>
          <w:szCs w:val="21"/>
        </w:rPr>
        <w:t>4.1 投标文件的密封和标记</w:t>
      </w:r>
      <w:bookmarkEnd w:id="184"/>
      <w:bookmarkEnd w:id="185"/>
      <w:bookmarkEnd w:id="186"/>
      <w:bookmarkEnd w:id="187"/>
      <w:bookmarkEnd w:id="188"/>
      <w:bookmarkEnd w:id="189"/>
      <w:bookmarkEnd w:id="190"/>
      <w:bookmarkEnd w:id="191"/>
      <w:bookmarkEnd w:id="192"/>
      <w:bookmarkEnd w:id="19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4.1.1投标文件的正本与副本</w:t>
      </w:r>
      <w:r>
        <w:rPr>
          <w:rFonts w:hint="default" w:ascii="Times New Roman" w:hAnsi="Times New Roman" w:cs="Times New Roman"/>
          <w:strike/>
          <w:color w:val="auto"/>
          <w:szCs w:val="21"/>
        </w:rPr>
        <w:t>可分开或</w:t>
      </w:r>
      <w:r>
        <w:rPr>
          <w:rFonts w:hint="default" w:ascii="Times New Roman" w:hAnsi="Times New Roman" w:cs="Times New Roman"/>
          <w:color w:val="auto"/>
          <w:szCs w:val="21"/>
        </w:rPr>
        <w:t>合并密封包装（包装要求见投标人须知前附表）。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4.1.2 投标文件封套上应写明的内容见投标人须知前附表。</w:t>
      </w:r>
    </w:p>
    <w:p>
      <w:pPr>
        <w:pStyle w:val="57"/>
        <w:ind w:firstLine="422" w:firstLineChars="200"/>
        <w:rPr>
          <w:rFonts w:hint="default" w:ascii="Times New Roman" w:hAnsi="Times New Roman" w:eastAsia="宋体" w:cs="Times New Roman"/>
          <w:b/>
          <w:color w:val="auto"/>
          <w:sz w:val="21"/>
          <w:szCs w:val="21"/>
        </w:rPr>
      </w:pPr>
      <w:bookmarkStart w:id="194" w:name="_Toc392345933"/>
      <w:bookmarkStart w:id="195" w:name="_Toc144974525"/>
      <w:bookmarkStart w:id="196" w:name="_Toc322615419"/>
      <w:bookmarkStart w:id="197" w:name="_Toc319408093"/>
      <w:bookmarkStart w:id="198" w:name="_Toc319407858"/>
      <w:bookmarkStart w:id="199" w:name="_Toc323711771"/>
      <w:bookmarkStart w:id="200" w:name="_Toc245036624"/>
      <w:bookmarkStart w:id="201" w:name="_Toc152045557"/>
      <w:bookmarkStart w:id="202" w:name="_Toc28433"/>
      <w:bookmarkStart w:id="203" w:name="_Toc152042333"/>
      <w:r>
        <w:rPr>
          <w:rFonts w:hint="default" w:ascii="Times New Roman" w:hAnsi="Times New Roman" w:eastAsia="宋体" w:cs="Times New Roman"/>
          <w:b/>
          <w:color w:val="auto"/>
          <w:sz w:val="21"/>
          <w:szCs w:val="21"/>
        </w:rPr>
        <w:t>4.2 投标文件的递交</w:t>
      </w:r>
      <w:bookmarkEnd w:id="194"/>
      <w:bookmarkEnd w:id="195"/>
      <w:bookmarkEnd w:id="196"/>
      <w:bookmarkEnd w:id="197"/>
      <w:bookmarkEnd w:id="198"/>
      <w:bookmarkEnd w:id="199"/>
      <w:bookmarkEnd w:id="200"/>
      <w:bookmarkEnd w:id="201"/>
      <w:bookmarkEnd w:id="202"/>
      <w:bookmarkEnd w:id="20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4.2.1 投标人应在前附表第2.2.2项规定的投标截止时间前递交投标文件。</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4.2.2 投标人递交投标文件的地点：见投标人须知前附表。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4.2.3 除投标人须知前附表另有规定外，投标人所递交的投标文件不予退还。</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4.2.4 招标人收到投标文件后，向投标人出具签收凭证。</w:t>
      </w:r>
    </w:p>
    <w:p>
      <w:pPr>
        <w:pStyle w:val="57"/>
        <w:ind w:firstLine="422" w:firstLineChars="200"/>
        <w:rPr>
          <w:rFonts w:hint="default" w:ascii="Times New Roman" w:hAnsi="Times New Roman" w:eastAsia="宋体" w:cs="Times New Roman"/>
          <w:b/>
          <w:color w:val="auto"/>
          <w:sz w:val="21"/>
          <w:szCs w:val="21"/>
        </w:rPr>
      </w:pPr>
      <w:bookmarkStart w:id="204" w:name="_Toc245036625"/>
      <w:bookmarkStart w:id="205" w:name="_Toc319408094"/>
      <w:bookmarkStart w:id="206" w:name="_Toc152042334"/>
      <w:bookmarkStart w:id="207" w:name="_Toc392345934"/>
      <w:bookmarkStart w:id="208" w:name="_Toc144974526"/>
      <w:bookmarkStart w:id="209" w:name="_Toc152045558"/>
      <w:bookmarkStart w:id="210" w:name="_Toc323711772"/>
      <w:bookmarkStart w:id="211" w:name="_Toc319407859"/>
      <w:bookmarkStart w:id="212" w:name="_Toc21598"/>
      <w:bookmarkStart w:id="213" w:name="_Toc322615420"/>
      <w:r>
        <w:rPr>
          <w:rFonts w:hint="default" w:ascii="Times New Roman" w:hAnsi="Times New Roman" w:eastAsia="宋体" w:cs="Times New Roman"/>
          <w:b/>
          <w:color w:val="auto"/>
          <w:sz w:val="21"/>
          <w:szCs w:val="21"/>
        </w:rPr>
        <w:t>4.3 投标文件的修改与撤回</w:t>
      </w:r>
      <w:bookmarkEnd w:id="204"/>
      <w:bookmarkEnd w:id="205"/>
      <w:bookmarkEnd w:id="206"/>
      <w:bookmarkEnd w:id="207"/>
      <w:bookmarkEnd w:id="208"/>
      <w:bookmarkEnd w:id="209"/>
      <w:bookmarkEnd w:id="210"/>
      <w:bookmarkEnd w:id="211"/>
      <w:bookmarkEnd w:id="212"/>
      <w:bookmarkEnd w:id="21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4.3.1 在前附表第2.2.2项规定的投标截止时间前，投标人可以修改或撤回已递交的投标文件，但应以书面形式通知招标人。</w:t>
      </w:r>
    </w:p>
    <w:p>
      <w:pPr>
        <w:spacing w:line="400" w:lineRule="exact"/>
        <w:ind w:firstLine="420" w:firstLineChars="200"/>
        <w:rPr>
          <w:rFonts w:hint="default" w:ascii="Times New Roman" w:hAnsi="Times New Roman" w:cs="Times New Roman"/>
          <w:strike/>
          <w:dstrike w:val="0"/>
          <w:color w:val="auto"/>
          <w:szCs w:val="21"/>
        </w:rPr>
      </w:pPr>
      <w:r>
        <w:rPr>
          <w:rFonts w:hint="default" w:ascii="Times New Roman" w:hAnsi="Times New Roman" w:cs="Times New Roman"/>
          <w:color w:val="auto"/>
          <w:szCs w:val="21"/>
        </w:rPr>
        <w:t>4.3.2 投标人修改或撤回已递交投标文件的书面通知应按照本章第3.7.2项的要求签字或盖章。</w:t>
      </w:r>
      <w:r>
        <w:rPr>
          <w:rFonts w:hint="default" w:ascii="Times New Roman" w:hAnsi="Times New Roman" w:cs="Times New Roman"/>
          <w:strike/>
          <w:dstrike w:val="0"/>
          <w:color w:val="auto"/>
          <w:szCs w:val="21"/>
        </w:rPr>
        <w:t>招标人收到书面通知后，向投标人出具签收凭证。</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4.3.3 修改的内容为投标文件的组成部分。修改的投标文件应按照本章第3条、第4条规定进行编制、密封、标记和递交，并标明“修改”字样。</w:t>
      </w:r>
    </w:p>
    <w:p>
      <w:pPr>
        <w:pStyle w:val="57"/>
        <w:ind w:firstLine="422" w:firstLineChars="200"/>
        <w:rPr>
          <w:rFonts w:hint="default" w:ascii="Times New Roman" w:hAnsi="Times New Roman" w:eastAsia="宋体" w:cs="Times New Roman"/>
          <w:b/>
          <w:color w:val="auto"/>
          <w:sz w:val="21"/>
          <w:szCs w:val="21"/>
        </w:rPr>
      </w:pPr>
      <w:bookmarkStart w:id="214" w:name="_Toc14614"/>
      <w:bookmarkStart w:id="215" w:name="_Toc392345935"/>
      <w:r>
        <w:rPr>
          <w:rFonts w:hint="default" w:ascii="Times New Roman" w:hAnsi="Times New Roman" w:eastAsia="宋体" w:cs="Times New Roman"/>
          <w:b/>
          <w:color w:val="auto"/>
          <w:sz w:val="21"/>
          <w:szCs w:val="21"/>
        </w:rPr>
        <w:t>4.4 投标文件的拒收情形</w:t>
      </w:r>
      <w:bookmarkEnd w:id="214"/>
      <w:bookmarkEnd w:id="215"/>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w:t>
      </w:r>
      <w:bookmarkStart w:id="216" w:name="_Toc392345936"/>
      <w:bookmarkStart w:id="217" w:name="_Toc18369"/>
    </w:p>
    <w:p>
      <w:pPr>
        <w:spacing w:line="400" w:lineRule="exact"/>
        <w:ind w:firstLine="422" w:firstLineChars="200"/>
        <w:rPr>
          <w:rFonts w:hint="default" w:ascii="Times New Roman" w:hAnsi="Times New Roman" w:cs="Times New Roman"/>
          <w:color w:val="auto"/>
          <w:szCs w:val="21"/>
        </w:rPr>
      </w:pPr>
      <w:r>
        <w:rPr>
          <w:rFonts w:hint="default" w:ascii="Times New Roman" w:hAnsi="Times New Roman" w:cs="Times New Roman"/>
          <w:b/>
          <w:bCs/>
          <w:color w:val="auto"/>
          <w:szCs w:val="21"/>
        </w:rPr>
        <w:t>5. 开标</w:t>
      </w:r>
      <w:bookmarkEnd w:id="159"/>
      <w:bookmarkEnd w:id="160"/>
      <w:bookmarkEnd w:id="161"/>
      <w:bookmarkEnd w:id="162"/>
      <w:r>
        <w:rPr>
          <w:rFonts w:hint="default" w:ascii="Times New Roman" w:hAnsi="Times New Roman" w:cs="Times New Roman"/>
          <w:b/>
          <w:bCs/>
          <w:color w:val="auto"/>
          <w:szCs w:val="21"/>
        </w:rPr>
        <w:t>程序</w:t>
      </w:r>
      <w:bookmarkEnd w:id="216"/>
      <w:bookmarkEnd w:id="217"/>
      <w:r>
        <w:rPr>
          <w:rFonts w:hint="default" w:ascii="Times New Roman" w:hAnsi="Times New Roman" w:cs="Times New Roman"/>
          <w:b/>
          <w:bCs/>
          <w:color w:val="auto"/>
          <w:szCs w:val="21"/>
        </w:rPr>
        <w:t>（为确保开评标现场的疫情防控安全，到现场参与开评标的各类人员应出示健康码。为减少人员聚集程度及滞留时间，投标人不需在开标现场。）</w:t>
      </w:r>
    </w:p>
    <w:p>
      <w:pPr>
        <w:pStyle w:val="57"/>
        <w:ind w:firstLine="422" w:firstLineChars="200"/>
        <w:rPr>
          <w:rFonts w:hint="default" w:ascii="Times New Roman" w:hAnsi="Times New Roman" w:eastAsia="宋体" w:cs="Times New Roman"/>
          <w:b/>
          <w:color w:val="auto"/>
          <w:sz w:val="21"/>
          <w:szCs w:val="21"/>
        </w:rPr>
      </w:pPr>
      <w:bookmarkStart w:id="218" w:name="_Toc152045560"/>
      <w:bookmarkStart w:id="219" w:name="_Toc392345937"/>
      <w:bookmarkStart w:id="220" w:name="_Toc144974528"/>
      <w:bookmarkStart w:id="221" w:name="_Toc152042336"/>
      <w:bookmarkStart w:id="222" w:name="_Toc229646741"/>
      <w:bookmarkStart w:id="223" w:name="_Toc13624"/>
      <w:r>
        <w:rPr>
          <w:rFonts w:hint="default" w:ascii="Times New Roman" w:hAnsi="Times New Roman" w:eastAsia="宋体" w:cs="Times New Roman"/>
          <w:b/>
          <w:color w:val="auto"/>
          <w:sz w:val="21"/>
          <w:szCs w:val="21"/>
        </w:rPr>
        <w:t>5.1 开标时间和地点</w:t>
      </w:r>
      <w:bookmarkEnd w:id="218"/>
      <w:bookmarkEnd w:id="219"/>
      <w:bookmarkEnd w:id="220"/>
      <w:bookmarkEnd w:id="221"/>
      <w:bookmarkEnd w:id="222"/>
      <w:r>
        <w:rPr>
          <w:rFonts w:hint="default" w:ascii="Times New Roman" w:hAnsi="Times New Roman" w:eastAsia="宋体" w:cs="Times New Roman"/>
          <w:b/>
          <w:color w:val="auto"/>
          <w:sz w:val="21"/>
          <w:szCs w:val="21"/>
        </w:rPr>
        <w:t>、参加开标会议的要求</w:t>
      </w:r>
      <w:bookmarkEnd w:id="22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招标人在投标人须知前附表第2.2.2项规定的投标截止时间（开标时间）和投标人须知前附表规定的地点公开开标，参加开标会议的要求见投标人须知前附表。</w:t>
      </w:r>
    </w:p>
    <w:p>
      <w:pPr>
        <w:pStyle w:val="57"/>
        <w:ind w:firstLine="422" w:firstLineChars="200"/>
        <w:rPr>
          <w:rFonts w:hint="default" w:ascii="Times New Roman" w:hAnsi="Times New Roman" w:eastAsia="宋体" w:cs="Times New Roman"/>
          <w:b/>
          <w:color w:val="auto"/>
          <w:sz w:val="21"/>
          <w:szCs w:val="21"/>
        </w:rPr>
      </w:pPr>
      <w:bookmarkStart w:id="224" w:name="_Toc392345938"/>
      <w:bookmarkStart w:id="225" w:name="_Toc229646742"/>
      <w:bookmarkStart w:id="226" w:name="_Toc28832"/>
      <w:bookmarkStart w:id="227" w:name="_Toc152045561"/>
      <w:bookmarkStart w:id="228" w:name="_Toc152042337"/>
      <w:bookmarkStart w:id="229" w:name="_Toc144974529"/>
      <w:r>
        <w:rPr>
          <w:rFonts w:hint="default" w:ascii="Times New Roman" w:hAnsi="Times New Roman" w:eastAsia="宋体" w:cs="Times New Roman"/>
          <w:b/>
          <w:color w:val="auto"/>
          <w:sz w:val="21"/>
          <w:szCs w:val="21"/>
        </w:rPr>
        <w:t>5.2 开标</w:t>
      </w:r>
      <w:bookmarkEnd w:id="224"/>
      <w:bookmarkEnd w:id="225"/>
      <w:bookmarkEnd w:id="226"/>
      <w:bookmarkEnd w:id="227"/>
      <w:bookmarkEnd w:id="228"/>
      <w:bookmarkEnd w:id="229"/>
    </w:p>
    <w:p>
      <w:pPr>
        <w:spacing w:line="400" w:lineRule="exact"/>
        <w:ind w:firstLine="420" w:firstLineChars="200"/>
        <w:rPr>
          <w:rFonts w:hint="default" w:ascii="Times New Roman" w:hAnsi="Times New Roman" w:cs="Times New Roman"/>
          <w:color w:val="auto"/>
          <w:szCs w:val="21"/>
        </w:rPr>
      </w:pPr>
      <w:bookmarkStart w:id="230" w:name="_Toc144974530"/>
      <w:bookmarkStart w:id="231" w:name="_Toc152045562"/>
      <w:bookmarkStart w:id="232" w:name="_Toc152042338"/>
      <w:r>
        <w:rPr>
          <w:rFonts w:hint="default" w:ascii="Times New Roman" w:hAnsi="Times New Roman" w:cs="Times New Roman"/>
          <w:color w:val="auto"/>
          <w:szCs w:val="21"/>
        </w:rPr>
        <w:t>主持人按下列程序进行开标：</w:t>
      </w:r>
    </w:p>
    <w:p>
      <w:pPr>
        <w:spacing w:line="400" w:lineRule="exact"/>
        <w:ind w:firstLine="420" w:firstLineChars="200"/>
        <w:rPr>
          <w:rFonts w:hint="default" w:ascii="Times New Roman" w:hAnsi="Times New Roman" w:cs="Times New Roman"/>
          <w:color w:val="auto"/>
          <w:szCs w:val="21"/>
        </w:rPr>
      </w:pPr>
      <w:bookmarkStart w:id="233" w:name="_Toc296602450"/>
      <w:r>
        <w:rPr>
          <w:rFonts w:hint="default" w:ascii="Times New Roman" w:hAnsi="Times New Roman" w:cs="Times New Roman"/>
          <w:color w:val="auto"/>
          <w:szCs w:val="21"/>
        </w:rPr>
        <w:t>（1）宣布开标纪律；</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（2）公布在投标截止时间前递交投标文件的投标人名称，</w:t>
      </w:r>
      <w:r>
        <w:rPr>
          <w:rFonts w:hint="default" w:ascii="Times New Roman" w:hAnsi="Times New Roman" w:cs="Times New Roman"/>
          <w:b/>
          <w:bCs/>
          <w:color w:val="auto"/>
          <w:szCs w:val="21"/>
        </w:rPr>
        <w:t>投标人不需到场</w:t>
      </w:r>
      <w:r>
        <w:rPr>
          <w:rFonts w:hint="default" w:ascii="Times New Roman" w:hAnsi="Times New Roman" w:cs="Times New Roman"/>
          <w:color w:val="auto"/>
          <w:szCs w:val="21"/>
        </w:rPr>
        <w:t>。</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（3）宣布开标人、唱标人、记录人、监标人等有关人员姓名；</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（4）按照投标人须知前附表规定检查投标文件的密封情况；</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（5）按照投标人须知前附表的规定确定并宣布投标文件开标顺序；</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strike/>
          <w:color w:val="auto"/>
          <w:szCs w:val="21"/>
        </w:rPr>
        <w:t>（6）设有标底的，公布标底；</w:t>
      </w:r>
      <w:r>
        <w:rPr>
          <w:rFonts w:hint="default" w:ascii="Times New Roman" w:hAnsi="Times New Roman" w:cs="Times New Roman"/>
          <w:color w:val="auto"/>
          <w:szCs w:val="21"/>
        </w:rPr>
        <w:t xml:space="preserve">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（7）按照宣布的开标顺序当众开标，公布投标人名称、标段名称、投标保证金的递交情况，评标委员会先对投标人进行资格审查；</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（8）启封技术标，由评标委员会对投标人的技术标进行综合评议并打分，宣布各投标人技术标得分；</w:t>
      </w:r>
    </w:p>
    <w:p>
      <w:pPr>
        <w:spacing w:line="400" w:lineRule="exact"/>
        <w:ind w:left="420" w:leftChars="200"/>
        <w:rPr>
          <w:rFonts w:hint="default" w:ascii="Times New Roman" w:hAnsi="Times New Roman" w:cs="Times New Roman"/>
          <w:color w:val="auto"/>
          <w:szCs w:val="21"/>
        </w:rPr>
      </w:pPr>
      <w:r>
        <w:rPr>
          <w:rFonts w:hint="default" w:ascii="Times New Roman" w:hAnsi="Times New Roman" w:cs="Times New Roman"/>
          <w:color w:val="auto"/>
          <w:szCs w:val="21"/>
        </w:rPr>
        <w:t>（9）启封商务标，评标委员会对商务标进行评议并计算得分，宣布商务标得分；</w:t>
      </w:r>
    </w:p>
    <w:p>
      <w:pPr>
        <w:spacing w:line="400" w:lineRule="exact"/>
        <w:ind w:left="420" w:leftChars="200"/>
        <w:rPr>
          <w:rFonts w:hint="default" w:ascii="Times New Roman" w:hAnsi="Times New Roman" w:cs="Times New Roman"/>
          <w:color w:val="auto"/>
          <w:szCs w:val="21"/>
        </w:rPr>
      </w:pPr>
      <w:r>
        <w:rPr>
          <w:rFonts w:hint="default" w:ascii="Times New Roman" w:hAnsi="Times New Roman" w:cs="Times New Roman"/>
          <w:color w:val="auto"/>
          <w:szCs w:val="21"/>
        </w:rPr>
        <w:t>（10）宣布各投标人总得分，宣布中标候选人；</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w:t>
      </w:r>
      <w:r>
        <w:rPr>
          <w:rFonts w:hint="default" w:ascii="Times New Roman" w:hAnsi="Times New Roman" w:cs="Times New Roman"/>
          <w:strike/>
          <w:color w:val="auto"/>
          <w:szCs w:val="21"/>
        </w:rPr>
        <w:t>投标人代表</w:t>
      </w:r>
      <w:r>
        <w:rPr>
          <w:rFonts w:hint="default" w:ascii="Times New Roman" w:hAnsi="Times New Roman" w:cs="Times New Roman"/>
          <w:b/>
          <w:bCs/>
          <w:color w:val="auto"/>
          <w:szCs w:val="21"/>
        </w:rPr>
        <w:t>（投标人不需签字确认）</w:t>
      </w:r>
      <w:r>
        <w:rPr>
          <w:rFonts w:hint="default" w:ascii="Times New Roman" w:hAnsi="Times New Roman" w:cs="Times New Roman"/>
          <w:color w:val="auto"/>
          <w:szCs w:val="21"/>
        </w:rPr>
        <w:t>、招标人代表、监标人、记录人等有关人员在开标记录上签字确认；</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（12）根据招标人要求，公证员对开标评标全过程进行公证。</w:t>
      </w:r>
    </w:p>
    <w:p>
      <w:pPr>
        <w:pStyle w:val="57"/>
        <w:ind w:firstLine="422" w:firstLineChars="200"/>
        <w:rPr>
          <w:rFonts w:hint="default" w:ascii="Times New Roman" w:hAnsi="Times New Roman" w:eastAsia="宋体" w:cs="Times New Roman"/>
          <w:b/>
          <w:color w:val="auto"/>
          <w:sz w:val="21"/>
          <w:szCs w:val="21"/>
        </w:rPr>
      </w:pPr>
      <w:bookmarkStart w:id="234" w:name="_Toc624"/>
      <w:bookmarkStart w:id="235" w:name="_Toc392345939"/>
      <w:r>
        <w:rPr>
          <w:rFonts w:hint="default" w:ascii="Times New Roman" w:hAnsi="Times New Roman" w:eastAsia="宋体" w:cs="Times New Roman"/>
          <w:b/>
          <w:color w:val="auto"/>
          <w:sz w:val="21"/>
          <w:szCs w:val="21"/>
        </w:rPr>
        <w:t>5.3 开标异议</w:t>
      </w:r>
      <w:bookmarkEnd w:id="233"/>
      <w:bookmarkEnd w:id="234"/>
      <w:bookmarkEnd w:id="235"/>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投标人对开标有异议的，应当在开标现场提出，招标人当场作出答复，并制作记录。</w:t>
      </w:r>
    </w:p>
    <w:p>
      <w:pPr>
        <w:pStyle w:val="56"/>
        <w:spacing w:before="0"/>
        <w:ind w:firstLine="420" w:firstLineChars="200"/>
        <w:rPr>
          <w:rFonts w:hint="default" w:ascii="Times New Roman" w:hAnsi="Times New Roman" w:eastAsia="宋体" w:cs="Times New Roman"/>
          <w:color w:val="auto"/>
          <w:sz w:val="21"/>
          <w:szCs w:val="21"/>
        </w:rPr>
      </w:pPr>
      <w:bookmarkStart w:id="236" w:name="_Toc229646744"/>
      <w:bookmarkStart w:id="237" w:name="_Toc21142"/>
      <w:bookmarkStart w:id="238" w:name="_Toc392345940"/>
      <w:r>
        <w:rPr>
          <w:rFonts w:hint="default" w:ascii="Times New Roman" w:hAnsi="Times New Roman" w:eastAsia="宋体" w:cs="Times New Roman"/>
          <w:color w:val="auto"/>
          <w:sz w:val="21"/>
          <w:szCs w:val="21"/>
        </w:rPr>
        <w:t>6. 评标</w:t>
      </w:r>
      <w:bookmarkEnd w:id="230"/>
      <w:bookmarkEnd w:id="231"/>
      <w:bookmarkEnd w:id="232"/>
      <w:bookmarkEnd w:id="236"/>
      <w:bookmarkEnd w:id="237"/>
      <w:bookmarkEnd w:id="238"/>
    </w:p>
    <w:p>
      <w:pPr>
        <w:pStyle w:val="57"/>
        <w:ind w:firstLine="422" w:firstLineChars="200"/>
        <w:rPr>
          <w:rFonts w:hint="default" w:ascii="Times New Roman" w:hAnsi="Times New Roman" w:eastAsia="宋体" w:cs="Times New Roman"/>
          <w:b/>
          <w:color w:val="auto"/>
          <w:sz w:val="21"/>
          <w:szCs w:val="21"/>
        </w:rPr>
      </w:pPr>
      <w:bookmarkStart w:id="239" w:name="_Toc229646745"/>
      <w:bookmarkStart w:id="240" w:name="_Toc392345941"/>
      <w:bookmarkStart w:id="241" w:name="_Toc7251"/>
      <w:bookmarkStart w:id="242" w:name="_Toc144974531"/>
      <w:bookmarkStart w:id="243" w:name="_Toc152042339"/>
      <w:bookmarkStart w:id="244" w:name="_Toc152045563"/>
      <w:r>
        <w:rPr>
          <w:rFonts w:hint="default" w:ascii="Times New Roman" w:hAnsi="Times New Roman" w:eastAsia="宋体" w:cs="Times New Roman"/>
          <w:b/>
          <w:color w:val="auto"/>
          <w:sz w:val="21"/>
          <w:szCs w:val="21"/>
        </w:rPr>
        <w:t>6.1 评标委员会</w:t>
      </w:r>
      <w:bookmarkEnd w:id="239"/>
      <w:bookmarkEnd w:id="240"/>
      <w:bookmarkEnd w:id="241"/>
      <w:bookmarkEnd w:id="242"/>
      <w:bookmarkEnd w:id="243"/>
      <w:bookmarkEnd w:id="244"/>
    </w:p>
    <w:p>
      <w:pPr>
        <w:spacing w:line="400" w:lineRule="exact"/>
        <w:ind w:firstLine="420" w:firstLineChars="200"/>
        <w:rPr>
          <w:rFonts w:hint="default" w:ascii="Times New Roman" w:hAnsi="Times New Roman" w:cs="Times New Roman"/>
          <w:color w:val="auto"/>
          <w:szCs w:val="21"/>
        </w:rPr>
      </w:pPr>
      <w:bookmarkStart w:id="245" w:name="_Toc144974532"/>
      <w:bookmarkStart w:id="246" w:name="_Toc152042340"/>
      <w:bookmarkStart w:id="247" w:name="_Toc229646746"/>
      <w:bookmarkStart w:id="248" w:name="_Toc152045564"/>
      <w:r>
        <w:rPr>
          <w:rFonts w:hint="default" w:ascii="Times New Roman" w:hAnsi="Times New Roman" w:cs="Times New Roman"/>
          <w:color w:val="auto"/>
          <w:szCs w:val="21"/>
        </w:rPr>
        <w:t>6.1.1 评标由招标人依法组建的评标委员会负责。评标委员会成员人数以及技术、经济等方面专家的确定方式见投标人须知前附表。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6.1.2 评标委员会成员有下列情形之一的，应当回避：</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（1）招标人或投标人的主要负责人的近亲属；</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（2）项目主管部门或者行政监督部门的人员；</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（3）与投标人有经济利益关系，可能影响对投标公正评审的；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（4）曾因在招标、评标以及其他与招标投标有关活动中从事违法行为而受过行政处罚或刑事处罚的。</w:t>
      </w:r>
    </w:p>
    <w:p>
      <w:pPr>
        <w:pStyle w:val="57"/>
        <w:tabs>
          <w:tab w:val="left" w:pos="2620"/>
        </w:tabs>
        <w:ind w:firstLine="422" w:firstLineChars="200"/>
        <w:rPr>
          <w:rFonts w:hint="default" w:ascii="Times New Roman" w:hAnsi="Times New Roman" w:eastAsia="宋体" w:cs="Times New Roman"/>
          <w:b/>
          <w:color w:val="auto"/>
          <w:sz w:val="21"/>
          <w:szCs w:val="21"/>
        </w:rPr>
      </w:pPr>
      <w:bookmarkStart w:id="249" w:name="_Toc392345942"/>
      <w:bookmarkStart w:id="250" w:name="_Toc28610"/>
      <w:r>
        <w:rPr>
          <w:rFonts w:hint="default" w:ascii="Times New Roman" w:hAnsi="Times New Roman" w:eastAsia="宋体" w:cs="Times New Roman"/>
          <w:b/>
          <w:color w:val="auto"/>
          <w:sz w:val="21"/>
          <w:szCs w:val="21"/>
        </w:rPr>
        <w:t>6.2 评标原则</w:t>
      </w:r>
      <w:bookmarkEnd w:id="245"/>
      <w:bookmarkEnd w:id="246"/>
      <w:bookmarkEnd w:id="247"/>
      <w:bookmarkEnd w:id="248"/>
      <w:bookmarkEnd w:id="249"/>
      <w:bookmarkEnd w:id="250"/>
      <w:r>
        <w:rPr>
          <w:rFonts w:hint="default" w:ascii="Times New Roman" w:hAnsi="Times New Roman" w:eastAsia="宋体" w:cs="Times New Roman"/>
          <w:b/>
          <w:color w:val="auto"/>
          <w:sz w:val="21"/>
          <w:szCs w:val="21"/>
        </w:rPr>
        <w:tab/>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评标活动遵循公平、公正、科学和择优的原则。</w:t>
      </w:r>
    </w:p>
    <w:p>
      <w:pPr>
        <w:pStyle w:val="57"/>
        <w:ind w:firstLine="422" w:firstLineChars="200"/>
        <w:rPr>
          <w:rFonts w:hint="default" w:ascii="Times New Roman" w:hAnsi="Times New Roman" w:eastAsia="宋体" w:cs="Times New Roman"/>
          <w:b/>
          <w:color w:val="auto"/>
          <w:sz w:val="21"/>
          <w:szCs w:val="21"/>
          <w:u w:val="single"/>
        </w:rPr>
      </w:pPr>
      <w:bookmarkStart w:id="251" w:name="_Toc144974533"/>
      <w:bookmarkStart w:id="252" w:name="_Toc152045565"/>
      <w:bookmarkStart w:id="253" w:name="_Toc152042341"/>
      <w:bookmarkStart w:id="254" w:name="_Toc1522"/>
      <w:bookmarkStart w:id="255" w:name="_Toc229646747"/>
      <w:bookmarkStart w:id="256" w:name="_Toc392345943"/>
      <w:r>
        <w:rPr>
          <w:rFonts w:hint="default" w:ascii="Times New Roman" w:hAnsi="Times New Roman" w:eastAsia="宋体" w:cs="Times New Roman"/>
          <w:b/>
          <w:color w:val="auto"/>
          <w:sz w:val="21"/>
          <w:szCs w:val="21"/>
        </w:rPr>
        <w:t>6.3 评标</w:t>
      </w:r>
      <w:bookmarkEnd w:id="251"/>
      <w:bookmarkEnd w:id="252"/>
      <w:bookmarkEnd w:id="253"/>
      <w:bookmarkEnd w:id="254"/>
      <w:bookmarkEnd w:id="255"/>
      <w:bookmarkEnd w:id="256"/>
    </w:p>
    <w:p>
      <w:pPr>
        <w:spacing w:line="400" w:lineRule="exact"/>
        <w:ind w:firstLine="420" w:firstLineChars="200"/>
        <w:rPr>
          <w:rFonts w:hint="default" w:ascii="Times New Roman" w:hAnsi="Times New Roman" w:cs="Times New Roman"/>
          <w:color w:val="auto"/>
          <w:szCs w:val="21"/>
        </w:rPr>
      </w:pPr>
      <w:bookmarkStart w:id="257" w:name="_Toc152042342"/>
      <w:bookmarkStart w:id="258" w:name="_Toc229646748"/>
      <w:bookmarkStart w:id="259" w:name="_Toc144974534"/>
      <w:bookmarkStart w:id="260" w:name="_Toc152045566"/>
      <w:r>
        <w:rPr>
          <w:rFonts w:hint="default" w:ascii="Times New Roman" w:hAnsi="Times New Roman" w:cs="Times New Roman"/>
          <w:color w:val="auto"/>
          <w:szCs w:val="21"/>
        </w:rPr>
        <w:t>评标方法见投标人须知前附表，评标委员会按照招标文件规定的评标标准和方法，客观、公正地对投标文件提出评审意见。招标文件没有规定的评标标准和方法，不作为评标依据。</w:t>
      </w:r>
    </w:p>
    <w:p>
      <w:pPr>
        <w:pStyle w:val="57"/>
        <w:ind w:firstLine="422" w:firstLineChars="200"/>
        <w:rPr>
          <w:rFonts w:hint="default" w:ascii="Times New Roman" w:hAnsi="Times New Roman" w:eastAsia="宋体" w:cs="Times New Roman"/>
          <w:b/>
          <w:color w:val="auto"/>
          <w:sz w:val="21"/>
          <w:szCs w:val="21"/>
        </w:rPr>
      </w:pPr>
      <w:bookmarkStart w:id="261" w:name="_Toc413488678"/>
      <w:bookmarkStart w:id="262" w:name="_Toc27286"/>
      <w:r>
        <w:rPr>
          <w:rFonts w:hint="default" w:ascii="Times New Roman" w:hAnsi="Times New Roman" w:eastAsia="宋体" w:cs="Times New Roman"/>
          <w:b/>
          <w:color w:val="auto"/>
          <w:sz w:val="21"/>
          <w:szCs w:val="21"/>
        </w:rPr>
        <w:t>6.4中标候选人公示媒介</w:t>
      </w:r>
      <w:bookmarkEnd w:id="261"/>
      <w:bookmarkEnd w:id="262"/>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见投标人须知前附表。</w:t>
      </w:r>
    </w:p>
    <w:p>
      <w:pPr>
        <w:pStyle w:val="56"/>
        <w:spacing w:before="0"/>
        <w:ind w:firstLine="420" w:firstLineChars="200"/>
        <w:rPr>
          <w:rFonts w:hint="default" w:ascii="Times New Roman" w:hAnsi="Times New Roman" w:eastAsia="宋体" w:cs="Times New Roman"/>
          <w:color w:val="auto"/>
          <w:sz w:val="21"/>
          <w:szCs w:val="21"/>
        </w:rPr>
      </w:pPr>
      <w:bookmarkStart w:id="263" w:name="_Toc31997"/>
      <w:bookmarkStart w:id="264" w:name="_Toc392345944"/>
      <w:r>
        <w:rPr>
          <w:rFonts w:hint="default" w:ascii="Times New Roman" w:hAnsi="Times New Roman" w:eastAsia="宋体" w:cs="Times New Roman"/>
          <w:color w:val="auto"/>
          <w:sz w:val="21"/>
          <w:szCs w:val="21"/>
        </w:rPr>
        <w:t>7. 合同授予</w:t>
      </w:r>
      <w:bookmarkEnd w:id="257"/>
      <w:bookmarkEnd w:id="258"/>
      <w:bookmarkEnd w:id="259"/>
      <w:bookmarkEnd w:id="260"/>
      <w:bookmarkEnd w:id="263"/>
      <w:bookmarkEnd w:id="264"/>
    </w:p>
    <w:p>
      <w:pPr>
        <w:pStyle w:val="57"/>
        <w:ind w:firstLine="422" w:firstLineChars="200"/>
        <w:rPr>
          <w:rFonts w:hint="default" w:ascii="Times New Roman" w:hAnsi="Times New Roman" w:eastAsia="宋体" w:cs="Times New Roman"/>
          <w:b/>
          <w:color w:val="auto"/>
          <w:sz w:val="21"/>
          <w:szCs w:val="21"/>
        </w:rPr>
      </w:pPr>
      <w:bookmarkStart w:id="265" w:name="_Toc152042343"/>
      <w:bookmarkStart w:id="266" w:name="_Toc229646749"/>
      <w:bookmarkStart w:id="267" w:name="_Toc144974535"/>
      <w:bookmarkStart w:id="268" w:name="_Toc8962"/>
      <w:bookmarkStart w:id="269" w:name="_Toc392345945"/>
      <w:bookmarkStart w:id="270" w:name="_Toc152045567"/>
      <w:r>
        <w:rPr>
          <w:rFonts w:hint="default" w:ascii="Times New Roman" w:hAnsi="Times New Roman" w:eastAsia="宋体" w:cs="Times New Roman"/>
          <w:b/>
          <w:color w:val="auto"/>
          <w:sz w:val="21"/>
          <w:szCs w:val="21"/>
        </w:rPr>
        <w:t>7.1 定标方式</w:t>
      </w:r>
      <w:bookmarkEnd w:id="265"/>
      <w:bookmarkEnd w:id="266"/>
      <w:bookmarkEnd w:id="267"/>
      <w:bookmarkEnd w:id="268"/>
      <w:bookmarkEnd w:id="269"/>
      <w:bookmarkEnd w:id="270"/>
    </w:p>
    <w:p>
      <w:pPr>
        <w:spacing w:line="400" w:lineRule="exact"/>
        <w:ind w:firstLine="420" w:firstLineChars="200"/>
        <w:rPr>
          <w:rFonts w:hint="default" w:ascii="Times New Roman" w:hAnsi="Times New Roman" w:cs="Times New Roman"/>
          <w:color w:val="auto"/>
          <w:szCs w:val="21"/>
        </w:rPr>
      </w:pPr>
      <w:bookmarkStart w:id="271" w:name="_Toc152042344"/>
      <w:bookmarkStart w:id="272" w:name="_Toc229646750"/>
      <w:bookmarkStart w:id="273" w:name="_Toc152045568"/>
      <w:bookmarkStart w:id="274" w:name="_Toc144974536"/>
      <w:r>
        <w:rPr>
          <w:rFonts w:hint="default" w:ascii="Times New Roman" w:hAnsi="Times New Roman" w:cs="Times New Roman"/>
          <w:color w:val="auto"/>
          <w:szCs w:val="21"/>
        </w:rPr>
        <w:t>除投标人须知前附表规定评标委员会直接确定中标人外，招标人依据评标委员会推荐的中标候选人确定中标人，评标委员会推荐中标候选人的人数及定标方式见投标人须知前附表。</w:t>
      </w:r>
    </w:p>
    <w:p>
      <w:pPr>
        <w:pStyle w:val="57"/>
        <w:ind w:firstLine="422" w:firstLineChars="200"/>
        <w:rPr>
          <w:rFonts w:hint="default" w:ascii="Times New Roman" w:hAnsi="Times New Roman" w:eastAsia="宋体" w:cs="Times New Roman"/>
          <w:b/>
          <w:color w:val="auto"/>
          <w:sz w:val="21"/>
          <w:szCs w:val="21"/>
        </w:rPr>
      </w:pPr>
      <w:bookmarkStart w:id="275" w:name="_Toc32437"/>
      <w:bookmarkStart w:id="276" w:name="_Toc392345946"/>
      <w:r>
        <w:rPr>
          <w:rFonts w:hint="default" w:ascii="Times New Roman" w:hAnsi="Times New Roman" w:eastAsia="宋体" w:cs="Times New Roman"/>
          <w:b/>
          <w:color w:val="auto"/>
          <w:sz w:val="21"/>
          <w:szCs w:val="21"/>
        </w:rPr>
        <w:t>7.2中标公示</w:t>
      </w:r>
      <w:bookmarkEnd w:id="271"/>
      <w:bookmarkEnd w:id="272"/>
      <w:bookmarkEnd w:id="273"/>
      <w:bookmarkEnd w:id="274"/>
      <w:bookmarkEnd w:id="275"/>
      <w:bookmarkEnd w:id="276"/>
    </w:p>
    <w:p>
      <w:pPr>
        <w:spacing w:line="400" w:lineRule="exact"/>
        <w:ind w:firstLine="420" w:firstLineChars="200"/>
        <w:rPr>
          <w:rFonts w:hint="default" w:ascii="Times New Roman" w:hAnsi="Times New Roman" w:cs="Times New Roman"/>
          <w:color w:val="auto"/>
          <w:szCs w:val="21"/>
        </w:rPr>
      </w:pPr>
      <w:bookmarkStart w:id="277" w:name="_Toc229646751"/>
      <w:bookmarkStart w:id="278" w:name="_Toc152042345"/>
      <w:bookmarkStart w:id="279" w:name="_Toc152045569"/>
      <w:bookmarkStart w:id="280" w:name="_Toc144974537"/>
      <w:r>
        <w:rPr>
          <w:rFonts w:hint="default" w:ascii="Times New Roman" w:hAnsi="Times New Roman" w:cs="Times New Roman"/>
          <w:color w:val="auto"/>
          <w:szCs w:val="21"/>
        </w:rPr>
        <w:t>招标人自确定中标候选人之日起，应在与发布招标公告或资格预审公告一致的媒介上发布中标公示 ，公示期为3个工作日。</w:t>
      </w:r>
    </w:p>
    <w:bookmarkEnd w:id="277"/>
    <w:bookmarkEnd w:id="278"/>
    <w:bookmarkEnd w:id="279"/>
    <w:bookmarkEnd w:id="280"/>
    <w:p>
      <w:pPr>
        <w:pStyle w:val="57"/>
        <w:ind w:firstLine="422" w:firstLineChars="200"/>
        <w:rPr>
          <w:rFonts w:hint="default" w:ascii="Times New Roman" w:hAnsi="Times New Roman" w:eastAsia="宋体" w:cs="Times New Roman"/>
          <w:b/>
          <w:color w:val="auto"/>
          <w:sz w:val="21"/>
          <w:szCs w:val="21"/>
        </w:rPr>
      </w:pPr>
      <w:bookmarkStart w:id="281" w:name="_Toc179632586"/>
      <w:bookmarkStart w:id="282" w:name="_Toc246996955"/>
      <w:bookmarkStart w:id="283" w:name="_Toc4618"/>
      <w:bookmarkStart w:id="284" w:name="_Toc246996212"/>
      <w:bookmarkStart w:id="285" w:name="_Toc247085726"/>
      <w:bookmarkStart w:id="286" w:name="_Toc296602458"/>
      <w:bookmarkStart w:id="287" w:name="_Toc392345947"/>
      <w:r>
        <w:rPr>
          <w:rFonts w:hint="default" w:ascii="Times New Roman" w:hAnsi="Times New Roman" w:eastAsia="宋体" w:cs="Times New Roman"/>
          <w:b/>
          <w:color w:val="auto"/>
          <w:sz w:val="21"/>
          <w:szCs w:val="21"/>
        </w:rPr>
        <w:t>7.3 中标通知</w:t>
      </w:r>
      <w:bookmarkEnd w:id="281"/>
      <w:bookmarkEnd w:id="282"/>
      <w:bookmarkEnd w:id="283"/>
      <w:bookmarkEnd w:id="284"/>
      <w:bookmarkEnd w:id="285"/>
      <w:bookmarkEnd w:id="286"/>
      <w:bookmarkEnd w:id="287"/>
    </w:p>
    <w:p>
      <w:pPr>
        <w:pStyle w:val="11"/>
        <w:spacing w:line="400" w:lineRule="exact"/>
        <w:rPr>
          <w:rFonts w:hint="default" w:ascii="Times New Roman" w:hAnsi="Times New Roman" w:cs="Times New Roman"/>
          <w:color w:val="auto"/>
          <w:szCs w:val="21"/>
        </w:rPr>
      </w:pPr>
      <w:bookmarkStart w:id="288" w:name="_Toc179632587"/>
      <w:bookmarkStart w:id="289" w:name="_Toc246996956"/>
      <w:bookmarkStart w:id="290" w:name="_Toc246996213"/>
      <w:bookmarkStart w:id="291" w:name="_Toc296602459"/>
      <w:bookmarkStart w:id="292" w:name="_Toc392345948"/>
      <w:bookmarkStart w:id="293" w:name="_Toc247085727"/>
      <w:r>
        <w:rPr>
          <w:rFonts w:hint="default" w:ascii="Times New Roman" w:hAnsi="Times New Roman" w:cs="Times New Roman"/>
          <w:color w:val="auto"/>
          <w:szCs w:val="21"/>
        </w:rPr>
        <w:t>7.3.1中标人确定后，招标人将在投标有效期内以书面形式向中标人发出中标通知书。</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7.3.2招标人将在发出中标通知书的同时，将中标结果以书面形式通知所有未中标的投标人。</w:t>
      </w:r>
    </w:p>
    <w:p>
      <w:pPr>
        <w:pStyle w:val="57"/>
        <w:ind w:firstLine="422" w:firstLineChars="200"/>
        <w:rPr>
          <w:rFonts w:hint="default" w:ascii="Times New Roman" w:hAnsi="Times New Roman" w:eastAsia="宋体" w:cs="Times New Roman"/>
          <w:b/>
          <w:color w:val="auto"/>
          <w:sz w:val="21"/>
          <w:szCs w:val="21"/>
        </w:rPr>
      </w:pPr>
      <w:bookmarkStart w:id="294" w:name="_Toc30125"/>
      <w:r>
        <w:rPr>
          <w:rFonts w:hint="default" w:ascii="Times New Roman" w:hAnsi="Times New Roman" w:eastAsia="宋体" w:cs="Times New Roman"/>
          <w:b/>
          <w:color w:val="auto"/>
          <w:sz w:val="21"/>
          <w:szCs w:val="21"/>
        </w:rPr>
        <w:t>7.4 履约担保</w:t>
      </w:r>
      <w:bookmarkEnd w:id="288"/>
      <w:bookmarkEnd w:id="289"/>
      <w:bookmarkEnd w:id="290"/>
      <w:bookmarkEnd w:id="291"/>
      <w:bookmarkEnd w:id="292"/>
      <w:bookmarkEnd w:id="293"/>
      <w:bookmarkEnd w:id="294"/>
    </w:p>
    <w:p>
      <w:pPr>
        <w:spacing w:line="400" w:lineRule="exact"/>
        <w:ind w:firstLine="420" w:firstLineChars="200"/>
        <w:rPr>
          <w:rFonts w:hint="default" w:ascii="Times New Roman" w:hAnsi="Times New Roman" w:cs="Times New Roman"/>
          <w:color w:val="auto"/>
          <w:szCs w:val="21"/>
        </w:rPr>
      </w:pPr>
      <w:bookmarkStart w:id="295" w:name="_Toc152042346"/>
      <w:bookmarkStart w:id="296" w:name="_Toc246996957"/>
      <w:bookmarkStart w:id="297" w:name="_Toc296602460"/>
      <w:bookmarkStart w:id="298" w:name="_Toc179632588"/>
      <w:bookmarkStart w:id="299" w:name="_Toc144974538"/>
      <w:bookmarkStart w:id="300" w:name="_Toc247085728"/>
      <w:bookmarkStart w:id="301" w:name="_Toc152045570"/>
      <w:bookmarkStart w:id="302" w:name="_Toc246996214"/>
      <w:r>
        <w:rPr>
          <w:rFonts w:hint="default" w:ascii="Times New Roman" w:hAnsi="Times New Roman" w:cs="Times New Roman"/>
          <w:color w:val="auto"/>
          <w:szCs w:val="21"/>
        </w:rPr>
        <w:t>7.4.1在签订合同前，中标人应按投标人须知前附表规定的金额、担保形式和招标文件第四章“合同条款及格式”规定的履约担保格式向招标人提交履约担保。</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7.4.2 中标人不能按本章第7.4.1项要求提交履约担保的，视为放弃中标，其投标保证金不予退还，给招标人造成的损失超过投标保证金数额的，中标人还应当对超过部分予以赔偿。</w:t>
      </w:r>
    </w:p>
    <w:p>
      <w:pPr>
        <w:pStyle w:val="57"/>
        <w:ind w:firstLine="422" w:firstLineChars="200"/>
        <w:rPr>
          <w:rFonts w:hint="default" w:ascii="Times New Roman" w:hAnsi="Times New Roman" w:eastAsia="宋体" w:cs="Times New Roman"/>
          <w:b/>
          <w:color w:val="auto"/>
          <w:sz w:val="21"/>
          <w:szCs w:val="21"/>
        </w:rPr>
      </w:pPr>
      <w:bookmarkStart w:id="303" w:name="_Toc32528"/>
      <w:bookmarkStart w:id="304" w:name="_Toc392345949"/>
      <w:r>
        <w:rPr>
          <w:rFonts w:hint="default" w:ascii="Times New Roman" w:hAnsi="Times New Roman" w:eastAsia="宋体" w:cs="Times New Roman"/>
          <w:b/>
          <w:color w:val="auto"/>
          <w:sz w:val="21"/>
          <w:szCs w:val="21"/>
        </w:rPr>
        <w:t>7.5 签订合同</w:t>
      </w:r>
      <w:bookmarkEnd w:id="295"/>
      <w:bookmarkEnd w:id="296"/>
      <w:bookmarkEnd w:id="297"/>
      <w:bookmarkEnd w:id="298"/>
      <w:bookmarkEnd w:id="299"/>
      <w:bookmarkEnd w:id="300"/>
      <w:bookmarkEnd w:id="301"/>
      <w:bookmarkEnd w:id="302"/>
      <w:bookmarkEnd w:id="303"/>
      <w:bookmarkEnd w:id="30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7.5.2 发出中标通知书后，招标人无正当理由拒签合同的，招标人向中标人退还投标保证金；给中标人造成损失的，还应当赔偿损失。</w:t>
      </w:r>
    </w:p>
    <w:p>
      <w:pPr>
        <w:pStyle w:val="56"/>
        <w:spacing w:before="0"/>
        <w:ind w:firstLine="420" w:firstLineChars="200"/>
        <w:rPr>
          <w:rFonts w:hint="default" w:ascii="Times New Roman" w:hAnsi="Times New Roman" w:eastAsia="宋体" w:cs="Times New Roman"/>
          <w:color w:val="auto"/>
          <w:sz w:val="21"/>
          <w:szCs w:val="21"/>
        </w:rPr>
      </w:pPr>
      <w:bookmarkStart w:id="305" w:name="_Toc245036638"/>
      <w:bookmarkStart w:id="306" w:name="_Toc152042347"/>
      <w:bookmarkStart w:id="307" w:name="_Toc323711786"/>
      <w:bookmarkStart w:id="308" w:name="_Toc144974539"/>
      <w:bookmarkStart w:id="309" w:name="_Toc24179"/>
      <w:bookmarkStart w:id="310" w:name="_Toc152045571"/>
      <w:bookmarkStart w:id="311" w:name="_Toc392345950"/>
      <w:r>
        <w:rPr>
          <w:rFonts w:hint="default" w:ascii="Times New Roman" w:hAnsi="Times New Roman" w:eastAsia="宋体" w:cs="Times New Roman"/>
          <w:color w:val="auto"/>
          <w:sz w:val="21"/>
          <w:szCs w:val="21"/>
        </w:rPr>
        <w:t>8. 重新招标和不再招标</w:t>
      </w:r>
      <w:bookmarkEnd w:id="305"/>
      <w:bookmarkEnd w:id="306"/>
      <w:bookmarkEnd w:id="307"/>
      <w:bookmarkEnd w:id="308"/>
      <w:bookmarkEnd w:id="309"/>
      <w:bookmarkEnd w:id="310"/>
      <w:bookmarkEnd w:id="311"/>
    </w:p>
    <w:p>
      <w:pPr>
        <w:pStyle w:val="57"/>
        <w:ind w:firstLine="422" w:firstLineChars="200"/>
        <w:rPr>
          <w:rFonts w:hint="default" w:ascii="Times New Roman" w:hAnsi="Times New Roman" w:eastAsia="宋体" w:cs="Times New Roman"/>
          <w:b/>
          <w:color w:val="auto"/>
          <w:sz w:val="21"/>
          <w:szCs w:val="21"/>
        </w:rPr>
      </w:pPr>
      <w:bookmarkStart w:id="312" w:name="_Toc323711787"/>
      <w:bookmarkStart w:id="313" w:name="_Toc319408108"/>
      <w:bookmarkStart w:id="314" w:name="_Toc392345951"/>
      <w:bookmarkStart w:id="315" w:name="_Toc17490"/>
      <w:bookmarkStart w:id="316" w:name="_Toc152045572"/>
      <w:bookmarkStart w:id="317" w:name="_Toc245036639"/>
      <w:bookmarkStart w:id="318" w:name="_Toc319407873"/>
      <w:bookmarkStart w:id="319" w:name="_Toc152042348"/>
      <w:bookmarkStart w:id="320" w:name="_Toc322615435"/>
      <w:bookmarkStart w:id="321" w:name="_Toc144974540"/>
      <w:r>
        <w:rPr>
          <w:rFonts w:hint="default" w:ascii="Times New Roman" w:hAnsi="Times New Roman" w:eastAsia="宋体" w:cs="Times New Roman"/>
          <w:b/>
          <w:color w:val="auto"/>
          <w:sz w:val="21"/>
          <w:szCs w:val="21"/>
        </w:rPr>
        <w:t>8.1 重新招标</w:t>
      </w:r>
      <w:bookmarkEnd w:id="312"/>
      <w:bookmarkEnd w:id="313"/>
      <w:bookmarkEnd w:id="314"/>
      <w:bookmarkEnd w:id="315"/>
      <w:bookmarkEnd w:id="316"/>
      <w:bookmarkEnd w:id="317"/>
      <w:bookmarkEnd w:id="318"/>
      <w:bookmarkEnd w:id="319"/>
      <w:bookmarkEnd w:id="320"/>
      <w:bookmarkEnd w:id="321"/>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有下列情形之一的，招标人将重新招标：</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（1）投标截止时间止，投标人少于3个的；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（2）经评标委员会评审后否决所有投标的。</w:t>
      </w:r>
    </w:p>
    <w:p>
      <w:pPr>
        <w:pStyle w:val="57"/>
        <w:ind w:firstLine="422" w:firstLineChars="200"/>
        <w:rPr>
          <w:rFonts w:hint="default" w:ascii="Times New Roman" w:hAnsi="Times New Roman" w:eastAsia="宋体" w:cs="Times New Roman"/>
          <w:b/>
          <w:color w:val="auto"/>
          <w:sz w:val="21"/>
          <w:szCs w:val="21"/>
        </w:rPr>
      </w:pPr>
      <w:bookmarkStart w:id="322" w:name="_Toc144974541"/>
      <w:bookmarkStart w:id="323" w:name="_Toc319407874"/>
      <w:bookmarkStart w:id="324" w:name="_Toc392345952"/>
      <w:bookmarkStart w:id="325" w:name="_Toc152042349"/>
      <w:bookmarkStart w:id="326" w:name="_Toc152045573"/>
      <w:bookmarkStart w:id="327" w:name="_Toc322615436"/>
      <w:bookmarkStart w:id="328" w:name="_Toc245036640"/>
      <w:bookmarkStart w:id="329" w:name="_Toc323711788"/>
      <w:bookmarkStart w:id="330" w:name="_Toc25234"/>
      <w:bookmarkStart w:id="331" w:name="_Toc319408109"/>
      <w:r>
        <w:rPr>
          <w:rFonts w:hint="default" w:ascii="Times New Roman" w:hAnsi="Times New Roman" w:eastAsia="宋体" w:cs="Times New Roman"/>
          <w:b/>
          <w:color w:val="auto"/>
          <w:sz w:val="21"/>
          <w:szCs w:val="21"/>
        </w:rPr>
        <w:t>8.2 不再招标</w:t>
      </w:r>
      <w:bookmarkEnd w:id="322"/>
      <w:bookmarkEnd w:id="323"/>
      <w:bookmarkEnd w:id="324"/>
      <w:bookmarkEnd w:id="325"/>
      <w:bookmarkEnd w:id="326"/>
      <w:bookmarkEnd w:id="327"/>
      <w:bookmarkEnd w:id="328"/>
      <w:bookmarkEnd w:id="329"/>
      <w:bookmarkEnd w:id="330"/>
      <w:bookmarkEnd w:id="331"/>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重新招标后投标人仍少于3个的，经原审批或核准部门批准后不再进行招标。</w:t>
      </w:r>
    </w:p>
    <w:p>
      <w:pPr>
        <w:pStyle w:val="56"/>
        <w:spacing w:before="0"/>
        <w:ind w:firstLine="420" w:firstLineChars="200"/>
        <w:rPr>
          <w:rFonts w:hint="default" w:ascii="Times New Roman" w:hAnsi="Times New Roman" w:eastAsia="宋体" w:cs="Times New Roman"/>
          <w:color w:val="auto"/>
          <w:sz w:val="21"/>
          <w:szCs w:val="21"/>
        </w:rPr>
      </w:pPr>
      <w:bookmarkStart w:id="332" w:name="_Toc152045574"/>
      <w:bookmarkStart w:id="333" w:name="_Toc323711789"/>
      <w:bookmarkStart w:id="334" w:name="_Toc17513"/>
      <w:bookmarkStart w:id="335" w:name="_Toc392345953"/>
      <w:bookmarkStart w:id="336" w:name="_Toc152042350"/>
      <w:bookmarkStart w:id="337" w:name="_Toc144974542"/>
      <w:bookmarkStart w:id="338" w:name="_Toc245036641"/>
      <w:r>
        <w:rPr>
          <w:rFonts w:hint="default" w:ascii="Times New Roman" w:hAnsi="Times New Roman" w:eastAsia="宋体" w:cs="Times New Roman"/>
          <w:color w:val="auto"/>
          <w:sz w:val="21"/>
          <w:szCs w:val="21"/>
        </w:rPr>
        <w:t>9. 纪律和监督</w:t>
      </w:r>
      <w:bookmarkEnd w:id="332"/>
      <w:bookmarkEnd w:id="333"/>
      <w:bookmarkEnd w:id="334"/>
      <w:bookmarkEnd w:id="335"/>
      <w:bookmarkEnd w:id="336"/>
      <w:bookmarkEnd w:id="337"/>
      <w:bookmarkEnd w:id="338"/>
    </w:p>
    <w:p>
      <w:pPr>
        <w:pStyle w:val="57"/>
        <w:ind w:firstLine="422" w:firstLineChars="200"/>
        <w:rPr>
          <w:rFonts w:hint="default" w:ascii="Times New Roman" w:hAnsi="Times New Roman" w:eastAsia="宋体" w:cs="Times New Roman"/>
          <w:b/>
          <w:color w:val="auto"/>
          <w:sz w:val="21"/>
          <w:szCs w:val="21"/>
        </w:rPr>
      </w:pPr>
      <w:bookmarkStart w:id="339" w:name="_Toc9358"/>
      <w:bookmarkStart w:id="340" w:name="_Toc392345954"/>
      <w:bookmarkStart w:id="341" w:name="_Toc152045575"/>
      <w:bookmarkStart w:id="342" w:name="_Toc322615438"/>
      <w:bookmarkStart w:id="343" w:name="_Toc245036642"/>
      <w:bookmarkStart w:id="344" w:name="_Toc319408111"/>
      <w:bookmarkStart w:id="345" w:name="_Toc144974543"/>
      <w:bookmarkStart w:id="346" w:name="_Toc323711790"/>
      <w:bookmarkStart w:id="347" w:name="_Toc319407876"/>
      <w:bookmarkStart w:id="348" w:name="_Toc152042351"/>
      <w:r>
        <w:rPr>
          <w:rFonts w:hint="default" w:ascii="Times New Roman" w:hAnsi="Times New Roman" w:eastAsia="宋体" w:cs="Times New Roman"/>
          <w:b/>
          <w:color w:val="auto"/>
          <w:sz w:val="21"/>
          <w:szCs w:val="21"/>
        </w:rPr>
        <w:t>9.1 对招标人的纪律要求</w:t>
      </w:r>
      <w:bookmarkEnd w:id="339"/>
      <w:bookmarkEnd w:id="340"/>
      <w:bookmarkEnd w:id="341"/>
      <w:bookmarkEnd w:id="342"/>
      <w:bookmarkEnd w:id="343"/>
      <w:bookmarkEnd w:id="344"/>
      <w:bookmarkEnd w:id="345"/>
      <w:bookmarkEnd w:id="346"/>
      <w:bookmarkEnd w:id="347"/>
      <w:bookmarkEnd w:id="34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招标人不得泄漏招标投标活动中应当保密的情况和资料，不得与投标人串通损害国家利益、社会公共利益或者他人合法权益。</w:t>
      </w:r>
    </w:p>
    <w:p>
      <w:pPr>
        <w:pStyle w:val="57"/>
        <w:ind w:firstLine="422" w:firstLineChars="200"/>
        <w:rPr>
          <w:rFonts w:hint="default" w:ascii="Times New Roman" w:hAnsi="Times New Roman" w:eastAsia="宋体" w:cs="Times New Roman"/>
          <w:b/>
          <w:color w:val="auto"/>
          <w:sz w:val="21"/>
          <w:szCs w:val="21"/>
        </w:rPr>
      </w:pPr>
      <w:bookmarkStart w:id="349" w:name="_Toc319408112"/>
      <w:bookmarkStart w:id="350" w:name="_Toc319407877"/>
      <w:bookmarkStart w:id="351" w:name="_Toc245036643"/>
      <w:bookmarkStart w:id="352" w:name="_Toc152042352"/>
      <w:bookmarkStart w:id="353" w:name="_Toc322615439"/>
      <w:bookmarkStart w:id="354" w:name="_Toc323711791"/>
      <w:bookmarkStart w:id="355" w:name="_Toc152045576"/>
      <w:bookmarkStart w:id="356" w:name="_Toc214"/>
      <w:bookmarkStart w:id="357" w:name="_Toc392345955"/>
      <w:bookmarkStart w:id="358" w:name="_Toc144974544"/>
      <w:r>
        <w:rPr>
          <w:rFonts w:hint="default" w:ascii="Times New Roman" w:hAnsi="Times New Roman" w:eastAsia="宋体" w:cs="Times New Roman"/>
          <w:b/>
          <w:color w:val="auto"/>
          <w:sz w:val="21"/>
          <w:szCs w:val="21"/>
        </w:rPr>
        <w:t>9.2 对投标人的纪律要求</w:t>
      </w:r>
      <w:bookmarkEnd w:id="349"/>
      <w:bookmarkEnd w:id="350"/>
      <w:bookmarkEnd w:id="351"/>
      <w:bookmarkEnd w:id="352"/>
      <w:bookmarkEnd w:id="353"/>
      <w:bookmarkEnd w:id="354"/>
      <w:bookmarkEnd w:id="355"/>
      <w:bookmarkEnd w:id="356"/>
      <w:bookmarkEnd w:id="357"/>
      <w:bookmarkEnd w:id="35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57"/>
        <w:ind w:firstLine="422" w:firstLineChars="200"/>
        <w:rPr>
          <w:rFonts w:hint="default" w:ascii="Times New Roman" w:hAnsi="Times New Roman" w:eastAsia="宋体" w:cs="Times New Roman"/>
          <w:b/>
          <w:color w:val="auto"/>
          <w:sz w:val="21"/>
          <w:szCs w:val="21"/>
        </w:rPr>
      </w:pPr>
      <w:bookmarkStart w:id="359" w:name="_Toc245036644"/>
      <w:bookmarkStart w:id="360" w:name="_Toc322615440"/>
      <w:bookmarkStart w:id="361" w:name="_Toc152045577"/>
      <w:bookmarkStart w:id="362" w:name="_Toc319407878"/>
      <w:bookmarkStart w:id="363" w:name="_Toc323711792"/>
      <w:bookmarkStart w:id="364" w:name="_Toc319408113"/>
      <w:bookmarkStart w:id="365" w:name="_Toc392345956"/>
      <w:bookmarkStart w:id="366" w:name="_Toc3266"/>
      <w:bookmarkStart w:id="367" w:name="_Toc152042353"/>
      <w:bookmarkStart w:id="368" w:name="_Toc144974545"/>
      <w:r>
        <w:rPr>
          <w:rFonts w:hint="default" w:ascii="Times New Roman" w:hAnsi="Times New Roman" w:eastAsia="宋体" w:cs="Times New Roman"/>
          <w:b/>
          <w:color w:val="auto"/>
          <w:sz w:val="21"/>
          <w:szCs w:val="21"/>
        </w:rPr>
        <w:t>9.3 对评标委员会成员的纪律要求</w:t>
      </w:r>
      <w:bookmarkEnd w:id="359"/>
      <w:bookmarkEnd w:id="360"/>
      <w:bookmarkEnd w:id="361"/>
      <w:bookmarkEnd w:id="362"/>
      <w:bookmarkEnd w:id="363"/>
      <w:bookmarkEnd w:id="364"/>
      <w:bookmarkEnd w:id="365"/>
      <w:bookmarkEnd w:id="366"/>
      <w:bookmarkEnd w:id="367"/>
      <w:bookmarkEnd w:id="36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57"/>
        <w:ind w:firstLine="422" w:firstLineChars="200"/>
        <w:rPr>
          <w:rFonts w:hint="default" w:ascii="Times New Roman" w:hAnsi="Times New Roman" w:eastAsia="宋体" w:cs="Times New Roman"/>
          <w:b/>
          <w:color w:val="auto"/>
          <w:sz w:val="21"/>
          <w:szCs w:val="21"/>
        </w:rPr>
      </w:pPr>
      <w:bookmarkStart w:id="369" w:name="_Toc392345957"/>
      <w:bookmarkStart w:id="370" w:name="_Toc152042354"/>
      <w:bookmarkStart w:id="371" w:name="_Toc323711793"/>
      <w:bookmarkStart w:id="372" w:name="_Toc152045578"/>
      <w:bookmarkStart w:id="373" w:name="_Toc480"/>
      <w:bookmarkStart w:id="374" w:name="_Toc319407879"/>
      <w:bookmarkStart w:id="375" w:name="_Toc322615441"/>
      <w:bookmarkStart w:id="376" w:name="_Toc319408114"/>
      <w:bookmarkStart w:id="377" w:name="_Toc245036645"/>
      <w:bookmarkStart w:id="378" w:name="_Toc144974546"/>
      <w:r>
        <w:rPr>
          <w:rFonts w:hint="default" w:ascii="Times New Roman" w:hAnsi="Times New Roman" w:eastAsia="宋体" w:cs="Times New Roman"/>
          <w:b/>
          <w:color w:val="auto"/>
          <w:sz w:val="21"/>
          <w:szCs w:val="21"/>
        </w:rPr>
        <w:t>9.4 对与评标活动有关的工作人员的纪律要求</w:t>
      </w:r>
      <w:bookmarkEnd w:id="369"/>
      <w:bookmarkEnd w:id="370"/>
      <w:bookmarkEnd w:id="371"/>
      <w:bookmarkEnd w:id="372"/>
      <w:bookmarkEnd w:id="373"/>
      <w:bookmarkEnd w:id="374"/>
      <w:bookmarkEnd w:id="375"/>
      <w:bookmarkEnd w:id="376"/>
      <w:bookmarkEnd w:id="377"/>
    </w:p>
    <w:p>
      <w:pPr>
        <w:spacing w:line="400" w:lineRule="exact"/>
        <w:ind w:firstLine="420" w:firstLineChars="200"/>
        <w:rPr>
          <w:rFonts w:hint="default" w:ascii="Times New Roman" w:hAnsi="Times New Roman" w:cs="Times New Roman"/>
          <w:color w:val="auto"/>
          <w:szCs w:val="21"/>
        </w:rPr>
      </w:pPr>
      <w:bookmarkStart w:id="379" w:name="_Toc152042355"/>
      <w:r>
        <w:rPr>
          <w:rFonts w:hint="default" w:ascii="Times New Roman" w:hAnsi="Times New Roman" w:cs="Times New Roman"/>
          <w:color w:val="auto"/>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79"/>
    </w:p>
    <w:p>
      <w:pPr>
        <w:pStyle w:val="57"/>
        <w:ind w:firstLine="422" w:firstLineChars="200"/>
        <w:rPr>
          <w:rFonts w:hint="default" w:ascii="Times New Roman" w:hAnsi="Times New Roman" w:eastAsia="宋体" w:cs="Times New Roman"/>
          <w:b/>
          <w:color w:val="auto"/>
          <w:sz w:val="21"/>
          <w:szCs w:val="21"/>
        </w:rPr>
      </w:pPr>
      <w:bookmarkStart w:id="380" w:name="_Toc322615442"/>
      <w:bookmarkStart w:id="381" w:name="_Toc319407880"/>
      <w:bookmarkStart w:id="382" w:name="_Toc323711794"/>
      <w:bookmarkStart w:id="383" w:name="_Toc245036646"/>
      <w:bookmarkStart w:id="384" w:name="_Toc152045579"/>
      <w:bookmarkStart w:id="385" w:name="_Toc392345958"/>
      <w:bookmarkStart w:id="386" w:name="_Toc152042356"/>
      <w:bookmarkStart w:id="387" w:name="_Toc319408115"/>
      <w:bookmarkStart w:id="388" w:name="_Toc9812"/>
      <w:r>
        <w:rPr>
          <w:rFonts w:hint="default" w:ascii="Times New Roman" w:hAnsi="Times New Roman" w:eastAsia="宋体" w:cs="Times New Roman"/>
          <w:b/>
          <w:color w:val="auto"/>
          <w:sz w:val="21"/>
          <w:szCs w:val="21"/>
        </w:rPr>
        <w:t>9.5</w:t>
      </w:r>
      <w:bookmarkEnd w:id="378"/>
      <w:bookmarkEnd w:id="380"/>
      <w:bookmarkEnd w:id="381"/>
      <w:bookmarkEnd w:id="382"/>
      <w:bookmarkEnd w:id="383"/>
      <w:bookmarkEnd w:id="384"/>
      <w:bookmarkEnd w:id="385"/>
      <w:bookmarkEnd w:id="386"/>
      <w:bookmarkEnd w:id="387"/>
      <w:bookmarkStart w:id="389" w:name="_Toc179632597"/>
      <w:bookmarkStart w:id="390" w:name="_Toc296602466"/>
      <w:bookmarkStart w:id="391" w:name="_Toc357955317"/>
      <w:bookmarkStart w:id="392" w:name="_Toc246996223"/>
      <w:bookmarkStart w:id="393" w:name="_Toc247085737"/>
      <w:bookmarkStart w:id="394" w:name="_Toc246996966"/>
      <w:bookmarkStart w:id="395" w:name="_Toc152042357"/>
      <w:bookmarkStart w:id="396" w:name="_Toc144974547"/>
      <w:bookmarkStart w:id="397" w:name="_Toc323711795"/>
      <w:bookmarkStart w:id="398" w:name="_Toc392345959"/>
      <w:bookmarkStart w:id="399" w:name="_Toc245036647"/>
      <w:bookmarkStart w:id="400" w:name="_Toc152045580"/>
      <w:r>
        <w:rPr>
          <w:rFonts w:hint="default" w:ascii="Times New Roman" w:hAnsi="Times New Roman" w:eastAsia="宋体" w:cs="Times New Roman"/>
          <w:b/>
          <w:color w:val="auto"/>
          <w:sz w:val="21"/>
          <w:szCs w:val="21"/>
        </w:rPr>
        <w:t>异议与投诉</w:t>
      </w:r>
      <w:bookmarkEnd w:id="388"/>
      <w:bookmarkEnd w:id="389"/>
      <w:bookmarkEnd w:id="390"/>
      <w:bookmarkEnd w:id="391"/>
      <w:bookmarkEnd w:id="392"/>
      <w:bookmarkEnd w:id="393"/>
      <w:bookmarkEnd w:id="39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iCs/>
          <w:color w:val="auto"/>
          <w:szCs w:val="21"/>
        </w:rPr>
        <w:t>投标人及其他利害关系人由提出异议与投诉的权利，但应遵守国家相关法律法规的规定和本章第10.2条的要求。</w:t>
      </w:r>
    </w:p>
    <w:p>
      <w:pPr>
        <w:pStyle w:val="57"/>
        <w:ind w:firstLine="420" w:firstLineChars="200"/>
        <w:rPr>
          <w:rFonts w:hint="default" w:ascii="Times New Roman" w:hAnsi="Times New Roman" w:eastAsia="宋体" w:cs="Times New Roman"/>
          <w:color w:val="auto"/>
          <w:sz w:val="21"/>
          <w:szCs w:val="21"/>
        </w:rPr>
      </w:pPr>
      <w:bookmarkStart w:id="401" w:name="_Toc576"/>
      <w:r>
        <w:rPr>
          <w:rFonts w:hint="default" w:ascii="Times New Roman" w:hAnsi="Times New Roman" w:eastAsia="宋体" w:cs="Times New Roman"/>
          <w:color w:val="auto"/>
          <w:sz w:val="21"/>
          <w:szCs w:val="21"/>
        </w:rPr>
        <w:t xml:space="preserve">10. </w:t>
      </w:r>
      <w:bookmarkEnd w:id="395"/>
      <w:bookmarkEnd w:id="396"/>
      <w:bookmarkEnd w:id="397"/>
      <w:bookmarkEnd w:id="398"/>
      <w:bookmarkEnd w:id="399"/>
      <w:bookmarkEnd w:id="400"/>
      <w:r>
        <w:rPr>
          <w:rFonts w:hint="default" w:ascii="Times New Roman" w:hAnsi="Times New Roman" w:eastAsia="宋体" w:cs="Times New Roman"/>
          <w:color w:val="auto"/>
          <w:sz w:val="21"/>
          <w:szCs w:val="21"/>
        </w:rPr>
        <w:t>需要补充的其他内容</w:t>
      </w:r>
      <w:bookmarkEnd w:id="401"/>
    </w:p>
    <w:p>
      <w:pPr>
        <w:spacing w:line="400" w:lineRule="exact"/>
        <w:ind w:firstLine="420" w:firstLineChars="200"/>
        <w:rPr>
          <w:rFonts w:hint="default" w:ascii="Times New Roman" w:hAnsi="Times New Roman" w:cs="Times New Roman"/>
          <w:color w:val="auto"/>
          <w:szCs w:val="21"/>
        </w:rPr>
      </w:pPr>
      <w:bookmarkStart w:id="402" w:name="_Toc322615444"/>
      <w:bookmarkStart w:id="403" w:name="_Toc323711796"/>
      <w:r>
        <w:rPr>
          <w:rFonts w:hint="default" w:ascii="Times New Roman" w:hAnsi="Times New Roman" w:cs="Times New Roman"/>
          <w:color w:val="auto"/>
          <w:szCs w:val="21"/>
        </w:rPr>
        <w:t>10.1否决投标的情形</w:t>
      </w:r>
      <w:bookmarkEnd w:id="402"/>
      <w:bookmarkEnd w:id="403"/>
      <w:r>
        <w:rPr>
          <w:rFonts w:hint="default" w:ascii="Times New Roman" w:hAnsi="Times New Roman" w:cs="Times New Roman"/>
          <w:color w:val="auto"/>
          <w:szCs w:val="21"/>
        </w:rPr>
        <w:t>：见投标人须知前附表</w:t>
      </w:r>
    </w:p>
    <w:p>
      <w:pPr>
        <w:spacing w:line="400" w:lineRule="exact"/>
        <w:ind w:firstLine="420" w:firstLineChars="200"/>
        <w:rPr>
          <w:rFonts w:hint="default" w:ascii="Times New Roman" w:hAnsi="Times New Roman" w:cs="Times New Roman"/>
          <w:color w:val="auto"/>
          <w:szCs w:val="21"/>
        </w:rPr>
      </w:pPr>
      <w:bookmarkStart w:id="404" w:name="_Toc323711797"/>
      <w:bookmarkStart w:id="405" w:name="_Toc322615445"/>
      <w:r>
        <w:rPr>
          <w:rFonts w:hint="default" w:ascii="Times New Roman" w:hAnsi="Times New Roman" w:cs="Times New Roman"/>
          <w:color w:val="auto"/>
          <w:szCs w:val="21"/>
        </w:rPr>
        <w:t>10.2</w:t>
      </w:r>
      <w:bookmarkEnd w:id="404"/>
      <w:bookmarkEnd w:id="405"/>
      <w:r>
        <w:rPr>
          <w:rFonts w:hint="default" w:ascii="Times New Roman" w:hAnsi="Times New Roman" w:cs="Times New Roman"/>
          <w:color w:val="auto"/>
          <w:szCs w:val="21"/>
        </w:rPr>
        <w:t>异议与投诉：见投标人须知前附表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10.3定标：见投标人须知前附表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10.4特别说明：见投标人须知前附表</w:t>
      </w:r>
    </w:p>
    <w:p>
      <w:pPr>
        <w:spacing w:line="400" w:lineRule="exact"/>
        <w:ind w:firstLine="42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color w:val="auto"/>
          <w:szCs w:val="21"/>
        </w:rPr>
        <w:br w:type="page"/>
      </w:r>
    </w:p>
    <w:p>
      <w:pPr>
        <w:pStyle w:val="6"/>
        <w:ind w:firstLine="0" w:firstLineChars="0"/>
        <w:rPr>
          <w:rFonts w:hint="default" w:ascii="Times New Roman" w:hAnsi="Times New Roman" w:cs="Times New Roman" w:eastAsiaTheme="minorEastAsia"/>
          <w:color w:val="auto"/>
          <w:sz w:val="24"/>
          <w:szCs w:val="24"/>
        </w:rPr>
      </w:pPr>
      <w:bookmarkStart w:id="406" w:name="_Toc21652"/>
      <w:bookmarkStart w:id="407" w:name="_Toc413527432"/>
      <w:bookmarkStart w:id="408" w:name="_Toc323711800"/>
      <w:bookmarkStart w:id="409" w:name="_Toc184635081"/>
      <w:r>
        <w:rPr>
          <w:rFonts w:hint="default" w:ascii="Times New Roman" w:hAnsi="Times New Roman" w:cs="Times New Roman" w:eastAsiaTheme="minorEastAsia"/>
          <w:color w:val="auto"/>
          <w:sz w:val="24"/>
          <w:szCs w:val="24"/>
        </w:rPr>
        <w:t>附表一：开标记录表</w:t>
      </w:r>
      <w:bookmarkEnd w:id="406"/>
      <w:r>
        <w:rPr>
          <w:rFonts w:hint="default" w:ascii="Times New Roman" w:hAnsi="Times New Roman" w:cs="Times New Roman" w:eastAsiaTheme="minorEastAsia"/>
          <w:color w:val="auto"/>
          <w:sz w:val="24"/>
          <w:szCs w:val="24"/>
        </w:rPr>
        <w:t>（略）</w:t>
      </w:r>
    </w:p>
    <w:p>
      <w:pPr>
        <w:spacing w:line="360" w:lineRule="auto"/>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b/>
          <w:bCs/>
          <w:color w:val="auto"/>
          <w:sz w:val="24"/>
          <w:szCs w:val="24"/>
        </w:rPr>
        <w:t>附表二：问题澄清通知</w:t>
      </w:r>
    </w:p>
    <w:p>
      <w:pPr>
        <w:spacing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问题澄清通知</w:t>
      </w:r>
    </w:p>
    <w:p>
      <w:pPr>
        <w:spacing w:line="360" w:lineRule="auto"/>
        <w:ind w:firstLine="480"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color w:val="auto"/>
          <w:sz w:val="24"/>
          <w:szCs w:val="24"/>
        </w:rPr>
        <w:t xml:space="preserve">                          编号：</w:t>
      </w:r>
    </w:p>
    <w:p>
      <w:pPr>
        <w:spacing w:line="360" w:lineRule="auto"/>
        <w:ind w:firstLine="480" w:firstLineChars="200"/>
        <w:rPr>
          <w:rFonts w:hint="default" w:ascii="Times New Roman" w:hAnsi="Times New Roman" w:cs="Times New Roman" w:eastAsiaTheme="minorEastAsia"/>
          <w:color w:val="auto"/>
          <w:sz w:val="24"/>
          <w:szCs w:val="24"/>
          <w:u w:val="single"/>
        </w:rPr>
      </w:pP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（投标人名称）: </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（项目名称）标段招标的评标委员会，对你方的投标文件进行了仔细的审查，现需你方对下列问题以书面形式予以澄清：</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请将上述问题的澄清于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日时前递交至</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（详细地址）或传真至</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（传真号码）。采用传真方式的，应在</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日时前将原件递交至</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（详细地址）。</w:t>
      </w:r>
    </w:p>
    <w:p>
      <w:pPr>
        <w:spacing w:line="360" w:lineRule="auto"/>
        <w:ind w:firstLine="5145" w:firstLineChars="2450"/>
        <w:rPr>
          <w:rFonts w:hint="default" w:ascii="Times New Roman" w:hAnsi="Times New Roman" w:cs="Times New Roman"/>
          <w:color w:val="auto"/>
          <w:szCs w:val="21"/>
        </w:rPr>
      </w:pPr>
    </w:p>
    <w:p>
      <w:pPr>
        <w:spacing w:line="360" w:lineRule="auto"/>
        <w:ind w:firstLine="5145" w:firstLineChars="2450"/>
        <w:rPr>
          <w:rFonts w:hint="default" w:ascii="Times New Roman" w:hAnsi="Times New Roman" w:cs="Times New Roman"/>
          <w:color w:val="auto"/>
          <w:szCs w:val="21"/>
        </w:rPr>
      </w:pPr>
    </w:p>
    <w:p>
      <w:pPr>
        <w:spacing w:line="360" w:lineRule="auto"/>
        <w:ind w:firstLine="4620" w:firstLineChars="2200"/>
        <w:rPr>
          <w:rFonts w:hint="default" w:ascii="Times New Roman" w:hAnsi="Times New Roman" w:cs="Times New Roman"/>
          <w:color w:val="auto"/>
          <w:szCs w:val="21"/>
        </w:rPr>
      </w:pPr>
      <w:r>
        <w:rPr>
          <w:rFonts w:hint="default" w:ascii="Times New Roman" w:hAnsi="Times New Roman" w:cs="Times New Roman"/>
          <w:color w:val="auto"/>
          <w:szCs w:val="21"/>
        </w:rPr>
        <w:t>评标委员会负责人：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auto"/>
        <w:ind w:firstLine="210"/>
        <w:rPr>
          <w:rFonts w:hint="default" w:ascii="Times New Roman" w:hAnsi="Times New Roman" w:cs="Times New Roman"/>
          <w:color w:val="auto"/>
          <w:szCs w:val="21"/>
          <w:u w:val="single"/>
        </w:rPr>
      </w:pPr>
    </w:p>
    <w:p>
      <w:pPr>
        <w:spacing w:line="360" w:lineRule="auto"/>
        <w:ind w:firstLine="5460" w:firstLineChars="2600"/>
        <w:rPr>
          <w:rFonts w:hint="default" w:ascii="Times New Roman" w:hAnsi="Times New Roman" w:cs="Times New Roman"/>
          <w:color w:val="auto"/>
          <w:szCs w:val="21"/>
        </w:rPr>
      </w:pPr>
      <w:r>
        <w:rPr>
          <w:rFonts w:hint="default" w:ascii="Times New Roman" w:hAnsi="Times New Roman" w:cs="Times New Roman"/>
          <w:color w:val="auto"/>
          <w:szCs w:val="21"/>
        </w:rPr>
        <w:t>年   月   日</w:t>
      </w:r>
    </w:p>
    <w:p>
      <w:pPr>
        <w:spacing w:line="360" w:lineRule="auto"/>
        <w:ind w:firstLine="5460" w:firstLineChars="2600"/>
        <w:rPr>
          <w:rFonts w:hint="default" w:ascii="Times New Roman" w:hAnsi="Times New Roman" w:cs="Times New Roman"/>
          <w:color w:val="auto"/>
          <w:szCs w:val="21"/>
        </w:rPr>
        <w:sectPr>
          <w:footerReference r:id="rId4" w:type="default"/>
          <w:pgSz w:w="11906" w:h="16838"/>
          <w:pgMar w:top="1440" w:right="1134" w:bottom="1440" w:left="1134" w:header="851" w:footer="992" w:gutter="0"/>
          <w:cols w:space="0" w:num="1"/>
          <w:docGrid w:type="lines" w:linePitch="312" w:charSpace="0"/>
        </w:sectPr>
      </w:pPr>
    </w:p>
    <w:p>
      <w:pPr>
        <w:pStyle w:val="6"/>
        <w:ind w:firstLine="482"/>
        <w:rPr>
          <w:rFonts w:hint="default" w:ascii="Times New Roman" w:hAnsi="Times New Roman" w:cs="Times New Roman" w:eastAsiaTheme="minorEastAsia"/>
          <w:color w:val="auto"/>
          <w:sz w:val="24"/>
          <w:szCs w:val="24"/>
        </w:rPr>
      </w:pPr>
      <w:bookmarkStart w:id="410" w:name="_Toc9597"/>
      <w:r>
        <w:rPr>
          <w:rFonts w:hint="default" w:ascii="Times New Roman" w:hAnsi="Times New Roman" w:cs="Times New Roman" w:eastAsiaTheme="minorEastAsia"/>
          <w:color w:val="auto"/>
          <w:sz w:val="24"/>
          <w:szCs w:val="24"/>
        </w:rPr>
        <w:t>附表三：问题的澄清</w:t>
      </w:r>
      <w:bookmarkEnd w:id="410"/>
    </w:p>
    <w:p>
      <w:pPr>
        <w:spacing w:beforeLines="50" w:afterLines="50"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问题的澄清</w:t>
      </w:r>
    </w:p>
    <w:p>
      <w:pPr>
        <w:spacing w:line="360" w:lineRule="auto"/>
        <w:ind w:firstLine="6480" w:firstLineChars="27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编号：</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(项目名称）</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标段招标评标委员会：</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问题澄清通知（编号： </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）已收悉，现澄清如下：</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725" w:firstLineChars="225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投标人：</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3675" w:firstLineChars="175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法定代表人或其委托代理人：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（签字）</w:t>
      </w:r>
    </w:p>
    <w:p>
      <w:pPr>
        <w:spacing w:line="360" w:lineRule="auto"/>
        <w:ind w:firstLine="5145" w:firstLineChars="2450"/>
        <w:rPr>
          <w:rFonts w:hint="default" w:ascii="Times New Roman" w:hAnsi="Times New Roman" w:cs="Times New Roman" w:eastAsiaTheme="minorEastAsia"/>
          <w:color w:val="auto"/>
          <w:szCs w:val="21"/>
          <w:u w:val="single"/>
        </w:rPr>
      </w:pPr>
    </w:p>
    <w:p>
      <w:pPr>
        <w:spacing w:line="360" w:lineRule="auto"/>
        <w:ind w:firstLine="5145" w:firstLineChars="245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p>
      <w:pPr>
        <w:spacing w:line="360" w:lineRule="auto"/>
        <w:ind w:firstLine="5145" w:firstLineChars="2450"/>
        <w:rPr>
          <w:rFonts w:hint="default" w:ascii="Times New Roman" w:hAnsi="Times New Roman" w:cs="Times New Roman" w:eastAsiaTheme="minorEastAsia"/>
          <w:color w:val="auto"/>
          <w:szCs w:val="21"/>
        </w:rPr>
        <w:sectPr>
          <w:pgSz w:w="11906" w:h="16838"/>
          <w:pgMar w:top="1440" w:right="1134" w:bottom="1440" w:left="1134" w:header="851" w:footer="992" w:gutter="0"/>
          <w:cols w:space="720" w:num="1"/>
          <w:docGrid w:type="lines" w:linePitch="312" w:charSpace="0"/>
        </w:sectPr>
      </w:pPr>
    </w:p>
    <w:p>
      <w:pPr>
        <w:pStyle w:val="6"/>
        <w:ind w:firstLine="482"/>
        <w:rPr>
          <w:rFonts w:hint="default" w:ascii="Times New Roman" w:hAnsi="Times New Roman" w:cs="Times New Roman"/>
          <w:color w:val="auto"/>
          <w:sz w:val="24"/>
          <w:szCs w:val="24"/>
        </w:rPr>
      </w:pPr>
      <w:bookmarkStart w:id="411" w:name="_Toc11393"/>
      <w:r>
        <w:rPr>
          <w:rFonts w:hint="default" w:ascii="Times New Roman" w:hAnsi="Times New Roman" w:cs="Times New Roman"/>
          <w:color w:val="auto"/>
          <w:sz w:val="24"/>
          <w:szCs w:val="24"/>
        </w:rPr>
        <w:t>附表四：中标通知书</w:t>
      </w:r>
      <w:bookmarkEnd w:id="411"/>
    </w:p>
    <w:p>
      <w:pPr>
        <w:spacing w:beforeLines="50" w:afterLines="50"/>
        <w:ind w:firstLine="482" w:firstLineChars="200"/>
        <w:jc w:val="cente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中标通知书</w:t>
      </w:r>
    </w:p>
    <w:p>
      <w:pPr>
        <w:spacing w:afterLines="50"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中标具体内容如下：</w:t>
      </w:r>
    </w:p>
    <w:tbl>
      <w:tblPr>
        <w:tblStyle w:val="38"/>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招标项目名称</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招标人名称</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中标人名称</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中标金额</w:t>
            </w:r>
          </w:p>
        </w:tc>
        <w:tc>
          <w:tcPr>
            <w:tcW w:w="8106" w:type="dxa"/>
            <w:vAlign w:val="center"/>
          </w:tcPr>
          <w:p>
            <w:pPr>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rPr>
              <w:t xml:space="preserve">（大写）： </w:t>
            </w:r>
            <w:r>
              <w:rPr>
                <w:rFonts w:hint="default" w:ascii="Times New Roman" w:hAnsi="Times New Roman" w:cs="Times New Roman"/>
                <w:color w:val="auto"/>
                <w:szCs w:val="21"/>
                <w:u w:val="single"/>
              </w:rPr>
              <w:tab/>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pacing w:val="-1"/>
                <w:szCs w:val="21"/>
              </w:rPr>
              <w:t>（</w:t>
            </w:r>
            <w:r>
              <w:rPr>
                <w:rFonts w:hint="default" w:ascii="Times New Roman" w:hAnsi="Times New Roman" w:cs="Times New Roman"/>
                <w:color w:val="auto"/>
                <w:szCs w:val="21"/>
              </w:rPr>
              <w:t>小写）：</w:t>
            </w:r>
            <w:r>
              <w:rPr>
                <w:rFonts w:hint="default" w:ascii="Times New Roman" w:hAnsi="Times New Roman" w:cs="Times New Roman"/>
                <w:color w:val="auto"/>
                <w:szCs w:val="21"/>
                <w:u w:val="single"/>
              </w:rPr>
              <w:tab/>
            </w:r>
            <w:r>
              <w:rPr>
                <w:rFonts w:hint="default" w:ascii="Times New Roman" w:hAnsi="Times New Roman" w:cs="Times New Roman"/>
                <w:color w:val="auto"/>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中标内容范围</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中标人与招标人签订中标合同期限</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签订中标合同</w:t>
            </w:r>
          </w:p>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地址</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其他需说明内容</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bl>
    <w:p>
      <w:pPr>
        <w:spacing w:line="360" w:lineRule="auto"/>
        <w:ind w:firstLine="210"/>
        <w:rPr>
          <w:rFonts w:hint="default" w:ascii="Times New Roman" w:hAnsi="Times New Roman" w:cs="Times New Roman"/>
          <w:color w:val="auto"/>
          <w:szCs w:val="21"/>
        </w:rPr>
      </w:pPr>
      <w:r>
        <w:rPr>
          <w:rFonts w:hint="default" w:ascii="Times New Roman" w:hAnsi="Times New Roman" w:cs="Times New Roman"/>
          <w:color w:val="auto"/>
          <w:szCs w:val="21"/>
        </w:rPr>
        <w:t xml:space="preserve">                                </w:t>
      </w:r>
    </w:p>
    <w:p>
      <w:pPr>
        <w:spacing w:line="520" w:lineRule="exact"/>
        <w:ind w:firstLine="210"/>
        <w:jc w:val="center"/>
        <w:rPr>
          <w:rFonts w:hint="default" w:ascii="Times New Roman" w:hAnsi="Times New Roman" w:cs="Times New Roman"/>
          <w:color w:val="auto"/>
          <w:szCs w:val="21"/>
          <w:u w:val="single"/>
        </w:rPr>
      </w:pPr>
      <w:r>
        <w:rPr>
          <w:rFonts w:hint="default" w:ascii="Times New Roman" w:hAnsi="Times New Roman" w:cs="Times New Roman"/>
          <w:color w:val="auto"/>
          <w:szCs w:val="21"/>
        </w:rPr>
        <w:t xml:space="preserve">                         招标人：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（盖章）</w:t>
      </w:r>
    </w:p>
    <w:p>
      <w:pPr>
        <w:pStyle w:val="2"/>
        <w:spacing w:line="520" w:lineRule="exact"/>
        <w:ind w:firstLine="4320" w:firstLineChars="1800"/>
        <w:rPr>
          <w:rFonts w:hint="default" w:ascii="Times New Roman" w:hAnsi="Times New Roman" w:cs="Times New Roman"/>
          <w:color w:val="auto"/>
          <w:sz w:val="21"/>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日</w:t>
      </w:r>
    </w:p>
    <w:p>
      <w:pPr>
        <w:spacing w:line="520" w:lineRule="exact"/>
        <w:ind w:firstLine="210"/>
        <w:jc w:val="center"/>
        <w:rPr>
          <w:rFonts w:hint="default" w:ascii="Times New Roman" w:hAnsi="Times New Roman" w:cs="Times New Roman"/>
          <w:color w:val="auto"/>
          <w:szCs w:val="21"/>
          <w:u w:val="single"/>
        </w:rPr>
      </w:pPr>
      <w:r>
        <w:rPr>
          <w:rFonts w:hint="default" w:ascii="Times New Roman" w:hAnsi="Times New Roman" w:cs="Times New Roman"/>
          <w:color w:val="auto"/>
          <w:szCs w:val="21"/>
        </w:rPr>
        <w:t xml:space="preserve">                                                 招标代理机构盖章：</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（盖章）</w:t>
      </w:r>
    </w:p>
    <w:p>
      <w:pPr>
        <w:pStyle w:val="2"/>
        <w:spacing w:line="520" w:lineRule="exact"/>
        <w:ind w:firstLine="4320" w:firstLineChars="1800"/>
        <w:rPr>
          <w:rFonts w:hint="default" w:ascii="Times New Roman" w:hAnsi="Times New Roman" w:cs="Times New Roman"/>
          <w:color w:val="auto"/>
          <w:sz w:val="21"/>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日</w:t>
      </w:r>
    </w:p>
    <w:p>
      <w:pPr>
        <w:pStyle w:val="2"/>
        <w:spacing w:line="520" w:lineRule="exact"/>
        <w:ind w:firstLine="4410" w:firstLineChars="2100"/>
        <w:rPr>
          <w:rFonts w:hint="default" w:ascii="Times New Roman" w:hAnsi="Times New Roman" w:cs="Times New Roman"/>
          <w:color w:val="auto"/>
          <w:sz w:val="21"/>
          <w:szCs w:val="21"/>
        </w:rPr>
      </w:pPr>
    </w:p>
    <w:p>
      <w:pPr>
        <w:pStyle w:val="31"/>
        <w:rPr>
          <w:rFonts w:hint="default" w:ascii="Times New Roman" w:hAnsi="Times New Roman" w:cs="Times New Roman"/>
          <w:color w:val="auto"/>
        </w:rPr>
      </w:pPr>
    </w:p>
    <w:p>
      <w:pPr>
        <w:pStyle w:val="2"/>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备案部门：</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（盖章）</w:t>
      </w:r>
    </w:p>
    <w:p>
      <w:pPr>
        <w:pStyle w:val="2"/>
        <w:spacing w:line="520" w:lineRule="exact"/>
        <w:rPr>
          <w:rFonts w:hint="default" w:ascii="Times New Roman" w:hAnsi="Times New Roman" w:cs="Times New Roman"/>
          <w:color w:val="auto"/>
          <w:sz w:val="21"/>
          <w:szCs w:val="21"/>
        </w:rPr>
      </w:pP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日</w:t>
      </w:r>
    </w:p>
    <w:p>
      <w:pPr>
        <w:spacing w:line="360" w:lineRule="auto"/>
        <w:rPr>
          <w:rFonts w:hint="default" w:ascii="Times New Roman" w:hAnsi="Times New Roman" w:cs="Times New Roman" w:eastAsiaTheme="minorEastAsia"/>
          <w:color w:val="auto"/>
          <w:sz w:val="24"/>
          <w:szCs w:val="24"/>
        </w:rPr>
      </w:pPr>
      <w:r>
        <w:rPr>
          <w:rFonts w:hint="default" w:ascii="Times New Roman" w:hAnsi="Times New Roman" w:cs="Times New Roman"/>
          <w:color w:val="auto"/>
          <w:szCs w:val="21"/>
        </w:rPr>
        <w:t xml:space="preserve">                                     </w:t>
      </w:r>
      <w:bookmarkStart w:id="412" w:name="_Toc30185"/>
    </w:p>
    <w:p>
      <w:pPr>
        <w:pStyle w:val="6"/>
        <w:ind w:firstLine="0" w:firstLineChars="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附表五：中标结果通知书</w:t>
      </w:r>
      <w:bookmarkEnd w:id="412"/>
    </w:p>
    <w:p>
      <w:pPr>
        <w:spacing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中标结果通知书</w:t>
      </w:r>
    </w:p>
    <w:p>
      <w:pPr>
        <w:spacing w:line="360" w:lineRule="auto"/>
        <w:ind w:firstLine="210"/>
        <w:rPr>
          <w:rFonts w:hint="default" w:ascii="Times New Roman" w:hAnsi="Times New Roman" w:cs="Times New Roman" w:eastAsiaTheme="minorEastAsia"/>
          <w:color w:val="auto"/>
          <w:sz w:val="24"/>
          <w:szCs w:val="24"/>
          <w:u w:val="single"/>
        </w:rPr>
      </w:pPr>
    </w:p>
    <w:p>
      <w:pPr>
        <w:spacing w:line="360" w:lineRule="auto"/>
        <w:ind w:firstLine="210"/>
        <w:rPr>
          <w:rFonts w:hint="default" w:ascii="Times New Roman" w:hAnsi="Times New Roman" w:cs="Times New Roman" w:eastAsiaTheme="minorEastAsia"/>
          <w:color w:val="auto"/>
          <w:sz w:val="24"/>
          <w:szCs w:val="24"/>
          <w:u w:val="single"/>
        </w:rPr>
      </w:pP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 xml:space="preserve">（未中标人名称）: </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我方已接受</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（中标人名称）于</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（投标日期）所递交的</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（项目名称）</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标段投标文件，确定</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（中标人名称）为中标人。</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感谢你单位对我们工作的大力支持！</w:t>
      </w: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招标人：</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830" w:firstLineChars="2300"/>
        <w:rPr>
          <w:rFonts w:hint="default" w:ascii="Times New Roman" w:hAnsi="Times New Roman" w:cs="Times New Roman" w:eastAsiaTheme="minorEastAsia"/>
          <w:color w:val="auto"/>
          <w:szCs w:val="21"/>
          <w:u w:val="single"/>
        </w:rPr>
      </w:pPr>
    </w:p>
    <w:p>
      <w:pPr>
        <w:spacing w:line="360" w:lineRule="auto"/>
        <w:ind w:firstLine="4830" w:firstLineChars="23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p>
      <w:pPr>
        <w:spacing w:line="360" w:lineRule="auto"/>
        <w:ind w:firstLine="480" w:firstLineChars="200"/>
        <w:rPr>
          <w:rFonts w:hint="default" w:ascii="Times New Roman" w:hAnsi="Times New Roman" w:cs="Times New Roman" w:eastAsiaTheme="minorEastAsia"/>
          <w:color w:val="auto"/>
          <w:sz w:val="24"/>
          <w:szCs w:val="24"/>
        </w:rPr>
      </w:pPr>
    </w:p>
    <w:p>
      <w:pPr>
        <w:ind w:firstLine="210"/>
        <w:rPr>
          <w:rFonts w:hint="default" w:ascii="Times New Roman" w:hAnsi="Times New Roman" w:cs="Times New Roman" w:eastAsiaTheme="minorEastAsia"/>
          <w:color w:val="auto"/>
          <w:sz w:val="24"/>
          <w:szCs w:val="24"/>
        </w:rPr>
      </w:pPr>
    </w:p>
    <w:p>
      <w:pPr>
        <w:ind w:firstLine="210"/>
        <w:rPr>
          <w:rFonts w:hint="default" w:ascii="Times New Roman" w:hAnsi="Times New Roman" w:cs="Times New Roman" w:eastAsiaTheme="minorEastAsia"/>
          <w:color w:val="auto"/>
          <w:sz w:val="24"/>
          <w:szCs w:val="24"/>
        </w:rPr>
      </w:pPr>
    </w:p>
    <w:p>
      <w:pPr>
        <w:tabs>
          <w:tab w:val="left" w:pos="6624"/>
        </w:tabs>
        <w:ind w:firstLine="21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ab/>
      </w:r>
    </w:p>
    <w:p>
      <w:pPr>
        <w:ind w:firstLine="210"/>
        <w:rPr>
          <w:rFonts w:hint="default" w:ascii="Times New Roman" w:hAnsi="Times New Roman" w:cs="Times New Roman" w:eastAsiaTheme="minorEastAsia"/>
          <w:color w:val="auto"/>
          <w:sz w:val="24"/>
          <w:szCs w:val="24"/>
        </w:rPr>
      </w:pPr>
    </w:p>
    <w:p>
      <w:pPr>
        <w:ind w:firstLine="210"/>
        <w:rPr>
          <w:rFonts w:hint="default" w:ascii="Times New Roman" w:hAnsi="Times New Roman" w:cs="Times New Roman" w:eastAsiaTheme="minorEastAsia"/>
          <w:color w:val="auto"/>
          <w:sz w:val="24"/>
          <w:szCs w:val="24"/>
        </w:rPr>
        <w:sectPr>
          <w:pgSz w:w="11906" w:h="16838"/>
          <w:pgMar w:top="1440" w:right="1134" w:bottom="1440" w:left="1134" w:header="851" w:footer="992" w:gutter="0"/>
          <w:cols w:space="720" w:num="1"/>
          <w:docGrid w:type="lines" w:linePitch="312" w:charSpace="0"/>
        </w:sectPr>
      </w:pPr>
    </w:p>
    <w:p>
      <w:pPr>
        <w:pStyle w:val="6"/>
        <w:ind w:firstLine="482"/>
        <w:rPr>
          <w:rFonts w:hint="default" w:ascii="Times New Roman" w:hAnsi="Times New Roman" w:cs="Times New Roman" w:eastAsiaTheme="minorEastAsia"/>
          <w:color w:val="auto"/>
          <w:sz w:val="24"/>
          <w:szCs w:val="24"/>
        </w:rPr>
      </w:pPr>
      <w:bookmarkStart w:id="413" w:name="_Toc23370"/>
      <w:r>
        <w:rPr>
          <w:rFonts w:hint="default" w:ascii="Times New Roman" w:hAnsi="Times New Roman" w:cs="Times New Roman" w:eastAsiaTheme="minorEastAsia"/>
          <w:color w:val="auto"/>
          <w:sz w:val="24"/>
          <w:szCs w:val="24"/>
        </w:rPr>
        <w:t>附表六：确认通知</w:t>
      </w:r>
      <w:bookmarkEnd w:id="413"/>
    </w:p>
    <w:p>
      <w:pPr>
        <w:spacing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确 认 通 知</w:t>
      </w:r>
    </w:p>
    <w:p>
      <w:pPr>
        <w:spacing w:line="360" w:lineRule="auto"/>
        <w:ind w:firstLine="480" w:firstLineChars="200"/>
        <w:rPr>
          <w:rFonts w:hint="default" w:ascii="Times New Roman" w:hAnsi="Times New Roman" w:cs="Times New Roman" w:eastAsiaTheme="minorEastAsia"/>
          <w:color w:val="auto"/>
          <w:sz w:val="24"/>
          <w:szCs w:val="24"/>
          <w:u w:val="single"/>
        </w:rPr>
      </w:pP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 xml:space="preserve">（招标人名称）: </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我方已接到你方</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年</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月</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日发出的</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（项目名称）</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标段招标确认的通知，我方已于</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年</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月</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日收到。</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特此确认。</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042" w:firstLineChars="1925"/>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投标人：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420" w:firstLineChars="200"/>
        <w:rPr>
          <w:rFonts w:hint="default" w:ascii="Times New Roman" w:hAnsi="Times New Roman" w:cs="Times New Roman" w:eastAsiaTheme="minorEastAsia"/>
          <w:color w:val="auto"/>
          <w:szCs w:val="21"/>
        </w:rPr>
      </w:pPr>
    </w:p>
    <w:p>
      <w:pPr>
        <w:ind w:firstLine="5040" w:firstLineChars="24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bookmarkEnd w:id="407"/>
    <w:bookmarkEnd w:id="408"/>
    <w:bookmarkEnd w:id="409"/>
    <w:p>
      <w:pPr>
        <w:rPr>
          <w:rFonts w:hint="default" w:ascii="Times New Roman" w:hAnsi="Times New Roman" w:cs="Times New Roman" w:eastAsiaTheme="minorEastAsia"/>
          <w:color w:val="auto"/>
          <w:szCs w:val="21"/>
          <w:u w:val="single"/>
        </w:rPr>
      </w:pPr>
    </w:p>
    <w:p>
      <w:pPr>
        <w:rPr>
          <w:rFonts w:hint="default" w:ascii="Times New Roman" w:hAnsi="Times New Roman" w:cs="Times New Roman" w:eastAsiaTheme="minorEastAsia"/>
          <w:color w:val="auto"/>
          <w:sz w:val="24"/>
          <w:szCs w:val="24"/>
        </w:rPr>
      </w:pPr>
      <w:bookmarkStart w:id="414" w:name="_Toc413527636"/>
      <w:bookmarkStart w:id="415" w:name="_Toc321687881"/>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pStyle w:val="4"/>
        <w:spacing w:before="200" w:after="200" w:line="440" w:lineRule="exact"/>
        <w:rPr>
          <w:rFonts w:hint="default" w:ascii="Times New Roman" w:hAnsi="Times New Roman" w:cs="Times New Roman" w:eastAsiaTheme="minorEastAsia"/>
          <w:b w:val="0"/>
          <w:bCs w:val="0"/>
          <w:color w:val="auto"/>
          <w:sz w:val="24"/>
          <w:szCs w:val="24"/>
        </w:rPr>
      </w:pPr>
      <w:bookmarkStart w:id="416" w:name="_Toc3979"/>
      <w:r>
        <w:rPr>
          <w:rFonts w:hint="default" w:ascii="Times New Roman" w:hAnsi="Times New Roman" w:cs="Times New Roman" w:eastAsiaTheme="minorEastAsia"/>
          <w:color w:val="auto"/>
        </w:rPr>
        <w:t>第三章 评标办法</w:t>
      </w:r>
      <w:bookmarkEnd w:id="414"/>
      <w:bookmarkEnd w:id="415"/>
      <w:bookmarkEnd w:id="416"/>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根据《中华人民共和国招标投标法》、《中华人民共和国招标投标法实施条例》、《浙江省招标投标条例》、《评标委员会和评标办法暂行规定》（国家发展计划委员会第12号）、《浙江省综合性评标专家库管理办法实施细则》等有关规定，制定本办法。</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一、评标原则</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评标应遵循公平、公正、科学、择优的原则。</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二、评标组织</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评标工作由招标人依法组建的评标委员会负责，评标委员会的组建见投标人须知前附表，评标委员会成员数量见投标人须知前附表。</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评标委员会应当按照招标文件确定的评标标准和方法，客观、公正对投标文件进行评审和比较，招标文件没有规定的评标标准和方法不得作为评标的依据。</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评标委员会对投标文件作出的评审结论，应当符合有关法律、法规、规章和招标文件的规定。</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三、评标程序和内容</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（一）熟悉招标文件和评标办法；</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（二）投标文件的符合性评审；</w:t>
      </w:r>
    </w:p>
    <w:p>
      <w:pPr>
        <w:adjustRightInd w:val="0"/>
        <w:snapToGrid w:val="0"/>
        <w:spacing w:line="36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（三）投标文件的资信、业绩评审；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（四）投标文件的技术标评审；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（五）投标文件的商务标评审；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（六）必要时对投标文件中的问题进行询标，包括拟作出否决投标决定前对相关投标人进行的询问核实；</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（七）根据评标办法和标准对投标文件进行综合评分、排序；</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（八）完成评标报告，推荐中标候选人。</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四、评审细则</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（一）投标文件的符合性评审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1.评标委员会应依照招标文件的要求和规定，首先对投标人的投标资格和投标文件进行符合性评审。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2.询标</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（1）投标文件中有含义不明确的内容、明显文字或计算错误，评标委员会认为需要投标人作出必要澄清、说明的，应当组织询标。</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w:t>
      </w:r>
      <w:r>
        <w:rPr>
          <w:rFonts w:hint="default" w:ascii="Times New Roman" w:hAnsi="Times New Roman" w:cs="Times New Roman"/>
          <w:strike/>
          <w:color w:val="auto"/>
          <w:szCs w:val="21"/>
        </w:rPr>
        <w:t>询标应通过专用录音电话通知相关投标人。</w:t>
      </w:r>
      <w:r>
        <w:rPr>
          <w:rFonts w:hint="default" w:ascii="Times New Roman" w:hAnsi="Times New Roman" w:cs="Times New Roman"/>
          <w:color w:val="auto"/>
          <w:szCs w:val="21"/>
        </w:rPr>
        <w:t>询标内容及投标人的澄清、说明应当采用书面形式，并不得超出投标文件的范围或者改变投标文件的实质性内容。</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（4）评标委员会不得暗示或者诱导投标人作出澄清、说明，不得接受投标人主动提出的澄清、说明。</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（5）投标人不得通过补充、修改或撤消投标文件中的内容使其成为实质性响应的投标，投标人在投标截止时间以后不得提交任何资料作为评标依据。</w:t>
      </w:r>
    </w:p>
    <w:p>
      <w:pPr>
        <w:adjustRightInd w:val="0"/>
        <w:snapToGrid w:val="0"/>
        <w:spacing w:beforeLines="50" w:afterLines="50"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（二）技术标（满分70分）</w:t>
      </w:r>
    </w:p>
    <w:tbl>
      <w:tblPr>
        <w:tblStyle w:val="38"/>
        <w:tblW w:w="9696"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
        <w:gridCol w:w="8622"/>
        <w:gridCol w:w="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8622"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评分标准</w:t>
            </w:r>
          </w:p>
        </w:tc>
        <w:tc>
          <w:tcPr>
            <w:tcW w:w="583" w:type="dxa"/>
            <w:vAlign w:val="center"/>
          </w:tcPr>
          <w:p>
            <w:pPr>
              <w:spacing w:line="360" w:lineRule="exact"/>
              <w:ind w:left="-103" w:leftChars="-49"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1</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完全满足招标文件要求的，得30分；打▲指标出现负偏离每项扣2分；其他一般性指标负偏离扣1分，扣完为止；打★指标负偏离的无效投标处理。非量化类的，若是功能一样，表述方式不一样则为符合，量化类的由评委视情况讨论决定。</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2</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投标人所投产品业绩：提供同类产品销售业绩，每个得2分，最高得6分。</w:t>
            </w:r>
          </w:p>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投标文件提供合同复印件，复印件应清楚的辨析设备名称、型号和价格，否则不得分。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根据投标设备的技术先进性、易用性、稳定性进行评价，考虑所投产品的成熟性、用户认可度等方面打分，优于项目需求的得4.1-6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4</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对公司技术力量情况、供货安装进度的安排合理性、现场安全措施的可行性等方面打分。优于项目需求的得4.1-6分，基本符合项目需求的得2.1-4分，部分符合项目需求的得0.1-2分,不符合项目需求的得0分。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5</w:t>
            </w:r>
          </w:p>
        </w:tc>
        <w:tc>
          <w:tcPr>
            <w:tcW w:w="8622" w:type="dxa"/>
            <w:vAlign w:val="center"/>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质保期优惠：质保期期限仅满足招标文件规定的质保期要求的，得0分；超过招标文件规定的质保期每12个月的，得2分，最高得6分。（不足12个月的不计分）</w:t>
            </w:r>
          </w:p>
          <w:p>
            <w:pPr>
              <w:spacing w:line="360" w:lineRule="exact"/>
              <w:jc w:val="left"/>
              <w:rPr>
                <w:rFonts w:hint="default" w:ascii="Times New Roman" w:hAnsi="Times New Roman" w:cs="Times New Roman"/>
                <w:color w:val="auto"/>
                <w:szCs w:val="21"/>
              </w:rPr>
            </w:pPr>
            <w:r>
              <w:rPr>
                <w:rFonts w:hint="default" w:ascii="Times New Roman" w:hAnsi="Times New Roman" w:cs="Times New Roman"/>
                <w:b/>
                <w:bCs/>
                <w:color w:val="auto"/>
                <w:szCs w:val="21"/>
              </w:rPr>
              <w:t>注：质保期优惠包含人工、材料及配件费（含附件列表）等。</w:t>
            </w:r>
          </w:p>
        </w:tc>
        <w:tc>
          <w:tcPr>
            <w:tcW w:w="583" w:type="dxa"/>
            <w:vAlign w:val="center"/>
          </w:tcPr>
          <w:p>
            <w:pPr>
              <w:adjustRightInd w:val="0"/>
              <w:snapToGrid w:val="0"/>
              <w:spacing w:line="360" w:lineRule="exact"/>
              <w:jc w:val="center"/>
              <w:rPr>
                <w:rFonts w:hint="default" w:ascii="Times New Roman" w:hAnsi="Times New Roman" w:cs="Times New Roman"/>
                <w:color w:val="auto"/>
                <w:szCs w:val="21"/>
              </w:rPr>
            </w:pPr>
            <w:r>
              <w:rPr>
                <w:rFonts w:hint="default" w:ascii="Times New Roman" w:hAnsi="Times New Roman" w:cs="Times New Roman"/>
                <w:b/>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根据投标人提供的相应产品培训方案、时间、内容、地点、人员数等方面打分，优于项目需求的得3.1-5分，基本符合项目需求的得1.1-3分，部分符合项目需求的得0.1-1分,不符合项目需求的得0分。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7</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对提供的售后服务的响应情况（维修网点、维修人员、维修能力、定期巡检、故障响应等）及配件供应、优惠条件情况等方面打分；优于项目需求的得4.1-6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atLeast"/>
        </w:trPr>
        <w:tc>
          <w:tcPr>
            <w:tcW w:w="491"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8</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运行成本（根据保修价格、年运行费用和消耗品、易耗品价格），随机提供的耗材、备品配件、易损件是否齐全，保修期内外选购价格合理性等因素综合打分，优于项目需求的得4.1-5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5</w:t>
            </w:r>
          </w:p>
        </w:tc>
      </w:tr>
    </w:tbl>
    <w:p>
      <w:pPr>
        <w:adjustRightInd w:val="0"/>
        <w:snapToGrid w:val="0"/>
        <w:spacing w:line="360" w:lineRule="exact"/>
        <w:ind w:firstLine="422" w:firstLineChars="200"/>
        <w:rPr>
          <w:rFonts w:hint="default" w:ascii="Times New Roman" w:hAnsi="Times New Roman" w:cs="Times New Roman"/>
          <w:b/>
          <w:bCs/>
          <w:iCs/>
          <w:color w:val="auto"/>
          <w:szCs w:val="21"/>
          <w:u w:val="single"/>
        </w:rPr>
      </w:pPr>
      <w:r>
        <w:rPr>
          <w:rFonts w:hint="default" w:ascii="Times New Roman" w:hAnsi="Times New Roman" w:cs="Times New Roman"/>
          <w:b/>
          <w:bCs/>
          <w:iCs/>
          <w:color w:val="auto"/>
          <w:szCs w:val="21"/>
          <w:u w:val="single"/>
        </w:rPr>
        <w:t>1.所有证书都应在有效期内，逾期不得分。2.上述评分项目，任何由于投标人原因导致书面及证明材料缺失、字迹模糊无法分辨、内容错漏的情形，均可能导致该投标人的评审项失分。3.中标后招标人将对中标单位的相关评分（包括技术标准和要求中要求提供的证书、报告等内容，如有）原件进行核查，投标人须对提供的相关证明材料真实性负责，如有虚假，将依法承担相应责任，如中标则作无效标处理。</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由评标委员会全体成员负责对投标文件的技术标部分采用记名方式各自评分。如发现某个单项的评分超出了规定的分值范围的，则该张评分表无效。各投标人技术标得分为：如评标专家为7人及以上，从评标专家的有效评分中扣除一个最高总分和一个最低总分后的算术平均值（保留小数2位）。</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（三）投标文件的商务标评审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2、报价评审应以报价口径范围一致的投标评标价为依据。投标评标价应在最终报价的基础上，按照招标文件约定的因素和方法进行计算。</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3、评标基准价由评标委员会依据下述方法计算，除计算差错外，确认后的评标基准价在本次招标期间保持不变。</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4、报价评分（0-30分）</w:t>
      </w:r>
    </w:p>
    <w:p>
      <w:pPr>
        <w:adjustRightInd w:val="0"/>
        <w:snapToGrid w:val="0"/>
        <w:spacing w:afterLines="50" w:line="360" w:lineRule="exact"/>
        <w:ind w:firstLine="420" w:firstLineChars="200"/>
        <w:jc w:val="left"/>
        <w:rPr>
          <w:rFonts w:hint="default" w:ascii="Times New Roman" w:hAnsi="Times New Roman" w:cs="Times New Roman"/>
          <w:b/>
          <w:color w:val="auto"/>
          <w:szCs w:val="21"/>
        </w:rPr>
      </w:pPr>
      <w:r>
        <w:rPr>
          <w:rFonts w:hint="default" w:ascii="Times New Roman" w:hAnsi="Times New Roman" w:cs="Times New Roman"/>
          <w:color w:val="auto"/>
          <w:szCs w:val="21"/>
        </w:rPr>
        <w:t>☑</w:t>
      </w:r>
      <w:r>
        <w:rPr>
          <w:rFonts w:hint="default" w:ascii="Times New Roman" w:hAnsi="Times New Roman" w:cs="Times New Roman"/>
          <w:b/>
          <w:color w:val="auto"/>
          <w:szCs w:val="21"/>
        </w:rPr>
        <w:t xml:space="preserve">  平均价法</w:t>
      </w:r>
    </w:p>
    <w:tbl>
      <w:tblPr>
        <w:tblStyle w:val="38"/>
        <w:tblW w:w="98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0"/>
        <w:gridCol w:w="757"/>
        <w:gridCol w:w="6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230" w:type="dxa"/>
            <w:vAlign w:val="center"/>
          </w:tcPr>
          <w:p>
            <w:pPr>
              <w:pStyle w:val="85"/>
              <w:spacing w:afterLines="0"/>
              <w:ind w:firstLine="0" w:firstLineChars="0"/>
              <w:jc w:val="center"/>
              <w:rPr>
                <w:rFonts w:hint="default" w:ascii="Times New Roman" w:hAnsi="Times New Roman" w:cs="Times New Roman"/>
                <w:b/>
                <w:color w:val="auto"/>
                <w:sz w:val="21"/>
              </w:rPr>
            </w:pPr>
            <w:r>
              <w:rPr>
                <w:rFonts w:hint="default" w:ascii="Times New Roman" w:hAnsi="Times New Roman" w:cs="Times New Roman"/>
                <w:b/>
                <w:color w:val="auto"/>
                <w:sz w:val="21"/>
              </w:rPr>
              <w:t>评价项目</w:t>
            </w:r>
          </w:p>
        </w:tc>
        <w:tc>
          <w:tcPr>
            <w:tcW w:w="757" w:type="dxa"/>
            <w:vAlign w:val="center"/>
          </w:tcPr>
          <w:p>
            <w:pPr>
              <w:pStyle w:val="85"/>
              <w:spacing w:afterLines="0"/>
              <w:ind w:firstLine="0" w:firstLineChars="0"/>
              <w:jc w:val="center"/>
              <w:rPr>
                <w:rFonts w:hint="default" w:ascii="Times New Roman" w:hAnsi="Times New Roman" w:cs="Times New Roman"/>
                <w:b/>
                <w:color w:val="auto"/>
                <w:sz w:val="21"/>
              </w:rPr>
            </w:pPr>
            <w:r>
              <w:rPr>
                <w:rFonts w:hint="default" w:ascii="Times New Roman" w:hAnsi="Times New Roman" w:cs="Times New Roman"/>
                <w:b/>
                <w:color w:val="auto"/>
                <w:sz w:val="21"/>
              </w:rPr>
              <w:t>分值</w:t>
            </w:r>
          </w:p>
        </w:tc>
        <w:tc>
          <w:tcPr>
            <w:tcW w:w="6861" w:type="dxa"/>
            <w:vAlign w:val="center"/>
          </w:tcPr>
          <w:p>
            <w:pPr>
              <w:pStyle w:val="85"/>
              <w:spacing w:afterLines="0"/>
              <w:ind w:firstLine="0" w:firstLineChars="0"/>
              <w:jc w:val="center"/>
              <w:rPr>
                <w:rFonts w:hint="default" w:ascii="Times New Roman" w:hAnsi="Times New Roman" w:cs="Times New Roman"/>
                <w:b/>
                <w:color w:val="auto"/>
                <w:sz w:val="21"/>
              </w:rPr>
            </w:pPr>
            <w:r>
              <w:rPr>
                <w:rFonts w:hint="default" w:ascii="Times New Roman" w:hAnsi="Times New Roman" w:cs="Times New Roman"/>
                <w:b/>
                <w:color w:val="auto"/>
                <w:sz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trPr>
        <w:tc>
          <w:tcPr>
            <w:tcW w:w="2230" w:type="dxa"/>
            <w:vAlign w:val="center"/>
          </w:tcPr>
          <w:p>
            <w:pPr>
              <w:pStyle w:val="85"/>
              <w:spacing w:afterLines="0"/>
              <w:ind w:firstLine="0" w:firstLineChars="0"/>
              <w:jc w:val="center"/>
              <w:rPr>
                <w:rFonts w:hint="default" w:ascii="Times New Roman" w:hAnsi="Times New Roman" w:cs="Times New Roman"/>
                <w:color w:val="auto"/>
                <w:sz w:val="21"/>
              </w:rPr>
            </w:pPr>
            <w:r>
              <w:rPr>
                <w:rFonts w:hint="default" w:ascii="Times New Roman" w:hAnsi="Times New Roman" w:cs="Times New Roman"/>
                <w:color w:val="auto"/>
                <w:sz w:val="21"/>
              </w:rPr>
              <w:t>投标报价</w:t>
            </w:r>
          </w:p>
          <w:p>
            <w:pPr>
              <w:pStyle w:val="85"/>
              <w:spacing w:afterLines="0"/>
              <w:ind w:firstLine="0" w:firstLineChars="0"/>
              <w:jc w:val="center"/>
              <w:rPr>
                <w:rFonts w:hint="default" w:ascii="Times New Roman" w:hAnsi="Times New Roman" w:cs="Times New Roman"/>
                <w:color w:val="auto"/>
                <w:sz w:val="21"/>
              </w:rPr>
            </w:pPr>
          </w:p>
        </w:tc>
        <w:tc>
          <w:tcPr>
            <w:tcW w:w="757" w:type="dxa"/>
            <w:vAlign w:val="center"/>
          </w:tcPr>
          <w:p>
            <w:pPr>
              <w:pStyle w:val="85"/>
              <w:spacing w:afterLines="0"/>
              <w:ind w:firstLine="0" w:firstLineChars="0"/>
              <w:jc w:val="center"/>
              <w:rPr>
                <w:rFonts w:hint="default" w:ascii="Times New Roman" w:hAnsi="Times New Roman" w:cs="Times New Roman"/>
                <w:color w:val="auto"/>
                <w:sz w:val="21"/>
              </w:rPr>
            </w:pPr>
            <w:r>
              <w:rPr>
                <w:rFonts w:hint="default" w:ascii="Times New Roman" w:hAnsi="Times New Roman" w:cs="Times New Roman"/>
                <w:color w:val="auto"/>
                <w:sz w:val="21"/>
              </w:rPr>
              <w:t>30分</w:t>
            </w:r>
          </w:p>
        </w:tc>
        <w:tc>
          <w:tcPr>
            <w:tcW w:w="6861" w:type="dxa"/>
            <w:vAlign w:val="center"/>
          </w:tcPr>
          <w:p>
            <w:pPr>
              <w:adjustRightInd w:val="0"/>
              <w:snapToGrid w:val="0"/>
              <w:spacing w:line="34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（1）评分范围：通过符合性审查的所有投标文件进入评分范围。</w:t>
            </w:r>
          </w:p>
          <w:p>
            <w:pPr>
              <w:pStyle w:val="85"/>
              <w:spacing w:afterLines="0" w:line="340" w:lineRule="exact"/>
              <w:ind w:firstLine="0" w:firstLineChars="0"/>
              <w:rPr>
                <w:rFonts w:hint="default" w:ascii="Times New Roman" w:hAnsi="Times New Roman" w:cs="Times New Roman"/>
                <w:color w:val="auto"/>
                <w:sz w:val="21"/>
              </w:rPr>
            </w:pPr>
            <w:r>
              <w:rPr>
                <w:rFonts w:hint="default" w:ascii="Times New Roman" w:hAnsi="Times New Roman" w:cs="Times New Roman"/>
                <w:color w:val="auto"/>
                <w:sz w:val="21"/>
              </w:rPr>
              <w:t>（2）评标基准价：进入评分范围的投标评标价的算术平均值为评标基准价（投标评标价在5个（含）至7个（含）时，去除一个最高价和一个最低价；投标评标价在8个及以上时，去除一个最高、次高价和一个最低、次低价）。</w:t>
            </w:r>
          </w:p>
          <w:p>
            <w:pPr>
              <w:adjustRightInd w:val="0"/>
              <w:snapToGrid w:val="0"/>
              <w:spacing w:line="34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（3）根据投标文件的投标评标价与评标基准价对比，计算各投标人商务报价的得分值。即：</w:t>
            </w:r>
          </w:p>
          <w:p>
            <w:pPr>
              <w:adjustRightInd w:val="0"/>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a.投标评标价等于评标基准价时，得满分</w:t>
            </w:r>
            <w:r>
              <w:rPr>
                <w:rFonts w:hint="default" w:ascii="Times New Roman" w:hAnsi="Times New Roman" w:cs="Times New Roman"/>
                <w:b/>
                <w:color w:val="auto"/>
                <w:szCs w:val="21"/>
              </w:rPr>
              <w:t>（30分）</w:t>
            </w:r>
            <w:r>
              <w:rPr>
                <w:rFonts w:hint="default" w:ascii="Times New Roman" w:hAnsi="Times New Roman" w:cs="Times New Roman"/>
                <w:color w:val="auto"/>
                <w:szCs w:val="21"/>
              </w:rPr>
              <w:t>；</w:t>
            </w:r>
          </w:p>
          <w:p>
            <w:pPr>
              <w:adjustRightInd w:val="0"/>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b.投标评标价每低于评标基准价1个百分点，扣1分；</w:t>
            </w:r>
          </w:p>
          <w:p>
            <w:pPr>
              <w:adjustRightInd w:val="0"/>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c.投标评标价每高于评标基准价1个百分点，扣2分。</w:t>
            </w:r>
          </w:p>
          <w:p>
            <w:pPr>
              <w:pStyle w:val="85"/>
              <w:spacing w:afterLines="0" w:line="340" w:lineRule="exact"/>
              <w:ind w:firstLine="0" w:firstLineChars="0"/>
              <w:rPr>
                <w:rFonts w:hint="default" w:ascii="Times New Roman" w:hAnsi="Times New Roman" w:cs="Times New Roman"/>
                <w:color w:val="auto"/>
                <w:sz w:val="21"/>
              </w:rPr>
            </w:pPr>
            <w:r>
              <w:rPr>
                <w:rFonts w:hint="default" w:ascii="Times New Roman" w:hAnsi="Times New Roman" w:cs="Times New Roman"/>
                <w:color w:val="auto"/>
                <w:sz w:val="21"/>
              </w:rPr>
              <w:t>以上报价得分不足一个百分点时，使用直线插入法计算，保留小数2位。</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Times New Roman" w:hAnsi="Times New Roman" w:cs="Times New Roman"/>
                <w:color w:val="auto"/>
              </w:rPr>
            </w:pPr>
            <w:r>
              <w:rPr>
                <w:rFonts w:hint="default" w:ascii="Times New Roman" w:hAnsi="Times New Roman" w:cs="Times New Roman"/>
                <w:color w:val="auto"/>
                <w:szCs w:val="21"/>
              </w:rPr>
              <w:t>如投标报价评分不足0分的，则按0分计取。</w:t>
            </w:r>
          </w:p>
        </w:tc>
      </w:tr>
    </w:tbl>
    <w:p>
      <w:pPr>
        <w:pStyle w:val="2"/>
        <w:rPr>
          <w:rFonts w:hint="default" w:ascii="Times New Roman" w:hAnsi="Times New Roman" w:cs="Times New Roman"/>
          <w:color w:val="auto"/>
          <w:sz w:val="21"/>
          <w:szCs w:val="21"/>
        </w:rPr>
      </w:pPr>
    </w:p>
    <w:p>
      <w:pPr>
        <w:adjustRightInd w:val="0"/>
        <w:snapToGrid w:val="0"/>
        <w:spacing w:line="360" w:lineRule="exact"/>
        <w:ind w:firstLine="422" w:firstLineChars="200"/>
        <w:rPr>
          <w:rFonts w:hint="default" w:ascii="Times New Roman" w:hAnsi="Times New Roman" w:cs="Times New Roman"/>
          <w:color w:val="auto"/>
          <w:szCs w:val="21"/>
        </w:rPr>
      </w:pPr>
      <w:r>
        <w:rPr>
          <w:rFonts w:hint="default" w:ascii="Times New Roman" w:hAnsi="Times New Roman" w:cs="Times New Roman"/>
          <w:b/>
          <w:color w:val="auto"/>
          <w:szCs w:val="21"/>
        </w:rPr>
        <w:t>（四）投标文件的综合评分：</w:t>
      </w:r>
      <w:r>
        <w:rPr>
          <w:rFonts w:hint="default" w:ascii="Times New Roman" w:hAnsi="Times New Roman" w:cs="Times New Roman"/>
          <w:color w:val="auto"/>
          <w:szCs w:val="21"/>
        </w:rPr>
        <w:t>投标文件的技术标评分、商务标评分的总和。</w:t>
      </w:r>
    </w:p>
    <w:p>
      <w:pPr>
        <w:adjustRightInd w:val="0"/>
        <w:snapToGrid w:val="0"/>
        <w:spacing w:line="360" w:lineRule="exact"/>
        <w:ind w:firstLine="422" w:firstLineChars="200"/>
        <w:rPr>
          <w:rFonts w:hint="default" w:ascii="Times New Roman" w:hAnsi="Times New Roman" w:cs="Times New Roman"/>
          <w:color w:val="auto"/>
          <w:szCs w:val="21"/>
        </w:rPr>
      </w:pPr>
      <w:r>
        <w:rPr>
          <w:rFonts w:hint="default" w:ascii="Times New Roman" w:hAnsi="Times New Roman" w:cs="Times New Roman"/>
          <w:b/>
          <w:color w:val="auto"/>
          <w:szCs w:val="21"/>
        </w:rPr>
        <w:t>（五）对投标人进行排序，推荐中标候选人</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评标委员会根据综合评分对进入评分范围的投标文件按最终得分由高到低进行排序，评分相同时，报价低者优先；评分、报价均相同时，技术得分高优先；评分、报价、技术得分均相同时，由招标人通过抽签方式排序。</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2、评标委员会根据投标人须知前附表7.1规定，</w:t>
      </w:r>
      <w:r>
        <w:rPr>
          <w:rFonts w:hint="default" w:ascii="Times New Roman" w:hAnsi="Times New Roman" w:cs="Times New Roman"/>
          <w:strike/>
          <w:color w:val="auto"/>
          <w:szCs w:val="21"/>
        </w:rPr>
        <w:t>确定中标人或</w:t>
      </w:r>
      <w:r>
        <w:rPr>
          <w:rFonts w:hint="default" w:ascii="Times New Roman" w:hAnsi="Times New Roman" w:cs="Times New Roman"/>
          <w:color w:val="auto"/>
          <w:szCs w:val="21"/>
        </w:rPr>
        <w:t>推荐中标候选人。</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五、完成评标报告</w:t>
      </w:r>
    </w:p>
    <w:p>
      <w:pPr>
        <w:adjustRightInd w:val="0"/>
        <w:snapToGrid w:val="0"/>
        <w:spacing w:line="360" w:lineRule="exact"/>
        <w:ind w:firstLine="422" w:firstLineChars="200"/>
        <w:rPr>
          <w:rFonts w:hint="default" w:ascii="Times New Roman" w:hAnsi="Times New Roman" w:cs="Times New Roman"/>
          <w:color w:val="auto"/>
          <w:szCs w:val="21"/>
        </w:rPr>
      </w:pPr>
      <w:r>
        <w:rPr>
          <w:rFonts w:hint="default" w:ascii="Times New Roman" w:hAnsi="Times New Roman" w:cs="Times New Roman"/>
          <w:b/>
          <w:color w:val="auto"/>
          <w:szCs w:val="21"/>
        </w:rPr>
        <w:t>（一）评标委员会应当向招标人提交书面评标报告。</w:t>
      </w:r>
      <w:r>
        <w:rPr>
          <w:rFonts w:hint="default" w:ascii="Times New Roman" w:hAnsi="Times New Roman" w:cs="Times New Roman"/>
          <w:color w:val="auto"/>
          <w:szCs w:val="21"/>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（二）评标报告应包括以下内容：</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1、开标记录；</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2、评标内容、过程和结果；</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3、询标澄清纪要；</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4、否决投标情况说明及依据；</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5、推荐中标候选人；</w:t>
      </w:r>
    </w:p>
    <w:p>
      <w:pPr>
        <w:adjustRightInd w:val="0"/>
        <w:snapToGrid w:val="0"/>
        <w:spacing w:line="360" w:lineRule="exact"/>
        <w:ind w:firstLine="420" w:firstLineChars="200"/>
        <w:rPr>
          <w:rFonts w:hint="default" w:ascii="Times New Roman" w:hAnsi="Times New Roman" w:cs="Times New Roman"/>
          <w:iCs/>
          <w:color w:val="auto"/>
          <w:szCs w:val="21"/>
        </w:rPr>
      </w:pPr>
      <w:r>
        <w:rPr>
          <w:rFonts w:hint="default" w:ascii="Times New Roman" w:hAnsi="Times New Roman" w:cs="Times New Roman"/>
          <w:color w:val="auto"/>
          <w:szCs w:val="21"/>
        </w:rPr>
        <w:t>6、中标候选人投标资格条件业绩和评分业绩</w:t>
      </w:r>
      <w:r>
        <w:rPr>
          <w:rFonts w:hint="default" w:ascii="Times New Roman" w:hAnsi="Times New Roman" w:cs="Times New Roman"/>
          <w:iCs/>
          <w:color w:val="auto"/>
          <w:szCs w:val="21"/>
        </w:rPr>
        <w:t>（招标文件对投标资格或评分有业绩要求的）；</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7、其他建议。</w:t>
      </w:r>
      <w:bookmarkStart w:id="417" w:name="_Toc152045609"/>
      <w:bookmarkStart w:id="418" w:name="_Toc152042387"/>
      <w:bookmarkStart w:id="419" w:name="_Toc144974577"/>
      <w:bookmarkStart w:id="420" w:name="_Toc229646768"/>
      <w:bookmarkStart w:id="421" w:name="_Toc392345963"/>
    </w:p>
    <w:p>
      <w:pPr>
        <w:pStyle w:val="4"/>
        <w:spacing w:before="120" w:after="120" w:line="400" w:lineRule="exact"/>
        <w:ind w:firstLine="65" w:firstLineChars="31"/>
        <w:rPr>
          <w:rFonts w:hint="default" w:ascii="Times New Roman" w:hAnsi="Times New Roman" w:cs="Times New Roman" w:eastAsiaTheme="minorEastAsia"/>
          <w:color w:val="auto"/>
        </w:rPr>
      </w:pPr>
      <w:bookmarkStart w:id="422" w:name="_Toc2565"/>
      <w:r>
        <w:rPr>
          <w:rFonts w:hint="default" w:ascii="Times New Roman" w:hAnsi="Times New Roman" w:eastAsia="宋体" w:cs="Times New Roman"/>
          <w:bCs w:val="0"/>
          <w:color w:val="auto"/>
          <w:sz w:val="21"/>
          <w:szCs w:val="21"/>
        </w:rPr>
        <w:br w:type="page"/>
      </w:r>
      <w:r>
        <w:rPr>
          <w:rFonts w:hint="default" w:ascii="Times New Roman" w:hAnsi="Times New Roman" w:cs="Times New Roman" w:eastAsiaTheme="minorEastAsia"/>
          <w:color w:val="auto"/>
        </w:rPr>
        <w:t>第四章 合同条款及格式</w:t>
      </w:r>
      <w:bookmarkEnd w:id="417"/>
      <w:bookmarkEnd w:id="418"/>
      <w:bookmarkEnd w:id="419"/>
      <w:bookmarkEnd w:id="420"/>
      <w:bookmarkEnd w:id="421"/>
      <w:bookmarkEnd w:id="422"/>
    </w:p>
    <w:p>
      <w:pPr>
        <w:keepNext/>
        <w:keepLines/>
        <w:spacing w:beforeLines="150" w:afterLines="50" w:line="400" w:lineRule="exact"/>
        <w:ind w:firstLine="301"/>
        <w:jc w:val="center"/>
        <w:outlineLvl w:val="1"/>
        <w:rPr>
          <w:rFonts w:hint="default" w:ascii="Times New Roman" w:hAnsi="Times New Roman" w:cs="Times New Roman" w:eastAsiaTheme="minorEastAsia"/>
          <w:b/>
          <w:bCs/>
          <w:color w:val="auto"/>
          <w:sz w:val="24"/>
          <w:szCs w:val="24"/>
        </w:rPr>
      </w:pPr>
      <w:bookmarkStart w:id="423" w:name="_Toc297017781"/>
      <w:bookmarkStart w:id="424" w:name="_Toc406074420"/>
      <w:bookmarkStart w:id="425" w:name="_Toc18320"/>
      <w:r>
        <w:rPr>
          <w:rFonts w:hint="default" w:ascii="Times New Roman" w:hAnsi="Times New Roman" w:cs="Times New Roman" w:eastAsiaTheme="minorEastAsia"/>
          <w:b/>
          <w:bCs/>
          <w:color w:val="auto"/>
          <w:sz w:val="24"/>
          <w:szCs w:val="24"/>
        </w:rPr>
        <w:t>一、合同协议书</w:t>
      </w:r>
      <w:bookmarkEnd w:id="423"/>
      <w:bookmarkEnd w:id="424"/>
      <w:bookmarkEnd w:id="425"/>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甲方（发包人、总承包单位）：</w:t>
      </w:r>
      <w:r>
        <w:rPr>
          <w:rFonts w:hint="default" w:ascii="Times New Roman" w:hAnsi="Times New Roman" w:cs="Times New Roman"/>
          <w:color w:val="auto"/>
          <w:szCs w:val="21"/>
          <w:u w:val="single"/>
        </w:rPr>
        <w:t>浙江中成建工集团有限公司</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乙方（承包人）：</w:t>
      </w:r>
      <w:r>
        <w:rPr>
          <w:rFonts w:hint="default" w:ascii="Times New Roman" w:hAnsi="Times New Roman" w:cs="Times New Roman"/>
          <w:color w:val="auto"/>
          <w:szCs w:val="21"/>
          <w:u w:val="single"/>
        </w:rPr>
        <w:t xml:space="preserve">             （承包人名称）           </w:t>
      </w:r>
    </w:p>
    <w:p>
      <w:pPr>
        <w:keepNext/>
        <w:keepLines/>
        <w:spacing w:line="360" w:lineRule="exact"/>
        <w:ind w:firstLine="420" w:firstLineChars="200"/>
        <w:outlineLvl w:val="1"/>
        <w:rPr>
          <w:rFonts w:hint="default" w:ascii="Times New Roman" w:hAnsi="Times New Roman" w:cs="Times New Roman"/>
          <w:color w:val="auto"/>
          <w:szCs w:val="21"/>
          <w:u w:val="single"/>
        </w:rPr>
      </w:pPr>
      <w:r>
        <w:rPr>
          <w:rFonts w:hint="default" w:ascii="Times New Roman" w:hAnsi="Times New Roman" w:cs="Times New Roman"/>
          <w:color w:val="auto"/>
          <w:szCs w:val="21"/>
        </w:rPr>
        <w:t>丙方（业主、使用人）：</w:t>
      </w:r>
      <w:r>
        <w:rPr>
          <w:rFonts w:hint="default" w:ascii="Times New Roman" w:hAnsi="Times New Roman" w:cs="Times New Roman"/>
          <w:color w:val="auto"/>
          <w:szCs w:val="21"/>
          <w:u w:val="single"/>
        </w:rPr>
        <w:t>绍兴市中医院、</w:t>
      </w:r>
    </w:p>
    <w:p>
      <w:pPr>
        <w:keepNext/>
        <w:keepLines/>
        <w:spacing w:line="360" w:lineRule="exact"/>
        <w:ind w:firstLine="420" w:firstLineChars="200"/>
        <w:outlineLvl w:val="1"/>
        <w:rPr>
          <w:rFonts w:hint="default" w:ascii="Times New Roman" w:hAnsi="Times New Roman" w:cs="Times New Roman"/>
          <w:b/>
          <w:bCs/>
          <w:color w:val="auto"/>
          <w:szCs w:val="21"/>
        </w:rPr>
      </w:pPr>
      <w:r>
        <w:rPr>
          <w:rFonts w:hint="default" w:ascii="Times New Roman" w:hAnsi="Times New Roman" w:cs="Times New Roman"/>
          <w:color w:val="auto"/>
          <w:szCs w:val="21"/>
          <w:u w:val="single"/>
        </w:rPr>
        <w:t>丁方（代建单位）绍兴市城投建设开发有限公司</w:t>
      </w:r>
    </w:p>
    <w:p>
      <w:pPr>
        <w:spacing w:line="360" w:lineRule="exact"/>
        <w:ind w:firstLine="420" w:firstLineChars="200"/>
        <w:rPr>
          <w:rFonts w:hint="default" w:ascii="Times New Roman" w:hAnsi="Times New Roman" w:cs="Times New Roman"/>
          <w:snapToGrid w:val="0"/>
          <w:color w:val="auto"/>
          <w:szCs w:val="21"/>
        </w:rPr>
      </w:pPr>
      <w:r>
        <w:rPr>
          <w:rFonts w:hint="default" w:ascii="Times New Roman" w:hAnsi="Times New Roman" w:cs="Times New Roman"/>
          <w:snapToGrid w:val="0"/>
          <w:color w:val="auto"/>
          <w:szCs w:val="21"/>
        </w:rPr>
        <w:t>鉴于：丙方为</w:t>
      </w:r>
      <w:r>
        <w:rPr>
          <w:rFonts w:hint="default" w:ascii="Times New Roman" w:hAnsi="Times New Roman" w:cs="Times New Roman"/>
          <w:color w:val="auto"/>
          <w:szCs w:val="21"/>
        </w:rPr>
        <w:t>绍兴市中医院改扩建工程建设项目</w:t>
      </w:r>
      <w:r>
        <w:rPr>
          <w:rFonts w:hint="default" w:ascii="Times New Roman" w:hAnsi="Times New Roman" w:cs="Times New Roman"/>
          <w:snapToGrid w:val="0"/>
          <w:color w:val="auto"/>
          <w:szCs w:val="21"/>
        </w:rPr>
        <w:t>业主单位，丁方为该项目代建方，甲方为该项目总承包单位。现由甲方作为</w:t>
      </w:r>
      <w:r>
        <w:rPr>
          <w:rFonts w:hint="default" w:ascii="Times New Roman" w:hAnsi="Times New Roman" w:cs="Times New Roman"/>
          <w:color w:val="auto"/>
          <w:szCs w:val="21"/>
        </w:rPr>
        <w:t>发包</w:t>
      </w:r>
      <w:r>
        <w:rPr>
          <w:rFonts w:hint="default" w:ascii="Times New Roman" w:hAnsi="Times New Roman" w:cs="Times New Roman"/>
          <w:snapToGrid w:val="0"/>
          <w:color w:val="auto"/>
          <w:szCs w:val="21"/>
        </w:rPr>
        <w:t>人对所需的进行招标（招标编号：         ）。经甲方定标确定为该供应商（乙方）。甲乙丙丁四方同意按照下面的条款和条件，签署本合同。</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一、项目概况</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1、项目名称：</w:t>
      </w:r>
      <w:r>
        <w:rPr>
          <w:rFonts w:hint="default" w:ascii="Times New Roman" w:hAnsi="Times New Roman" w:cs="Times New Roman"/>
          <w:color w:val="auto"/>
          <w:szCs w:val="21"/>
          <w:u w:val="single"/>
        </w:rPr>
        <w:t>绍兴市中医院改扩建工程EPC总承包内手术室吊塔。</w:t>
      </w:r>
    </w:p>
    <w:p>
      <w:pPr>
        <w:pStyle w:val="36"/>
        <w:spacing w:line="360" w:lineRule="exact"/>
        <w:ind w:firstLineChars="200"/>
        <w:rPr>
          <w:rFonts w:hint="default" w:ascii="Times New Roman" w:hAnsi="Times New Roman" w:cs="Times New Roman"/>
          <w:color w:val="auto"/>
          <w:sz w:val="21"/>
          <w:szCs w:val="21"/>
          <w:u w:val="single"/>
        </w:rPr>
      </w:pPr>
      <w:r>
        <w:rPr>
          <w:rFonts w:hint="default" w:ascii="Times New Roman" w:hAnsi="Times New Roman" w:cs="Times New Roman"/>
          <w:color w:val="auto"/>
          <w:sz w:val="21"/>
          <w:szCs w:val="21"/>
        </w:rPr>
        <w:t>2、项目地点：</w:t>
      </w:r>
      <w:r>
        <w:rPr>
          <w:rFonts w:hint="default" w:ascii="Times New Roman" w:hAnsi="Times New Roman" w:cs="Times New Roman"/>
          <w:color w:val="auto"/>
          <w:sz w:val="21"/>
          <w:szCs w:val="21"/>
          <w:u w:val="single"/>
        </w:rPr>
        <w:t>项目位于越城区稽山路以东、环城东路及新世纪公寓以西、人民中路以北、东街以南地块。</w:t>
      </w:r>
    </w:p>
    <w:p>
      <w:pPr>
        <w:spacing w:line="360" w:lineRule="exact"/>
        <w:ind w:firstLine="420" w:firstLineChars="200"/>
        <w:jc w:val="left"/>
        <w:rPr>
          <w:rFonts w:hint="default" w:ascii="Times New Roman" w:hAnsi="Times New Roman" w:cs="Times New Roman"/>
          <w:color w:val="auto"/>
          <w:szCs w:val="21"/>
          <w:u w:val="single"/>
        </w:rPr>
      </w:pPr>
      <w:r>
        <w:rPr>
          <w:rFonts w:hint="default" w:ascii="Times New Roman" w:hAnsi="Times New Roman" w:cs="Times New Roman"/>
          <w:color w:val="auto"/>
          <w:szCs w:val="21"/>
        </w:rPr>
        <w:t>3、项目内容：</w:t>
      </w:r>
      <w:r>
        <w:rPr>
          <w:rFonts w:hint="default" w:ascii="Times New Roman" w:hAnsi="Times New Roman" w:cs="Times New Roman"/>
          <w:color w:val="auto"/>
          <w:szCs w:val="21"/>
          <w:u w:val="single"/>
        </w:rPr>
        <w:t>本招标项目为</w:t>
      </w:r>
      <w:r>
        <w:rPr>
          <w:rFonts w:hint="default" w:ascii="Times New Roman" w:hAnsi="Times New Roman" w:cs="Times New Roman"/>
          <w:color w:val="auto"/>
          <w:u w:val="single"/>
        </w:rPr>
        <w:t>交钥匙工程</w:t>
      </w:r>
      <w:r>
        <w:rPr>
          <w:rFonts w:hint="default" w:ascii="Times New Roman" w:hAnsi="Times New Roman" w:cs="Times New Roman"/>
          <w:color w:val="auto"/>
          <w:szCs w:val="21"/>
          <w:u w:val="single"/>
        </w:rPr>
        <w:t>，包括绍兴市中医院改扩建工程内手术室吊塔的深化设计及施工，具体内容包括但不限于：完成按业主需求的施工图和技术规范要求的全部内容，包括</w:t>
      </w:r>
      <w:r>
        <w:rPr>
          <w:rFonts w:hint="default" w:ascii="Times New Roman" w:hAnsi="Times New Roman" w:cs="Times New Roman"/>
          <w:color w:val="auto"/>
          <w:u w:val="single"/>
        </w:rPr>
        <w:t>招标范围内的设备材料的供货、运输、卸货、保管、施工、安装调试、检测、试运行等，</w:t>
      </w:r>
      <w:r>
        <w:rPr>
          <w:rFonts w:hint="default" w:ascii="Times New Roman" w:hAnsi="Times New Roman" w:cs="Times New Roman"/>
          <w:color w:val="auto"/>
          <w:szCs w:val="21"/>
          <w:u w:val="single"/>
        </w:rPr>
        <w:t>如有图纸、清单不明确或缺项的内容须无条件按业主要求进行设计和施工，</w:t>
      </w:r>
      <w:r>
        <w:rPr>
          <w:rFonts w:hint="default" w:ascii="Times New Roman" w:hAnsi="Times New Roman" w:cs="Times New Roman"/>
          <w:color w:val="auto"/>
          <w:u w:val="single"/>
        </w:rPr>
        <w:t>并最终通过验收</w:t>
      </w:r>
      <w:r>
        <w:rPr>
          <w:rFonts w:hint="default" w:ascii="Times New Roman" w:hAnsi="Times New Roman" w:cs="Times New Roman"/>
          <w:color w:val="auto"/>
          <w:szCs w:val="21"/>
          <w:u w:val="single"/>
        </w:rPr>
        <w:t>；同时负责技术服务与培训，提交相关完整的技术资料（含操作手册）、施工技术档案以及质保期内的维修保养（含质保期内的维保人员驻点服务）等内容。具体详见招标文件技术标准和要求。</w:t>
      </w:r>
    </w:p>
    <w:p>
      <w:pPr>
        <w:spacing w:line="360" w:lineRule="exact"/>
        <w:ind w:firstLine="422" w:firstLineChars="200"/>
        <w:jc w:val="left"/>
        <w:rPr>
          <w:rFonts w:hint="default" w:ascii="Times New Roman" w:hAnsi="Times New Roman" w:cs="Times New Roman"/>
          <w:b/>
          <w:color w:val="auto"/>
          <w:szCs w:val="21"/>
        </w:rPr>
      </w:pPr>
      <w:r>
        <w:rPr>
          <w:rFonts w:hint="default" w:ascii="Times New Roman" w:hAnsi="Times New Roman" w:cs="Times New Roman"/>
          <w:b/>
          <w:color w:val="auto"/>
          <w:szCs w:val="21"/>
        </w:rPr>
        <w:t>二、合同范围和条件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本合同的范围和条件应与上述规定的合同文件内容一致。</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三、合同标的及数量</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本合同要求提供的产品、规格和数量见招标文件相关要求。</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四、合同工期</w:t>
      </w:r>
    </w:p>
    <w:p>
      <w:pPr>
        <w:pStyle w:val="74"/>
        <w:spacing w:line="36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计划开工日期：</w:t>
      </w:r>
      <w:r>
        <w:rPr>
          <w:rFonts w:hint="default" w:ascii="Times New Roman" w:hAnsi="Times New Roman" w:cs="Times New Roman"/>
          <w:color w:val="auto"/>
          <w:u w:val="single"/>
        </w:rPr>
        <w:t xml:space="preserve">  /  </w:t>
      </w:r>
      <w:r>
        <w:rPr>
          <w:rFonts w:hint="default" w:ascii="Times New Roman" w:hAnsi="Times New Roman" w:cs="Times New Roman"/>
          <w:color w:val="auto"/>
        </w:rPr>
        <w:t>年</w:t>
      </w:r>
      <w:r>
        <w:rPr>
          <w:rFonts w:hint="default" w:ascii="Times New Roman" w:hAnsi="Times New Roman" w:cs="Times New Roman"/>
          <w:color w:val="auto"/>
          <w:u w:val="single"/>
        </w:rPr>
        <w:t xml:space="preserve"> / </w:t>
      </w:r>
      <w:r>
        <w:rPr>
          <w:rFonts w:hint="default" w:ascii="Times New Roman" w:hAnsi="Times New Roman" w:cs="Times New Roman"/>
          <w:color w:val="auto"/>
        </w:rPr>
        <w:t>月</w:t>
      </w:r>
      <w:r>
        <w:rPr>
          <w:rFonts w:hint="default" w:ascii="Times New Roman" w:hAnsi="Times New Roman" w:cs="Times New Roman"/>
          <w:color w:val="auto"/>
          <w:u w:val="single"/>
        </w:rPr>
        <w:t xml:space="preserve"> / </w:t>
      </w:r>
      <w:r>
        <w:rPr>
          <w:rFonts w:hint="default" w:ascii="Times New Roman" w:hAnsi="Times New Roman" w:cs="Times New Roman"/>
          <w:color w:val="auto"/>
        </w:rPr>
        <w:t>日。(以开工报告日期为准）</w:t>
      </w:r>
    </w:p>
    <w:p>
      <w:pPr>
        <w:pStyle w:val="74"/>
        <w:spacing w:line="36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计划竣工日期：</w:t>
      </w:r>
      <w:r>
        <w:rPr>
          <w:rFonts w:hint="default" w:ascii="Times New Roman" w:hAnsi="Times New Roman" w:cs="Times New Roman"/>
          <w:color w:val="auto"/>
          <w:u w:val="single"/>
        </w:rPr>
        <w:t xml:space="preserve"> /  </w:t>
      </w:r>
      <w:r>
        <w:rPr>
          <w:rFonts w:hint="default" w:ascii="Times New Roman" w:hAnsi="Times New Roman" w:cs="Times New Roman"/>
          <w:color w:val="auto"/>
        </w:rPr>
        <w:t>年</w:t>
      </w:r>
      <w:r>
        <w:rPr>
          <w:rFonts w:hint="default" w:ascii="Times New Roman" w:hAnsi="Times New Roman" w:cs="Times New Roman"/>
          <w:color w:val="auto"/>
          <w:u w:val="single"/>
        </w:rPr>
        <w:t xml:space="preserve"> / </w:t>
      </w:r>
      <w:r>
        <w:rPr>
          <w:rFonts w:hint="default" w:ascii="Times New Roman" w:hAnsi="Times New Roman" w:cs="Times New Roman"/>
          <w:color w:val="auto"/>
        </w:rPr>
        <w:t>月</w:t>
      </w:r>
      <w:r>
        <w:rPr>
          <w:rFonts w:hint="default" w:ascii="Times New Roman" w:hAnsi="Times New Roman" w:cs="Times New Roman"/>
          <w:color w:val="auto"/>
          <w:u w:val="single"/>
        </w:rPr>
        <w:t xml:space="preserve"> / </w:t>
      </w:r>
      <w:r>
        <w:rPr>
          <w:rFonts w:hint="default" w:ascii="Times New Roman" w:hAnsi="Times New Roman" w:cs="Times New Roman"/>
          <w:color w:val="auto"/>
        </w:rPr>
        <w:t>日。</w:t>
      </w:r>
    </w:p>
    <w:p>
      <w:pPr>
        <w:pStyle w:val="74"/>
        <w:spacing w:line="360" w:lineRule="exact"/>
        <w:ind w:firstLine="420" w:firstLineChars="200"/>
        <w:rPr>
          <w:rFonts w:hint="default" w:ascii="Times New Roman" w:hAnsi="Times New Roman" w:cs="Times New Roman"/>
          <w:color w:val="auto"/>
        </w:rPr>
      </w:pPr>
      <w:r>
        <w:rPr>
          <w:rFonts w:hint="default" w:ascii="Times New Roman" w:hAnsi="Times New Roman" w:cs="Times New Roman"/>
          <w:color w:val="auto"/>
          <w:u w:val="single"/>
        </w:rPr>
        <w:t>120天（中标通知书发出之日起开始），与净化工程同步。</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五、质量标准</w:t>
      </w:r>
    </w:p>
    <w:p>
      <w:pPr>
        <w:pStyle w:val="2"/>
        <w:spacing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合格，并一次性通过相关机构检测。配合总承包单位争创钱江杯、鲁班奖。</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六、合同总价</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本合同为固定总价合同，合同总价（含税中标价）为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人民币元，大写</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元。 </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甲方同意并丙、丁方确认，工程量及各种相关一切费用不再增加。图纸中设备或材料若已有变更升级的相应设备或材料，则需经甲方同意并丙、丁方确认变更为升级后的设备或材料，费用不再增加。丙、丁方有权增减工作范围，该费用应予以增减。甲方所有的变更，必须经过丙、丁方书面同意。</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七、项目负责人</w:t>
      </w:r>
    </w:p>
    <w:p>
      <w:pPr>
        <w:pStyle w:val="36"/>
        <w:spacing w:line="360" w:lineRule="exact"/>
        <w:ind w:firstLineChars="200"/>
        <w:rPr>
          <w:rFonts w:hint="default" w:ascii="Times New Roman" w:hAnsi="Times New Roman" w:cs="Times New Roman"/>
          <w:color w:val="auto"/>
          <w:sz w:val="21"/>
          <w:szCs w:val="21"/>
          <w:u w:val="single"/>
        </w:rPr>
      </w:pPr>
      <w:r>
        <w:rPr>
          <w:rFonts w:hint="default" w:ascii="Times New Roman" w:hAnsi="Times New Roman" w:cs="Times New Roman"/>
          <w:color w:val="auto"/>
          <w:sz w:val="21"/>
          <w:szCs w:val="21"/>
        </w:rPr>
        <w:t>乙方项目负责人：身份证号</w:t>
      </w:r>
      <w:r>
        <w:rPr>
          <w:rFonts w:hint="default" w:ascii="Times New Roman" w:hAnsi="Times New Roman" w:cs="Times New Roman"/>
          <w:color w:val="auto"/>
          <w:sz w:val="21"/>
          <w:szCs w:val="21"/>
          <w:u w:val="single"/>
        </w:rPr>
        <w:t>：                   。</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八、合同文件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下列文件构成本合同的组成部分：</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投标文件、招标文件、中标通知书、成交合同、合同补充条款、补充协议或说明</w:t>
      </w:r>
      <w:r>
        <w:rPr>
          <w:rFonts w:hint="default" w:ascii="Times New Roman" w:hAnsi="Times New Roman" w:cs="Times New Roman"/>
          <w:strike/>
          <w:color w:val="auto"/>
          <w:szCs w:val="21"/>
        </w:rPr>
        <w:t>（按从后往前的顺序解释）</w:t>
      </w:r>
      <w:r>
        <w:rPr>
          <w:rFonts w:hint="default" w:ascii="Times New Roman" w:hAnsi="Times New Roman" w:cs="Times New Roman"/>
          <w:color w:val="auto"/>
          <w:szCs w:val="21"/>
        </w:rPr>
        <w:t>。</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九、签订时间</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本合同于年月日签订。</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十、签订地点</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本合同在签订。</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十一、补充地点</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合同未尽事宜，合同当事人另行签订补充协议，补充协议是合同的组成部分。</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十二、合同的生效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本合同在乙方向甲方提交全部履约保证金后，且经甲乙丙丁四方法定代表人或授权代表签字并加盖公章之日起生效。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合同一式16份，正4份（甲、乙、丙、丁方各1份），副本12 份（甲、乙、丙、丁方各3份）。</w:t>
      </w:r>
    </w:p>
    <w:p>
      <w:pPr>
        <w:spacing w:line="360" w:lineRule="exact"/>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甲方：(盖章）                          乙方：(盖章）</w:t>
      </w:r>
    </w:p>
    <w:p>
      <w:pPr>
        <w:spacing w:line="360" w:lineRule="exact"/>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法定代表人或                                    法定代表人或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（签字）</w:t>
      </w:r>
      <w:r>
        <w:rPr>
          <w:rFonts w:hint="default" w:ascii="Times New Roman" w:hAnsi="Times New Roman" w:cs="Times New Roman"/>
          <w:color w:val="auto"/>
          <w:szCs w:val="21"/>
        </w:rPr>
        <w:t xml:space="preserve">                   委托代理人：</w:t>
      </w:r>
      <w:r>
        <w:rPr>
          <w:rFonts w:hint="default" w:ascii="Times New Roman" w:hAnsi="Times New Roman" w:cs="Times New Roman"/>
          <w:color w:val="auto"/>
          <w:szCs w:val="21"/>
          <w:u w:val="single"/>
        </w:rPr>
        <w:t xml:space="preserve">        (签字) </w:t>
      </w:r>
    </w:p>
    <w:p>
      <w:pPr>
        <w:tabs>
          <w:tab w:val="left" w:pos="450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                                          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邮政编码：                                      邮政编码：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电    话：                                      电    话：</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传    真：                                      传    真：</w:t>
      </w:r>
    </w:p>
    <w:p>
      <w:pPr>
        <w:spacing w:line="360" w:lineRule="exact"/>
        <w:ind w:firstLine="420" w:firstLineChars="200"/>
        <w:rPr>
          <w:rFonts w:hint="default" w:ascii="Times New Roman" w:hAnsi="Times New Roman" w:cs="Times New Roman"/>
          <w:color w:val="auto"/>
          <w:spacing w:val="-6"/>
          <w:szCs w:val="21"/>
          <w:u w:val="single"/>
        </w:rPr>
      </w:pPr>
      <w:r>
        <w:rPr>
          <w:rFonts w:hint="default" w:ascii="Times New Roman" w:hAnsi="Times New Roman" w:cs="Times New Roman"/>
          <w:color w:val="auto"/>
          <w:szCs w:val="21"/>
        </w:rPr>
        <w:t>开户银行：                                      开户银行：</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银行账号：                                      银行账号：</w:t>
      </w:r>
    </w:p>
    <w:p>
      <w:pPr>
        <w:tabs>
          <w:tab w:val="left" w:pos="4680"/>
        </w:tabs>
        <w:spacing w:line="360" w:lineRule="exact"/>
        <w:ind w:firstLine="420" w:firstLineChars="200"/>
        <w:rPr>
          <w:rFonts w:hint="default" w:ascii="Times New Roman" w:hAnsi="Times New Roman" w:cs="Times New Roman"/>
          <w:color w:val="auto"/>
          <w:szCs w:val="21"/>
        </w:rPr>
      </w:pP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监督方：</w:t>
      </w:r>
      <w:r>
        <w:rPr>
          <w:rFonts w:hint="default" w:ascii="Times New Roman" w:hAnsi="Times New Roman" w:cs="Times New Roman"/>
          <w:color w:val="auto"/>
          <w:szCs w:val="21"/>
          <w:u w:val="single"/>
        </w:rPr>
        <w:t xml:space="preserve">绍兴市中医院（盖章） </w:t>
      </w:r>
      <w:r>
        <w:rPr>
          <w:rFonts w:hint="default" w:ascii="Times New Roman" w:hAnsi="Times New Roman" w:cs="Times New Roman"/>
          <w:color w:val="auto"/>
          <w:szCs w:val="21"/>
        </w:rPr>
        <w:t>（丙方）</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法定代表人或   </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邮政编码：</w:t>
      </w:r>
      <w:r>
        <w:rPr>
          <w:rFonts w:hint="default" w:ascii="Times New Roman" w:hAnsi="Times New Roman" w:cs="Times New Roman"/>
          <w:color w:val="auto"/>
          <w:szCs w:val="21"/>
          <w:u w:val="single"/>
        </w:rPr>
        <w:t xml:space="preserve"> 312000        </w:t>
      </w:r>
    </w:p>
    <w:p>
      <w:pPr>
        <w:tabs>
          <w:tab w:val="left" w:pos="4500"/>
          <w:tab w:val="left" w:pos="468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传    真：0575-88269882</w:t>
      </w:r>
    </w:p>
    <w:p>
      <w:pPr>
        <w:pStyle w:val="2"/>
        <w:rPr>
          <w:rFonts w:hint="default" w:ascii="Times New Roman" w:hAnsi="Times New Roman" w:cs="Times New Roman"/>
          <w:color w:val="auto"/>
          <w:sz w:val="21"/>
          <w:szCs w:val="21"/>
        </w:rPr>
      </w:pPr>
    </w:p>
    <w:p>
      <w:pPr>
        <w:tabs>
          <w:tab w:val="left" w:pos="4680"/>
        </w:tabs>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监督方：</w:t>
      </w:r>
      <w:r>
        <w:rPr>
          <w:rFonts w:hint="default" w:ascii="Times New Roman" w:hAnsi="Times New Roman" w:cs="Times New Roman"/>
          <w:color w:val="auto"/>
          <w:szCs w:val="21"/>
          <w:u w:val="single"/>
        </w:rPr>
        <w:t>绍兴市城投建设开发有限公司（盖章）</w:t>
      </w:r>
      <w:r>
        <w:rPr>
          <w:rFonts w:hint="default" w:ascii="Times New Roman" w:hAnsi="Times New Roman" w:cs="Times New Roman"/>
          <w:color w:val="auto"/>
          <w:szCs w:val="21"/>
        </w:rPr>
        <w:t>（丁方）</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法定代表人或   </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邮政编码：</w:t>
      </w:r>
      <w:r>
        <w:rPr>
          <w:rFonts w:hint="default" w:ascii="Times New Roman" w:hAnsi="Times New Roman" w:cs="Times New Roman"/>
          <w:color w:val="auto"/>
          <w:szCs w:val="21"/>
          <w:u w:val="single"/>
        </w:rPr>
        <w:t xml:space="preserve"> 312000  </w:t>
      </w:r>
    </w:p>
    <w:p>
      <w:pPr>
        <w:tabs>
          <w:tab w:val="left" w:pos="4500"/>
          <w:tab w:val="left" w:pos="4680"/>
        </w:tabs>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传    真：</w:t>
      </w:r>
    </w:p>
    <w:p>
      <w:pPr>
        <w:pStyle w:val="36"/>
        <w:spacing w:line="360" w:lineRule="exact"/>
        <w:ind w:firstLineChars="200"/>
        <w:rPr>
          <w:rFonts w:hint="default" w:ascii="Times New Roman" w:hAnsi="Times New Roman" w:cs="Times New Roman"/>
          <w:color w:val="auto"/>
          <w:sz w:val="21"/>
          <w:szCs w:val="21"/>
        </w:rPr>
      </w:pPr>
    </w:p>
    <w:p>
      <w:pPr>
        <w:tabs>
          <w:tab w:val="left" w:pos="4500"/>
          <w:tab w:val="left" w:pos="4680"/>
        </w:tabs>
        <w:spacing w:line="360" w:lineRule="exact"/>
        <w:ind w:firstLine="420" w:firstLineChars="200"/>
        <w:jc w:val="right"/>
        <w:rPr>
          <w:rFonts w:hint="default" w:ascii="Times New Roman" w:hAnsi="Times New Roman" w:cs="Times New Roman"/>
          <w:color w:val="auto"/>
          <w:sz w:val="20"/>
          <w:szCs w:val="20"/>
        </w:rPr>
      </w:pPr>
      <w:r>
        <w:rPr>
          <w:rFonts w:hint="default" w:ascii="Times New Roman" w:hAnsi="Times New Roman" w:cs="Times New Roman"/>
          <w:color w:val="auto"/>
          <w:szCs w:val="21"/>
        </w:rPr>
        <w:t>签订日期：   年  月  日</w:t>
      </w:r>
    </w:p>
    <w:p>
      <w:pPr>
        <w:spacing w:line="360" w:lineRule="exact"/>
        <w:ind w:firstLine="400" w:firstLineChars="200"/>
        <w:rPr>
          <w:rFonts w:hint="default" w:ascii="Times New Roman" w:hAnsi="Times New Roman" w:cs="Times New Roman"/>
          <w:color w:val="auto"/>
          <w:sz w:val="20"/>
          <w:szCs w:val="20"/>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340"/>
        <w:rPr>
          <w:rFonts w:hint="default" w:ascii="Times New Roman" w:hAnsi="Times New Roman" w:cs="Times New Roman"/>
          <w:color w:val="auto"/>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spacing w:beforeLines="50" w:afterLines="50" w:line="360" w:lineRule="auto"/>
        <w:jc w:val="center"/>
        <w:rPr>
          <w:rFonts w:hint="default" w:ascii="Times New Roman" w:hAnsi="Times New Roman" w:cs="Times New Roman"/>
          <w:b/>
          <w:color w:val="auto"/>
          <w:szCs w:val="21"/>
        </w:rPr>
      </w:pPr>
      <w:bookmarkStart w:id="426" w:name="_Toc297017782"/>
      <w:bookmarkStart w:id="427" w:name="_Toc406074421"/>
      <w:r>
        <w:rPr>
          <w:rFonts w:hint="default" w:ascii="Times New Roman" w:hAnsi="Times New Roman" w:cs="Times New Roman"/>
          <w:b/>
          <w:color w:val="auto"/>
          <w:szCs w:val="21"/>
        </w:rPr>
        <w:br w:type="page"/>
      </w:r>
      <w:r>
        <w:rPr>
          <w:rFonts w:hint="default" w:ascii="Times New Roman" w:hAnsi="Times New Roman" w:cs="Times New Roman"/>
          <w:b/>
          <w:color w:val="auto"/>
          <w:szCs w:val="21"/>
        </w:rPr>
        <w:t>二、合同一般条款</w:t>
      </w:r>
      <w:bookmarkEnd w:id="426"/>
      <w:bookmarkEnd w:id="427"/>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1、合同产品的名称、技术规范和数量应与中标通知书、招标文件及被甲方及丙方接受的规格性能偏离表相一致。</w:t>
      </w:r>
    </w:p>
    <w:p>
      <w:pPr>
        <w:spacing w:line="360" w:lineRule="exact"/>
        <w:ind w:firstLine="420" w:firstLineChars="200"/>
        <w:outlineLvl w:val="0"/>
        <w:rPr>
          <w:rFonts w:hint="default" w:ascii="Times New Roman" w:hAnsi="Times New Roman" w:cs="Times New Roman"/>
          <w:color w:val="auto"/>
          <w:szCs w:val="21"/>
        </w:rPr>
      </w:pPr>
      <w:bookmarkStart w:id="428" w:name="_Toc28660"/>
      <w:r>
        <w:rPr>
          <w:rFonts w:hint="default" w:ascii="Times New Roman" w:hAnsi="Times New Roman" w:cs="Times New Roman"/>
          <w:color w:val="auto"/>
          <w:szCs w:val="21"/>
        </w:rPr>
        <w:t>2、产品的质量、技术标准</w:t>
      </w:r>
      <w:bookmarkEnd w:id="428"/>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合同产品的质量、技术标准如在招投标文件中无相应说明，则按国家有关部门颁布的最新的国家或专业（部）标准执行及相应的国际标准执行。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3、质量保证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3.1乙方保证所提供的设备是全新的、未使用过的。</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3.2乙方保证采用先进的技术、优质的材料和零部件、一流的工艺、严格的质量管理为甲方及丙方提供技术先进、质量上乘、外表美观并完全符合合同规定的质量、规格、性能要求的产品。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3.3乙方保证按ISO9000系列标准或相应的质量管理和质量保证体系，对所供设备的设计、采购、制造、检验、涂装、包装、安装、调试等各个环节进行严格的质量管理和质量控制。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3.4乙方保证所提供的设备在正确安装、正常使用和维护保养的情况下，具有使甲方及丙方满意的使用性能和使用寿命。</w:t>
      </w:r>
    </w:p>
    <w:p>
      <w:pPr>
        <w:spacing w:line="360" w:lineRule="exact"/>
        <w:ind w:firstLine="420" w:firstLineChars="200"/>
        <w:outlineLvl w:val="0"/>
        <w:rPr>
          <w:rFonts w:hint="default" w:ascii="Times New Roman" w:hAnsi="Times New Roman" w:cs="Times New Roman"/>
          <w:color w:val="auto"/>
          <w:szCs w:val="21"/>
        </w:rPr>
      </w:pPr>
      <w:bookmarkStart w:id="429" w:name="_Toc23533"/>
      <w:r>
        <w:rPr>
          <w:rFonts w:hint="default" w:ascii="Times New Roman" w:hAnsi="Times New Roman" w:cs="Times New Roman"/>
          <w:color w:val="auto"/>
          <w:szCs w:val="21"/>
        </w:rPr>
        <w:t>4、质量保证期</w:t>
      </w:r>
      <w:bookmarkEnd w:id="429"/>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产品的质量保证期为使用人使用产品之日起至少</w:t>
      </w:r>
      <w:r>
        <w:rPr>
          <w:rFonts w:hint="default" w:ascii="Times New Roman" w:hAnsi="Times New Roman" w:cs="Times New Roman"/>
          <w:color w:val="auto"/>
          <w:szCs w:val="21"/>
          <w:u w:val="single"/>
        </w:rPr>
        <w:t xml:space="preserve"> 24 </w:t>
      </w:r>
      <w:r>
        <w:rPr>
          <w:rFonts w:hint="default" w:ascii="Times New Roman" w:hAnsi="Times New Roman" w:cs="Times New Roman"/>
          <w:bCs/>
          <w:color w:val="auto"/>
          <w:szCs w:val="21"/>
        </w:rPr>
        <w:t>个月</w:t>
      </w:r>
      <w:r>
        <w:rPr>
          <w:rFonts w:hint="default" w:ascii="Times New Roman" w:hAnsi="Times New Roman" w:cs="Times New Roman"/>
          <w:color w:val="auto"/>
          <w:szCs w:val="21"/>
        </w:rPr>
        <w:t>。在产品质量保证期之内，乙方对由于产品设计、工艺、材料、配套件的缺陷而造成的任何产品质量问题或故障，均承担免费提供同类产品的责任。</w:t>
      </w:r>
    </w:p>
    <w:p>
      <w:pPr>
        <w:spacing w:line="360" w:lineRule="exact"/>
        <w:ind w:firstLine="420" w:firstLineChars="200"/>
        <w:outlineLvl w:val="0"/>
        <w:rPr>
          <w:rFonts w:hint="default" w:ascii="Times New Roman" w:hAnsi="Times New Roman" w:cs="Times New Roman"/>
          <w:color w:val="auto"/>
          <w:szCs w:val="21"/>
        </w:rPr>
      </w:pPr>
      <w:bookmarkStart w:id="430" w:name="_Toc4104"/>
      <w:r>
        <w:rPr>
          <w:rFonts w:hint="default" w:ascii="Times New Roman" w:hAnsi="Times New Roman" w:cs="Times New Roman"/>
          <w:color w:val="auto"/>
          <w:szCs w:val="21"/>
        </w:rPr>
        <w:t>5、合同修改</w:t>
      </w:r>
      <w:bookmarkEnd w:id="430"/>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5.1甲乙丙丁的任何一方对合同内容提出修改，均应以书面形式通知其他方，并达成由四方签署的合同修改书。</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5.2除非甲方及丙方对设备的型号、规格和涉及价格因素的技术参数和配套件提出修改，乙方不得对合同价格提出修改要求。</w:t>
      </w:r>
    </w:p>
    <w:p>
      <w:pPr>
        <w:spacing w:line="360" w:lineRule="exact"/>
        <w:ind w:firstLine="420" w:firstLineChars="200"/>
        <w:outlineLvl w:val="0"/>
        <w:rPr>
          <w:rFonts w:hint="default" w:ascii="Times New Roman" w:hAnsi="Times New Roman" w:cs="Times New Roman"/>
          <w:color w:val="auto"/>
          <w:szCs w:val="21"/>
        </w:rPr>
      </w:pPr>
      <w:bookmarkStart w:id="431" w:name="_Toc21842"/>
      <w:r>
        <w:rPr>
          <w:rFonts w:hint="default" w:ascii="Times New Roman" w:hAnsi="Times New Roman" w:cs="Times New Roman"/>
          <w:color w:val="auto"/>
          <w:szCs w:val="21"/>
        </w:rPr>
        <w:t>6、违约责任</w:t>
      </w:r>
      <w:bookmarkEnd w:id="431"/>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6.1产品质量责任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直接经济损失。</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2）乙方在接到甲方及丙方通知后，2小时内派人赴现场处理设备质量问题。质保期内乙方须安排专业维保人员驻场，驻场人员数量及资质须满足甲方及丙、丁方需求并获得书面审批。</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3）在产品质量保证期内，由于甲方及丙方保管不善或使用不当造成设备短缺、故障或损坏，由甲方及丙方负责。但乙方保证及时给予补齐或修复。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6.2违约赔偿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除不可抗拒力外，如乙方发生不能按期交货或提供服务；甲方及丙方发生中途退货等情况，应及时以书面形式通知对方，并按照合同专用条款承担违约或赔偿责任。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7、争议处理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7.1凡有关本合同或执行本合同中发生的争端，甲方及丙方应通过友好协商，妥善解决。如通过协商仍不能解决时，可向工程所在地人民法院提起诉讼。</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8、合同生效及其他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8.1合同应在各方签字盖章后开始生效。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8.2本合同一式16份，正本4份（甲、乙、丙、丁方各1份），副本12份（甲、乙、丙、丁方各3份），同等生效。</w:t>
      </w:r>
    </w:p>
    <w:p>
      <w:pPr>
        <w:keepNext/>
        <w:keepLines/>
        <w:spacing w:beforeLines="150" w:afterLines="50" w:line="360" w:lineRule="auto"/>
        <w:jc w:val="center"/>
        <w:outlineLvl w:val="1"/>
        <w:rPr>
          <w:rFonts w:hint="default" w:ascii="Times New Roman" w:hAnsi="Times New Roman" w:cs="Times New Roman"/>
          <w:b/>
          <w:bCs/>
          <w:color w:val="auto"/>
          <w:sz w:val="24"/>
          <w:szCs w:val="24"/>
        </w:rPr>
      </w:pPr>
      <w:r>
        <w:rPr>
          <w:rFonts w:hint="default" w:ascii="Times New Roman" w:hAnsi="Times New Roman" w:cs="Times New Roman"/>
          <w:b/>
          <w:bCs/>
          <w:color w:val="auto"/>
          <w:szCs w:val="21"/>
        </w:rPr>
        <w:br w:type="page"/>
      </w:r>
      <w:bookmarkStart w:id="432" w:name="_Toc17297"/>
      <w:bookmarkStart w:id="433" w:name="_Toc297017783"/>
      <w:bookmarkStart w:id="434" w:name="_Toc406074422"/>
      <w:r>
        <w:rPr>
          <w:rFonts w:hint="default" w:ascii="Times New Roman" w:hAnsi="Times New Roman" w:cs="Times New Roman"/>
          <w:b/>
          <w:bCs/>
          <w:color w:val="auto"/>
          <w:sz w:val="24"/>
          <w:szCs w:val="24"/>
        </w:rPr>
        <w:t>三、合同专用条款</w:t>
      </w:r>
      <w:bookmarkEnd w:id="432"/>
      <w:bookmarkEnd w:id="433"/>
      <w:bookmarkEnd w:id="434"/>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本合同专用条款是对合同一般条款的补充，两者之间如有抵触，以本专用条款为准。</w:t>
      </w:r>
    </w:p>
    <w:p>
      <w:pPr>
        <w:tabs>
          <w:tab w:val="left" w:pos="732"/>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1、合同交货期    </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120天（中标通知书发出之日起开始），与净化工程同步。包括深化设计、制造、采购工期（甲方提供的招标图纸中如遇不满足规范要求或因规范更新不满足新规范要求等情况，乙方在深化过程中有义务进行优化，并严格按照满足现行规范要求实施。深化设计图纸须经主体设计单位审核通过，并经监理、甲方及丙方、丁方同意后实施），现场安装（含配套土建）、调试、交验、配合土建验收。甲方及丙、丁方发出书面排产通知日开始计算工期。</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2、交货方式</w:t>
      </w:r>
      <w:r>
        <w:rPr>
          <w:rFonts w:hint="default" w:ascii="Times New Roman" w:hAnsi="Times New Roman" w:cs="Times New Roman"/>
          <w:color w:val="auto"/>
          <w:szCs w:val="21"/>
          <w:u w:val="single"/>
        </w:rPr>
        <w:t>绍兴市中医院改扩建工程</w:t>
      </w:r>
      <w:r>
        <w:rPr>
          <w:rFonts w:hint="default" w:ascii="Times New Roman" w:hAnsi="Times New Roman" w:cs="Times New Roman"/>
          <w:color w:val="auto"/>
          <w:szCs w:val="21"/>
        </w:rPr>
        <w:t>项目现场交货。乙方将设备运抵工地现场并初验合格的日期为交货日期。甲方及丙、丁方可以要求乙方根据工程进度要求分批交货但不再额外增加其他费用。</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3、交货地点</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绍兴市中医院改扩建工程</w:t>
      </w:r>
      <w:r>
        <w:rPr>
          <w:rFonts w:hint="default" w:ascii="Times New Roman" w:hAnsi="Times New Roman" w:cs="Times New Roman"/>
          <w:color w:val="auto"/>
          <w:szCs w:val="21"/>
        </w:rPr>
        <w:t>项目现场交货，并堆放至指定仓库。</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4、接货通知</w:t>
      </w:r>
    </w:p>
    <w:p>
      <w:pPr>
        <w:snapToGrid w:val="0"/>
        <w:spacing w:line="360" w:lineRule="exact"/>
        <w:ind w:firstLine="420" w:firstLineChars="200"/>
        <w:rPr>
          <w:rFonts w:hint="default" w:ascii="Times New Roman" w:hAnsi="Times New Roman" w:cs="Times New Roman"/>
          <w:b/>
          <w:bCs/>
          <w:color w:val="auto"/>
          <w:szCs w:val="21"/>
        </w:rPr>
      </w:pPr>
      <w:r>
        <w:rPr>
          <w:rFonts w:hint="default" w:ascii="Times New Roman" w:hAnsi="Times New Roman" w:cs="Times New Roman"/>
          <w:color w:val="auto"/>
          <w:szCs w:val="21"/>
        </w:rPr>
        <w:t>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均由乙方负责，并承担相应费用。</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5、运输及装卸保险</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5.1货物在装运前由乙方投保，一旦货物在装卸、运输过程中发生损坏或短缺，由乙方负责索赔。</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5.2乙方保证在确认货物因装卸、运输中发生损坏或短缺后，尽快给予调换、修复和补齐缺件，不管其造成的原因如何，也不以办理索赔为由而拖延。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5.3乙方工作人员及设备进场时，应遵守交货现场环境卫生管理、安全管理的有关规定，配备相应的环境保护及安全措施。承担因自身原因违反有关规定而导致的所有责任。</w:t>
      </w:r>
    </w:p>
    <w:p>
      <w:pPr>
        <w:keepNext/>
        <w:keepLines/>
        <w:numPr>
          <w:ilvl w:val="0"/>
          <w:numId w:val="3"/>
        </w:numPr>
        <w:adjustRightInd w:val="0"/>
        <w:snapToGrid w:val="0"/>
        <w:spacing w:line="360" w:lineRule="exact"/>
        <w:ind w:firstLine="420" w:firstLineChars="200"/>
        <w:outlineLvl w:val="2"/>
        <w:rPr>
          <w:rFonts w:hint="default" w:ascii="Times New Roman" w:hAnsi="Times New Roman" w:cs="Times New Roman"/>
          <w:color w:val="auto"/>
          <w:szCs w:val="21"/>
        </w:rPr>
      </w:pPr>
      <w:bookmarkStart w:id="435" w:name="_Toc21937"/>
      <w:r>
        <w:rPr>
          <w:rFonts w:hint="default" w:ascii="Times New Roman" w:hAnsi="Times New Roman" w:cs="Times New Roman"/>
          <w:color w:val="auto"/>
          <w:szCs w:val="21"/>
        </w:rPr>
        <w:t>付款方式</w:t>
      </w:r>
      <w:bookmarkEnd w:id="435"/>
    </w:p>
    <w:p>
      <w:pPr>
        <w:pStyle w:val="75"/>
        <w:adjustRightInd w:val="0"/>
        <w:snapToGrid w:val="0"/>
        <w:spacing w:before="0"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（1）预付款</w:t>
      </w:r>
    </w:p>
    <w:p>
      <w:pPr>
        <w:pStyle w:val="75"/>
        <w:adjustRightInd w:val="0"/>
        <w:snapToGrid w:val="0"/>
        <w:spacing w:before="0"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第1次付款：合同签订生效后，甲方向乙方支付签约合同价的10%的预付款。预付款与合同履行同步进行，预付款支付进程不得影响合同的履行。</w:t>
      </w:r>
    </w:p>
    <w:p>
      <w:pPr>
        <w:pStyle w:val="75"/>
        <w:widowControl/>
        <w:numPr>
          <w:ilvl w:val="0"/>
          <w:numId w:val="4"/>
        </w:numPr>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货款支付</w:t>
      </w:r>
    </w:p>
    <w:p>
      <w:pPr>
        <w:pStyle w:val="75"/>
        <w:adjustRightInd w:val="0"/>
        <w:snapToGrid w:val="0"/>
        <w:spacing w:before="0"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第2次付款：开工令发出后，支付至合同价的20%。</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第3次付款：主要设备到货并开箱验收合格后，支付至合同价的60%。</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第4次付款：该项目专项竣工验收合格后，支付至合同价的85%，并退还履约保证金（不计利息）。</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第5次付款：审计结算完成且资料齐全移交甲方且丙、丁方接收后，支付至结算价的97.5%。</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第6次付款：余款2.5%（不计利息）作为质量保证金，缺陷责任期2年满，在缺陷修复完成并经甲方及丙、丁方最终验收合格、甲乙方完成最终结算后28天内一次性付清经结算后的剩余尾款。</w:t>
      </w:r>
    </w:p>
    <w:p>
      <w:pPr>
        <w:pStyle w:val="75"/>
        <w:adjustRightInd w:val="0"/>
        <w:snapToGrid w:val="0"/>
        <w:spacing w:before="0" w:line="360" w:lineRule="exact"/>
        <w:ind w:firstLine="420"/>
        <w:rPr>
          <w:rFonts w:hint="default" w:ascii="Times New Roman" w:hAnsi="Times New Roman" w:cs="Times New Roman"/>
          <w:bCs/>
          <w:color w:val="auto"/>
          <w:sz w:val="21"/>
          <w:szCs w:val="21"/>
          <w:u w:val="single"/>
        </w:rPr>
      </w:pPr>
      <w:r>
        <w:rPr>
          <w:rFonts w:hint="default" w:ascii="Times New Roman" w:hAnsi="Times New Roman" w:cs="Times New Roman"/>
          <w:bCs/>
          <w:color w:val="auto"/>
          <w:sz w:val="21"/>
          <w:szCs w:val="21"/>
          <w:u w:val="single"/>
        </w:rPr>
        <w:t>注：①上述第1次付款至第4次付款中，合同总价（或合同价）均不包括</w:t>
      </w:r>
      <w:r>
        <w:rPr>
          <w:rFonts w:hint="default" w:ascii="Times New Roman" w:hAnsi="Times New Roman" w:cs="Times New Roman"/>
          <w:color w:val="auto"/>
          <w:sz w:val="21"/>
          <w:szCs w:val="21"/>
          <w:u w:val="single"/>
        </w:rPr>
        <w:t>不可预见费。</w:t>
      </w:r>
      <w:r>
        <w:rPr>
          <w:rFonts w:hint="default" w:ascii="Times New Roman" w:hAnsi="Times New Roman" w:cs="Times New Roman"/>
          <w:bCs/>
          <w:color w:val="auto"/>
          <w:sz w:val="21"/>
          <w:szCs w:val="21"/>
          <w:u w:val="single"/>
        </w:rPr>
        <w:t>②每笔货款支付前，乙方必须提供收款单位与本合同签订单位一致的正规、等额、合法、有效的增值税专用发票（税率13%）及验收单、入库单等办理相关支付手续的报审资料；货款的支付需经监理方总监理工程师及甲方代表签字及盖章，并审核同意后15个工作日内支付。若乙方延期提供的，甲方有权顺延付款。</w:t>
      </w:r>
    </w:p>
    <w:p>
      <w:pPr>
        <w:tabs>
          <w:tab w:val="left" w:pos="1632"/>
        </w:tabs>
        <w:spacing w:line="360" w:lineRule="exact"/>
        <w:ind w:firstLine="420" w:firstLineChars="200"/>
        <w:rPr>
          <w:rFonts w:hint="default" w:ascii="Times New Roman" w:hAnsi="Times New Roman" w:cs="Times New Roman"/>
          <w:bCs/>
          <w:color w:val="auto"/>
          <w:szCs w:val="21"/>
        </w:rPr>
      </w:pPr>
      <w:r>
        <w:rPr>
          <w:rFonts w:hint="default" w:ascii="Times New Roman" w:hAnsi="Times New Roman" w:cs="Times New Roman"/>
          <w:bCs/>
          <w:color w:val="auto"/>
          <w:szCs w:val="21"/>
        </w:rPr>
        <w:t>乙方应及时、足额支付民工工资，因乙方未能及时、足额支付民工工资导致民工怠工、停工、集体上访的，由乙方承担全部责任，造成损失的由乙方承担全部费用。</w:t>
      </w:r>
    </w:p>
    <w:p>
      <w:pPr>
        <w:tabs>
          <w:tab w:val="left" w:pos="1632"/>
        </w:tabs>
        <w:spacing w:line="360" w:lineRule="exact"/>
        <w:ind w:firstLine="420" w:firstLineChars="200"/>
        <w:rPr>
          <w:rStyle w:val="51"/>
          <w:rFonts w:hint="default" w:ascii="Times New Roman" w:hAnsi="Times New Roman" w:cs="Times New Roman"/>
          <w:bCs/>
          <w:color w:val="auto"/>
        </w:rPr>
      </w:pPr>
      <w:r>
        <w:rPr>
          <w:rStyle w:val="51"/>
          <w:rFonts w:hint="default" w:ascii="Times New Roman" w:hAnsi="Times New Roman" w:cs="Times New Roman"/>
          <w:bCs/>
          <w:color w:val="auto"/>
        </w:rPr>
        <w:t>乙方应在每月20日前向甲方递交工程款支付报审资料，并不能影响甲方向丙方递交工程款支付报审资料，因乙方未能及时提交工程款支付报审资料导致甲方向丙方递交工程款支付报审资料滞后的，由乙方承担全部责任，造成损失的由乙方承担全部费用。</w:t>
      </w:r>
    </w:p>
    <w:p>
      <w:pPr>
        <w:tabs>
          <w:tab w:val="left" w:pos="1632"/>
        </w:tabs>
        <w:spacing w:line="360" w:lineRule="exact"/>
        <w:ind w:firstLine="420" w:firstLineChars="200"/>
        <w:rPr>
          <w:rFonts w:hint="default" w:ascii="Times New Roman" w:hAnsi="Times New Roman" w:cs="Times New Roman"/>
          <w:bCs/>
          <w:color w:val="auto"/>
          <w:szCs w:val="21"/>
        </w:rPr>
      </w:pPr>
      <w:r>
        <w:rPr>
          <w:rStyle w:val="51"/>
          <w:rFonts w:hint="default" w:ascii="Times New Roman" w:hAnsi="Times New Roman" w:cs="Times New Roman"/>
          <w:bCs/>
          <w:color w:val="auto"/>
        </w:rPr>
        <w:t>甲方收到丙方工程进度款后3日内向乙方支付当月工程进度款，如丙方向甲方支付工程进度款滞后，甲方向乙方支付工程进度款也相应滞后。</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7、结算原则</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中标总价（不包括不可预见费）一次性包死，不再调整。丙、丁方有权增减工作范围，该费用应予以增减，在结算时单价按以下口径确定：</w:t>
      </w:r>
    </w:p>
    <w:p>
      <w:pPr>
        <w:numPr>
          <w:ilvl w:val="0"/>
          <w:numId w:val="5"/>
        </w:numPr>
        <w:spacing w:line="360" w:lineRule="exact"/>
        <w:ind w:firstLine="420" w:firstLineChars="200"/>
        <w:rPr>
          <w:rFonts w:hint="default" w:ascii="Times New Roman" w:hAnsi="Times New Roman" w:cs="Times New Roman"/>
          <w:bCs/>
          <w:color w:val="auto"/>
          <w:szCs w:val="21"/>
        </w:rPr>
      </w:pPr>
      <w:r>
        <w:rPr>
          <w:rFonts w:hint="default" w:ascii="Times New Roman" w:hAnsi="Times New Roman" w:cs="Times New Roman"/>
          <w:bCs/>
          <w:color w:val="auto"/>
          <w:szCs w:val="21"/>
        </w:rPr>
        <w:t>合同中有类似项目综合单价的，可以参照合同中类似项目的综合单价计算确定；</w:t>
      </w:r>
    </w:p>
    <w:p>
      <w:pPr>
        <w:numPr>
          <w:ilvl w:val="0"/>
          <w:numId w:val="5"/>
        </w:num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bCs/>
          <w:color w:val="auto"/>
          <w:szCs w:val="21"/>
        </w:rPr>
        <w:t>合同中没有类似项目综合单价的，由甲方</w:t>
      </w:r>
      <w:r>
        <w:rPr>
          <w:rFonts w:hint="default" w:ascii="Times New Roman" w:hAnsi="Times New Roman" w:cs="Times New Roman"/>
          <w:color w:val="auto"/>
          <w:szCs w:val="21"/>
        </w:rPr>
        <w:t>签证后按照中标下浮率及优惠条件同比例计算变更费用。凡此设计变更，乙方在完成每份设计变更联系和现场签证单工程内容后14天内向监理提交正式工程变更费用结算书。注：中标下浮率=（上限价-中标价）/上限价×100% 。</w:t>
      </w:r>
    </w:p>
    <w:p>
      <w:pPr>
        <w:pStyle w:val="2"/>
        <w:spacing w:line="360" w:lineRule="exact"/>
        <w:ind w:firstLine="420" w:firstLineChars="200"/>
        <w:rPr>
          <w:rFonts w:hint="default" w:ascii="Times New Roman" w:hAnsi="Times New Roman" w:cs="Times New Roman"/>
          <w:color w:val="auto"/>
          <w:sz w:val="21"/>
          <w:szCs w:val="21"/>
        </w:rPr>
      </w:pPr>
      <w:r>
        <w:rPr>
          <w:rStyle w:val="51"/>
          <w:rFonts w:hint="default" w:ascii="Times New Roman" w:hAnsi="Times New Roman" w:cs="Times New Roman"/>
          <w:color w:val="auto"/>
        </w:rPr>
        <w:t>注：本工程除丙方要求的重大变更外，原则上不允许设计变更。</w:t>
      </w:r>
    </w:p>
    <w:p>
      <w:pPr>
        <w:pStyle w:val="76"/>
        <w:spacing w:line="360" w:lineRule="exact"/>
        <w:ind w:firstLine="422"/>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8、文件和技术资料</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设备交货前乙方向甲方及丙、丁方提供下列技术资料、图纸和文件：</w:t>
      </w:r>
    </w:p>
    <w:p>
      <w:pPr>
        <w:adjustRightInd w:val="0"/>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（1）样本及技术规格书，要求有8份。</w:t>
      </w:r>
    </w:p>
    <w:p>
      <w:pPr>
        <w:adjustRightInd w:val="0"/>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（2）施工图，要求有10份。</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（3）制造厂的设备生产许可证明和设备合格证书。</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（4）制造厂出具的品质保证书正本。</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（5）制作期间的试验、检试报告。</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（6）出厂检试报告。设备安装、操作、维护手册或说明书，要求有8份。此手册或说明书不应少于如下内容：</w:t>
      </w:r>
    </w:p>
    <w:p>
      <w:pPr>
        <w:tabs>
          <w:tab w:val="left" w:pos="560"/>
          <w:tab w:val="left" w:pos="1400"/>
        </w:tabs>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a、电气接线图；</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b、设备操作与维修手册。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（7）甲方认为有必要提供的其他技术资料。</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（8）以上所有资料必须为中文。</w:t>
      </w:r>
    </w:p>
    <w:p>
      <w:pPr>
        <w:pStyle w:val="2"/>
        <w:spacing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资料：提交的技术资料要符合绍兴市越城区建设工程质量安全管理中心的要求及市城建档案馆要求，要符合评杯要求。</w:t>
      </w:r>
    </w:p>
    <w:p>
      <w:pPr>
        <w:snapToGrid w:val="0"/>
        <w:spacing w:line="360" w:lineRule="exact"/>
        <w:ind w:firstLine="422" w:firstLineChars="200"/>
        <w:rPr>
          <w:rFonts w:hint="default" w:ascii="Times New Roman" w:hAnsi="Times New Roman" w:cs="Times New Roman"/>
          <w:b/>
          <w:bCs/>
          <w:color w:val="auto"/>
          <w:szCs w:val="21"/>
        </w:rPr>
      </w:pPr>
      <w:r>
        <w:rPr>
          <w:rFonts w:hint="default" w:ascii="Times New Roman" w:hAnsi="Times New Roman" w:cs="Times New Roman"/>
          <w:b/>
          <w:bCs/>
          <w:color w:val="auto"/>
          <w:szCs w:val="21"/>
        </w:rPr>
        <w:t>9、技术服务</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乙方免费对甲方及丙、丁方的操作、维修人员在厂方或使用地进行技术培训。乙方提供的负责培训人员应具备同类产品5年以上的维修经验。</w:t>
      </w:r>
    </w:p>
    <w:p>
      <w:pPr>
        <w:tabs>
          <w:tab w:val="left" w:pos="280"/>
        </w:tabs>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10、质量、技术标准</w:t>
      </w:r>
    </w:p>
    <w:p>
      <w:pPr>
        <w:tabs>
          <w:tab w:val="left" w:pos="280"/>
        </w:tabs>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同时承担工期违约的违约责任。</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10.2未经甲方及丙、丁方同意，乙方不得擅自更改或换用投标产品的零部件或配件，否则，乙方承担由此发生的费用，并赔偿甲方及丙、丁方的有关损失，延误的供货日期不予顺延。</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11、设备、材料检验 </w:t>
      </w:r>
    </w:p>
    <w:p>
      <w:pPr>
        <w:tabs>
          <w:tab w:val="left" w:pos="280"/>
        </w:tabs>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及丙、丁方认为有必要在设备制造过程中派人到生产厂监制，乙方应予以积极配合并对监制或预验收工作提供方便并承担相关费用。但甲方及丙、丁方监制并不解除制造商对所有产品在制造质量上应负的全部责任，也不作为甲方及丙、丁方的最终验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在第一批设备供货之前，丙方将会同丁方、甲方、监理工程师等相关单位到乙方的设备制造厂进行样品审核，乙方应积极配合并对甲方及丙、丁方的工作提供方便并承担相关费用。在检验结束后，乙方须提供必要的技术数据和图纸，并提交一份测试报告给甲方，但甲方的工厂检验并不解除制造商对所有产品在制造质量上应负的全部责任。</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所有的货物准备进场时须同时提供货物出厂合格证书、检测报告。国外生产的必须有合法的进货渠道证明，如海关报关单、原产地证明、商检证明等。</w:t>
      </w:r>
    </w:p>
    <w:p>
      <w:pPr>
        <w:pStyle w:val="76"/>
        <w:spacing w:line="360" w:lineRule="exact"/>
        <w:ind w:firstLine="420"/>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样品的报送与封存：需要乙方报送样品的材料或工程设备，样品的种类、名称、规格、数量要求：</w:t>
      </w:r>
      <w:r>
        <w:rPr>
          <w:rFonts w:hint="default" w:ascii="Times New Roman" w:hAnsi="Times New Roman" w:cs="Times New Roman"/>
          <w:color w:val="auto"/>
          <w:szCs w:val="21"/>
          <w:u w:val="single"/>
        </w:rPr>
        <w:t>以符合设计和规范要求为原则。①.一般材料由甲方及丙、丁方、监理看样认可后自行采购；主要设备应由甲方及丙、丁方和监理共同看样定货认可后采购。②.所有材料必须有质保书和合格证，经认证许可，并符合施工图纸和规范要求，若材料质量不符合规定要求，乙方无条件退换并承担返工损失及工期、质量违约责任 。</w:t>
      </w:r>
    </w:p>
    <w:p>
      <w:pPr>
        <w:snapToGrid w:val="0"/>
        <w:spacing w:line="360" w:lineRule="exact"/>
        <w:ind w:firstLine="422" w:firstLineChars="200"/>
        <w:outlineLvl w:val="0"/>
        <w:rPr>
          <w:rFonts w:hint="default" w:ascii="Times New Roman" w:hAnsi="Times New Roman" w:cs="Times New Roman"/>
          <w:b/>
          <w:color w:val="auto"/>
          <w:szCs w:val="21"/>
        </w:rPr>
      </w:pPr>
      <w:bookmarkStart w:id="436" w:name="_Toc812"/>
      <w:r>
        <w:rPr>
          <w:rFonts w:hint="default" w:ascii="Times New Roman" w:hAnsi="Times New Roman" w:cs="Times New Roman"/>
          <w:b/>
          <w:color w:val="auto"/>
          <w:szCs w:val="21"/>
        </w:rPr>
        <w:t>12、设备的安装、调试</w:t>
      </w:r>
      <w:bookmarkEnd w:id="436"/>
    </w:p>
    <w:p>
      <w:pPr>
        <w:snapToGrid w:val="0"/>
        <w:spacing w:line="360" w:lineRule="exact"/>
        <w:ind w:firstLine="420" w:firstLineChars="200"/>
        <w:rPr>
          <w:rFonts w:hint="default" w:ascii="Times New Roman" w:hAnsi="Times New Roman" w:cs="Times New Roman"/>
          <w:color w:val="auto"/>
          <w:szCs w:val="21"/>
          <w:shd w:val="pct10" w:color="auto" w:fill="FFFFFF"/>
        </w:rPr>
      </w:pPr>
      <w:r>
        <w:rPr>
          <w:rFonts w:hint="default" w:ascii="Times New Roman" w:hAnsi="Times New Roman" w:cs="Times New Roman"/>
          <w:color w:val="auto"/>
          <w:szCs w:val="21"/>
        </w:rPr>
        <w:t>12.1合同所订的货物到达甲方及丙、丁方后，乙方应在收到甲方及丙、丁方通知后2天内，及时派人前往设备交货地点</w:t>
      </w:r>
      <w:r>
        <w:rPr>
          <w:rFonts w:hint="default" w:ascii="Times New Roman" w:hAnsi="Times New Roman" w:cs="Times New Roman"/>
          <w:bCs/>
          <w:color w:val="auto"/>
          <w:szCs w:val="21"/>
        </w:rPr>
        <w:t>对设备</w:t>
      </w:r>
      <w:r>
        <w:rPr>
          <w:rFonts w:hint="default" w:ascii="Times New Roman" w:hAnsi="Times New Roman" w:cs="Times New Roman"/>
          <w:color w:val="auto"/>
          <w:szCs w:val="21"/>
        </w:rPr>
        <w:t>进行安装调试。</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12.2乙方人员在甲方及丙、丁方进行指导安装及设备调试期间，所有费用由乙方负责。</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13、设备验收</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13.1</w:t>
      </w:r>
      <w:r>
        <w:rPr>
          <w:rFonts w:hint="default" w:ascii="Times New Roman" w:hAnsi="Times New Roman" w:cs="Times New Roman"/>
          <w:bCs/>
          <w:color w:val="auto"/>
          <w:szCs w:val="21"/>
        </w:rPr>
        <w:t>乙方</w:t>
      </w:r>
      <w:r>
        <w:rPr>
          <w:rFonts w:hint="default" w:ascii="Times New Roman" w:hAnsi="Times New Roman" w:cs="Times New Roman"/>
          <w:color w:val="auto"/>
          <w:szCs w:val="21"/>
        </w:rPr>
        <w:t>应提供验收大纲和验收标准供甲方及丙、丁方参考，经甲方及丙、丁方确认后，作为验收的依据。</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验收标准：应与产品原始样本技术数据及标书技术文件一致，符合国家有关技术规范和技术标准，并提供所有有效证件（包括安检、商检证书）。</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13.2设备到达现场后，乙方派人到现场与甲方及丙、丁方一起开箱初步验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13.3设备在安装、调试结束后，经过二个月的试运行考核无故障，甲乙丙丁方会同当地有关部门等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exact"/>
        <w:ind w:firstLine="422" w:firstLineChars="200"/>
        <w:outlineLvl w:val="0"/>
        <w:rPr>
          <w:rFonts w:hint="default" w:ascii="Times New Roman" w:hAnsi="Times New Roman" w:cs="Times New Roman"/>
          <w:b/>
          <w:color w:val="auto"/>
          <w:szCs w:val="21"/>
        </w:rPr>
      </w:pPr>
      <w:bookmarkStart w:id="437" w:name="_Toc8150"/>
      <w:r>
        <w:rPr>
          <w:rFonts w:hint="default" w:ascii="Times New Roman" w:hAnsi="Times New Roman" w:cs="Times New Roman"/>
          <w:b/>
          <w:color w:val="auto"/>
          <w:szCs w:val="21"/>
        </w:rPr>
        <w:t>14、质保及维修</w:t>
      </w:r>
      <w:bookmarkEnd w:id="437"/>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14.1设备质</w:t>
      </w:r>
      <w:r>
        <w:rPr>
          <w:rFonts w:hint="default" w:ascii="Times New Roman" w:hAnsi="Times New Roman" w:cs="Times New Roman"/>
          <w:b/>
          <w:bCs/>
          <w:color w:val="auto"/>
          <w:szCs w:val="21"/>
        </w:rPr>
        <w:t>量保证期为使用产品之日起至少</w:t>
      </w:r>
      <w:r>
        <w:rPr>
          <w:rFonts w:hint="default" w:ascii="Times New Roman" w:hAnsi="Times New Roman" w:cs="Times New Roman"/>
          <w:b/>
          <w:bCs/>
          <w:color w:val="auto"/>
          <w:szCs w:val="21"/>
          <w:u w:val="single"/>
        </w:rPr>
        <w:t>24个月，</w:t>
      </w:r>
      <w:r>
        <w:rPr>
          <w:rFonts w:hint="default" w:ascii="Times New Roman" w:hAnsi="Times New Roman" w:cs="Times New Roman"/>
          <w:color w:val="auto"/>
          <w:szCs w:val="21"/>
        </w:rPr>
        <w:t>乙方承诺超过本要求的，以优惠者为准，若其他产品配件另有超过24个月的厂家质保规定或承诺的，按其规定或承诺执行。质保期内如无问题，则在质保期满时，由甲方及丙、丁方提交质保期验收报告，验收由甲方及丙、丁方签字认可。</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14.2在设备质保期内，因设备本身的缺陷导致各种故障，乙方应负责免费更换产品，提供技术服务和指导设备维修，更换后的产品的质量保证期为</w:t>
      </w:r>
      <w:r>
        <w:rPr>
          <w:rFonts w:hint="default" w:ascii="Times New Roman" w:hAnsi="Times New Roman" w:cs="Times New Roman"/>
          <w:bCs/>
          <w:color w:val="auto"/>
          <w:szCs w:val="21"/>
        </w:rPr>
        <w:t>更换后的产品</w:t>
      </w:r>
      <w:r>
        <w:rPr>
          <w:rFonts w:hint="default" w:ascii="Times New Roman" w:hAnsi="Times New Roman" w:cs="Times New Roman"/>
          <w:color w:val="auto"/>
          <w:szCs w:val="21"/>
        </w:rPr>
        <w:t>使用之日起至少</w:t>
      </w:r>
      <w:r>
        <w:rPr>
          <w:rFonts w:hint="default" w:ascii="Times New Roman" w:hAnsi="Times New Roman" w:cs="Times New Roman"/>
          <w:bCs/>
          <w:color w:val="auto"/>
          <w:szCs w:val="21"/>
          <w:u w:val="single"/>
        </w:rPr>
        <w:t>24个月</w:t>
      </w:r>
      <w:r>
        <w:rPr>
          <w:rFonts w:hint="default" w:ascii="Times New Roman" w:hAnsi="Times New Roman" w:cs="Times New Roman"/>
          <w:bCs/>
          <w:color w:val="auto"/>
          <w:szCs w:val="21"/>
        </w:rPr>
        <w:t>。</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14.3如设备在质保期后发生故障，乙方在收到丙、丁方的书面维修通知后，应</w:t>
      </w:r>
      <w:r>
        <w:rPr>
          <w:rFonts w:hint="default" w:ascii="Times New Roman" w:hAnsi="Times New Roman" w:cs="Times New Roman"/>
          <w:b/>
          <w:bCs/>
          <w:color w:val="auto"/>
          <w:szCs w:val="21"/>
        </w:rPr>
        <w:t>即时给予响应。在质保期内的工作应包括对所有设备</w:t>
      </w:r>
      <w:r>
        <w:rPr>
          <w:rFonts w:hint="default" w:ascii="Times New Roman" w:hAnsi="Times New Roman" w:cs="Times New Roman"/>
          <w:bCs/>
          <w:color w:val="auto"/>
          <w:szCs w:val="21"/>
          <w:u w:val="thick"/>
        </w:rPr>
        <w:t>每月至少1次</w:t>
      </w:r>
      <w:r>
        <w:rPr>
          <w:rFonts w:hint="default" w:ascii="Times New Roman" w:hAnsi="Times New Roman" w:cs="Times New Roman"/>
          <w:bCs/>
          <w:color w:val="auto"/>
          <w:szCs w:val="21"/>
        </w:rPr>
        <w:t>的</w:t>
      </w:r>
      <w:r>
        <w:rPr>
          <w:rFonts w:hint="default" w:ascii="Times New Roman" w:hAnsi="Times New Roman" w:cs="Times New Roman"/>
          <w:color w:val="auto"/>
          <w:szCs w:val="21"/>
        </w:rPr>
        <w:t>常规检查、调整和润滑。</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14.4乙方在投标文件中所承诺的辅材、配件价格及保修期外的保修年费及服务方案做为合同的一部分。</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14.5在保修期内，乙方应保证所提供设备无故障开机运行，如达不到要求，保修期应顺延，并且乙方应赔偿丙方经济损失。对保修期内的维修服务，乙方应在接到丙方通知后2小时内做出响应并提出解决办法，无偿负责设备的调试或更换已损坏的零部件；保修期以后的维修服务，乙方驻场人员应做到在丙方发出维修通知后及时进行设备维修，更换已损坏的零部件。乙丙双方将对保修期外服务条款及费用的收取签署保修协议。</w:t>
      </w:r>
    </w:p>
    <w:p>
      <w:pPr>
        <w:pStyle w:val="76"/>
        <w:spacing w:line="360" w:lineRule="exact"/>
        <w:ind w:firstLine="422"/>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15、安全要求：</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15.2乙方在实施过程中应采取必要的安全防护和消防措施，保障作业人员及出入施工现场人员的安全。乙方应为施工人员办理所需的工伤等保险，费用由乙方自行负责。</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15.3乙方在实施过程中如发生质量事故责任全部自行承担，及时报告甲方及丙、丁方。做到及时查清事故原因，分清事故责任，并采取有效的补救措施。一般质量事故的处理方案应送甲方共同研究实施；重大质量事故的处理按国家相关条例执行。</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15.4本项目实施过程中出现的作业人员或因承包人原因引起的第三方人员、财务损失，造成的责任和因此发生的费用，由乙方承担。</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15.5本项目实施过程中，由乙方引起的管线、线路等损坏由乙方承担相应的责任和损失。</w:t>
      </w:r>
    </w:p>
    <w:p>
      <w:pPr>
        <w:snapToGrid w:val="0"/>
        <w:spacing w:line="360" w:lineRule="exact"/>
        <w:ind w:firstLine="422" w:firstLineChars="200"/>
        <w:outlineLvl w:val="0"/>
        <w:rPr>
          <w:rFonts w:hint="default" w:ascii="Times New Roman" w:hAnsi="Times New Roman" w:cs="Times New Roman"/>
          <w:b/>
          <w:color w:val="auto"/>
          <w:szCs w:val="21"/>
        </w:rPr>
      </w:pPr>
      <w:bookmarkStart w:id="438" w:name="_Toc10358"/>
      <w:r>
        <w:rPr>
          <w:rFonts w:hint="default" w:ascii="Times New Roman" w:hAnsi="Times New Roman" w:cs="Times New Roman"/>
          <w:b/>
          <w:color w:val="auto"/>
          <w:szCs w:val="21"/>
        </w:rPr>
        <w:t>16、违约责任</w:t>
      </w:r>
      <w:bookmarkEnd w:id="438"/>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16.1合同约定工期节点的，每逾期一天，乙方按2000元/天向甲方支付违约金；逾期超过 30天的，甲方及丙、丁方有权解除合同、丙方没收全部的履约保证金（提示：请根据项目实际明确谁有权没收履约保证金）并乙方承担所有的违约责任并承担由此造成的甲方及丙、丁方的全部损失。乙方</w:t>
      </w:r>
      <w:r>
        <w:rPr>
          <w:rFonts w:hint="default" w:ascii="Times New Roman" w:hAnsi="Times New Roman" w:cs="Times New Roman"/>
          <w:bCs/>
          <w:color w:val="auto"/>
          <w:szCs w:val="21"/>
        </w:rPr>
        <w:t>总工期超</w:t>
      </w:r>
      <w:r>
        <w:rPr>
          <w:rFonts w:hint="default" w:ascii="Times New Roman" w:hAnsi="Times New Roman" w:cs="Times New Roman"/>
          <w:color w:val="auto"/>
          <w:szCs w:val="21"/>
        </w:rPr>
        <w:t>过本合同约定期限的，按照逾期交货承担违约责任。</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16.2乙方交付的货品不能满足招标文件及合同主要技术标准及质量要求的，应按照要求更换、重做、修理直至按照甲方及丙、丁方的要求退货并每发生一次，乙方应向甲方支付违约金20000元，累计发生2次（含）以上的，甲方、丙、丁方有权解除本合同、</w:t>
      </w:r>
      <w:r>
        <w:rPr>
          <w:rFonts w:hint="default" w:ascii="Times New Roman" w:hAnsi="Times New Roman" w:cs="Times New Roman"/>
          <w:b/>
          <w:bCs/>
          <w:color w:val="auto"/>
          <w:szCs w:val="21"/>
        </w:rPr>
        <w:t>甲方有权没</w:t>
      </w:r>
      <w:r>
        <w:rPr>
          <w:rFonts w:hint="default" w:ascii="Times New Roman" w:hAnsi="Times New Roman" w:cs="Times New Roman"/>
          <w:color w:val="auto"/>
          <w:szCs w:val="21"/>
        </w:rPr>
        <w:t>收全部的履约保证金，乙方承担全部的违约责任并乙方应承担因此造成的甲方及丙、丁方的所有损失。因此造成交货逾期的，每逾期一天，乙方按2000元/天向甲方支付违约金；逾期超过30天的，甲方及丙、丁方有权解除合同，要求乙方退还已收款项并向甲方支付本合同总价款5％的违约金。</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16.3乙方接受甲方及丙、丁方对供货期调整的要求，具体方式为：甲方及丙、丁方提前十五天发出有甲方及丙、丁方代表签发的书面通知，乙方进行书面确认后即可执行</w:t>
      </w:r>
      <w:r>
        <w:rPr>
          <w:rFonts w:hint="default" w:ascii="Times New Roman" w:hAnsi="Times New Roman" w:cs="Times New Roman"/>
          <w:bCs/>
          <w:color w:val="auto"/>
          <w:szCs w:val="21"/>
        </w:rPr>
        <w:t>，</w:t>
      </w:r>
      <w:r>
        <w:rPr>
          <w:rFonts w:hint="default" w:ascii="Times New Roman" w:hAnsi="Times New Roman" w:cs="Times New Roman"/>
          <w:color w:val="auto"/>
          <w:szCs w:val="21"/>
        </w:rPr>
        <w:t>对此甲方及丙、丁方不承担违约责任。</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16.4如果乙方对本合同的执行敷衍了事，或忽视履行本合同约定的乙方任何工作及责任，而且从</w:t>
      </w:r>
      <w:r>
        <w:rPr>
          <w:rFonts w:hint="default" w:ascii="Times New Roman" w:hAnsi="Times New Roman" w:cs="Times New Roman"/>
          <w:bCs/>
          <w:color w:val="auto"/>
          <w:szCs w:val="21"/>
        </w:rPr>
        <w:t>甲方及丙方发出</w:t>
      </w:r>
      <w:r>
        <w:rPr>
          <w:rFonts w:hint="default" w:ascii="Times New Roman" w:hAnsi="Times New Roman" w:cs="Times New Roman"/>
          <w:color w:val="auto"/>
          <w:szCs w:val="21"/>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16.5因乙方原因解除本合同时，乙方应向甲方支付签约合同价款</w:t>
      </w:r>
      <w:r>
        <w:rPr>
          <w:rFonts w:hint="default" w:ascii="Times New Roman" w:hAnsi="Times New Roman" w:cs="Times New Roman"/>
          <w:bCs/>
          <w:color w:val="auto"/>
          <w:szCs w:val="21"/>
        </w:rPr>
        <w:t>20</w:t>
      </w:r>
      <w:r>
        <w:rPr>
          <w:rFonts w:hint="default" w:ascii="Times New Roman" w:hAnsi="Times New Roman" w:cs="Times New Roman"/>
          <w:color w:val="auto"/>
          <w:szCs w:val="21"/>
        </w:rPr>
        <w:t>%的违约金，且甲方及丙、丁方有权决定是否接受属于乙方在现场的一切设施、设备、材料使用于本工程，并乙方应承担由此造成的甲方及丙、丁方的全部损失。</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16.6未经甲方及丙、丁方书面同意，乙方将本合同的权利、义务以任何形式全部或部分让与他人的，甲方及丙、丁方有权解除本合同、没收全部的履约保证金，乙方应按照本合同价款总额的</w:t>
      </w:r>
      <w:r>
        <w:rPr>
          <w:rFonts w:hint="default" w:ascii="Times New Roman" w:hAnsi="Times New Roman" w:cs="Times New Roman"/>
          <w:bCs/>
          <w:color w:val="auto"/>
          <w:szCs w:val="21"/>
        </w:rPr>
        <w:t>20</w:t>
      </w:r>
      <w:r>
        <w:rPr>
          <w:rFonts w:hint="default" w:ascii="Times New Roman" w:hAnsi="Times New Roman" w:cs="Times New Roman"/>
          <w:color w:val="auto"/>
          <w:szCs w:val="21"/>
        </w:rPr>
        <w:t>%向甲方支付违约金，并赔偿由此造成的甲方及丙、丁方的全部损失。</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16.7本合同中所有乙方应支付给甲方的违约金，乙方在收到书面通知后未及时支付的，甲方有权在应付乙方的任何款项中扣除。</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16.8因乙方原因延误工期给甲方造成损失的（包括但不限于直接损失与间接损失）均由乙方承担相应责任及费用，甲方有权从乙方工程款中扣除相应费用，不足部分甲方有权追偿。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16.9因乙方原因造成绍兴市中医院改扩建工程单项或整体验收不合格的，甲方有权没收乙方缴纳的履约保证金，同时由此产生的一切责任与费用均由乙方承担，甲方有权在乙方工程款中扣除相应费用，不足部分甲方有权追偿。</w:t>
      </w:r>
    </w:p>
    <w:p>
      <w:pPr>
        <w:snapToGrid w:val="0"/>
        <w:spacing w:line="360" w:lineRule="exact"/>
        <w:ind w:firstLine="420" w:firstLineChars="200"/>
        <w:outlineLvl w:val="0"/>
        <w:rPr>
          <w:rFonts w:hint="default" w:ascii="Times New Roman" w:hAnsi="Times New Roman" w:cs="Times New Roman"/>
          <w:color w:val="auto"/>
          <w:szCs w:val="21"/>
        </w:rPr>
      </w:pPr>
      <w:bookmarkStart w:id="439" w:name="_Toc18664"/>
      <w:r>
        <w:rPr>
          <w:rFonts w:hint="default" w:ascii="Times New Roman" w:hAnsi="Times New Roman" w:cs="Times New Roman"/>
          <w:color w:val="auto"/>
          <w:szCs w:val="21"/>
        </w:rPr>
        <w:t>17、其他</w:t>
      </w:r>
      <w:bookmarkEnd w:id="439"/>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17.1乙方提出使用专利技术或特殊工艺，应取得甲方及丙、丁方和监理单位认可，乙方负责办理申报手续并承担有关费用。</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17.2乙方擅自使用专利技术侵犯他人专利权的因此产生的侵权纠纷，由乙方自行承担并每发生一次，乙方应向丙方支付违约金5000元，如造成甲方及丙、丁方损失的，甲方及丙、丁方有权全额向乙方追索且甲方及丙、丁方有权视情形解除本合同。</w:t>
      </w:r>
    </w:p>
    <w:p>
      <w:pPr>
        <w:spacing w:line="360" w:lineRule="exact"/>
        <w:ind w:firstLine="420" w:firstLineChars="200"/>
        <w:rPr>
          <w:rFonts w:hint="default" w:ascii="Times New Roman" w:hAnsi="Times New Roman" w:cs="Times New Roman"/>
          <w:color w:val="auto"/>
          <w:szCs w:val="21"/>
        </w:rPr>
      </w:pPr>
      <w:bookmarkStart w:id="440" w:name="_Toc167673086"/>
      <w:r>
        <w:rPr>
          <w:rFonts w:hint="default" w:ascii="Times New Roman" w:hAnsi="Times New Roman" w:cs="Times New Roman"/>
          <w:color w:val="auto"/>
          <w:szCs w:val="21"/>
        </w:rPr>
        <w:t>17.3 工程进度要求</w:t>
      </w:r>
      <w:bookmarkEnd w:id="440"/>
      <w:bookmarkStart w:id="441" w:name="_Toc167673087"/>
      <w:r>
        <w:rPr>
          <w:rFonts w:hint="default" w:ascii="Times New Roman" w:hAnsi="Times New Roman" w:cs="Times New Roman"/>
          <w:color w:val="auto"/>
          <w:szCs w:val="21"/>
        </w:rPr>
        <w:t>：</w:t>
      </w:r>
    </w:p>
    <w:bookmarkEnd w:id="441"/>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乙方应根据工程总体进度计划要求，制定本工程计划进度，并应保证满足下列控制时间：</w:t>
      </w:r>
    </w:p>
    <w:p>
      <w:pPr>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中标通知书发出后15天内完成与甲方商定配合工作及费用，并与甲方签订总包管理协议；合同生效后15天内完成所有进场施工准备工作（包括设备进场）。</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必须每月向甲方提交月进度报告。在月进度报告中须说明每项工作(如部件的设计、采购、制造、检验、发运、预装配、安装、调试、工厂试验、验收等)实际完成的百分比与计划完成的百分比的比较；以及当任务实际完成情况比计划落后时，应提出意见和说明可能产生的后果，并陈述拟采取的纠正措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17.4项目实施过程中，乙方和甲方在施工界面上存在交叉施工，乙方应和甲方做好配合、协调工作，参与竣工验收，并承担施工质量责任。</w:t>
      </w:r>
    </w:p>
    <w:p>
      <w:pPr>
        <w:pStyle w:val="36"/>
        <w:spacing w:afterLines="50"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手术室吊塔专项与各专业施工界面表</w:t>
      </w:r>
    </w:p>
    <w:tbl>
      <w:tblPr>
        <w:tblStyle w:val="39"/>
        <w:tblW w:w="98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623"/>
        <w:gridCol w:w="7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专业工程</w:t>
            </w:r>
          </w:p>
        </w:tc>
        <w:tc>
          <w:tcPr>
            <w:tcW w:w="7533"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施工界面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1</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强电工程</w:t>
            </w:r>
          </w:p>
        </w:tc>
        <w:tc>
          <w:tcPr>
            <w:tcW w:w="753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2</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弱电工程</w:t>
            </w:r>
          </w:p>
        </w:tc>
        <w:tc>
          <w:tcPr>
            <w:tcW w:w="753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消防工程</w:t>
            </w:r>
          </w:p>
        </w:tc>
        <w:tc>
          <w:tcPr>
            <w:tcW w:w="753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4</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暖通工程</w:t>
            </w:r>
          </w:p>
        </w:tc>
        <w:tc>
          <w:tcPr>
            <w:tcW w:w="753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5</w:t>
            </w:r>
          </w:p>
        </w:tc>
        <w:tc>
          <w:tcPr>
            <w:tcW w:w="162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土建安装工程</w:t>
            </w:r>
          </w:p>
        </w:tc>
        <w:tc>
          <w:tcPr>
            <w:tcW w:w="7533"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结构面移交专业分包单位，其余均有专业分包单位施工。</w:t>
            </w:r>
          </w:p>
        </w:tc>
      </w:tr>
    </w:tbl>
    <w:p>
      <w:pPr>
        <w:spacing w:beforeLines="50"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17.5为保证工程质量，在手术室吊塔所在地建筑物验收之后，还应进行手术室吊塔单独专项验收。综合性能全面评定地检测单位需招标人认可。验收按国家有关规范、标准及当地政府主管部门要求进行。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验收合格条件为：</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运行结果符合产品标准、技术规范和招标文件及合同要求；</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所有规定的货物、材料、整套设备图纸及技术文件、竣工资料等都已提交并得到接受；</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按规定需要第三方相关部门进行检测（含抽检）的程序，必须已得到第三方相关部门出具的合格检测报告；</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全部处理好与本工程相关的专业单位配合、费用结算、现场配合等各项工作；</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整套设备在交由使用人之前已通过试运行。</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18、售后服务</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18.1在浙江省内设有维修点，以及时处理所有的故障维修服务，需提供24小时服务，要求维修人员在接到故障报修电话后必须在2小时内做出响应并提出解决办法，驻场人员必须及时提供备品、备件，提供不间断的故障维修服务直到故障处理服务结束。维修点需提供足够的备件以适应维修需求。驻场人员数量及资质须满足甲方及丙方需求并获得书面审批，人员未到场一天，扣500元/天。</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18.2每个维修项目完成后，经甲方及丙方或设备管理方验收并签字后，方为该维修项目本次维修完毕。</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18.3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每发生一次，乙方应向丙方支付违约金1000元。</w:t>
      </w:r>
    </w:p>
    <w:p>
      <w:pPr>
        <w:tabs>
          <w:tab w:val="left" w:pos="1800"/>
        </w:tabs>
        <w:spacing w:line="360" w:lineRule="exact"/>
        <w:ind w:firstLine="420" w:firstLineChars="200"/>
        <w:rPr>
          <w:rFonts w:hint="default" w:ascii="Times New Roman" w:hAnsi="Times New Roman" w:cs="Times New Roman"/>
          <w:color w:val="auto"/>
          <w:szCs w:val="21"/>
        </w:rPr>
      </w:pPr>
      <w:bookmarkStart w:id="442" w:name="OLE_LINK6"/>
      <w:r>
        <w:rPr>
          <w:rFonts w:hint="default" w:ascii="Times New Roman" w:hAnsi="Times New Roman" w:cs="Times New Roman"/>
          <w:color w:val="auto"/>
          <w:szCs w:val="21"/>
        </w:rPr>
        <w:t>18.</w:t>
      </w:r>
      <w:bookmarkEnd w:id="442"/>
      <w:r>
        <w:rPr>
          <w:rFonts w:hint="default" w:ascii="Times New Roman" w:hAnsi="Times New Roman" w:cs="Times New Roman"/>
          <w:color w:val="auto"/>
          <w:szCs w:val="21"/>
        </w:rPr>
        <w:t>4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18.5乙方免费培训甲方及丙方或甲方及丙方指定的操作、管理人员，经培训合格后能上岗操作。</w:t>
      </w:r>
    </w:p>
    <w:p>
      <w:pPr>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18.6质保期内乙方应免费保养、修理和替换由于设备、材料、施工质量的问题造成的损坏及故障。</w:t>
      </w:r>
    </w:p>
    <w:p>
      <w:pPr>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18.7如因设备本身原因造成甲方经济损失，乙方应照价赔偿。</w:t>
      </w:r>
    </w:p>
    <w:p>
      <w:pPr>
        <w:snapToGrid w:val="0"/>
        <w:spacing w:line="360" w:lineRule="exact"/>
        <w:ind w:firstLine="420" w:firstLineChars="200"/>
        <w:jc w:val="left"/>
        <w:rPr>
          <w:rFonts w:hint="default" w:ascii="Times New Roman" w:hAnsi="Times New Roman" w:cs="Times New Roman"/>
          <w:color w:val="auto"/>
          <w:szCs w:val="21"/>
          <w:u w:val="double"/>
        </w:rPr>
      </w:pPr>
      <w:r>
        <w:rPr>
          <w:rFonts w:hint="default" w:ascii="Times New Roman" w:hAnsi="Times New Roman" w:cs="Times New Roman"/>
          <w:color w:val="auto"/>
          <w:szCs w:val="21"/>
        </w:rPr>
        <w:t>18.8如果乙方在中标后有新产品研制成功并投入使用，则其有义务与甲方商定产品的更新换代问题，并保证在不涉及硬件的情况下，免费为甲方提供软件升级服务。</w:t>
      </w:r>
    </w:p>
    <w:p>
      <w:pPr>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18.9乙方应提供保修记录书，以便甲方随时查阅维修保养、部件更换次数、检查及维修日期等记录。</w:t>
      </w:r>
    </w:p>
    <w:p>
      <w:pPr>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18.10单台（套）设备在免费维修或质保期间的修理费用超过投标价的60%时，必须重新免费更新设备。</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18.11备件供应：</w:t>
      </w:r>
    </w:p>
    <w:p>
      <w:pPr>
        <w:spacing w:line="360" w:lineRule="exact"/>
        <w:ind w:firstLine="420" w:firstLineChars="200"/>
        <w:rPr>
          <w:rFonts w:hint="default" w:ascii="Times New Roman" w:hAnsi="Times New Roman" w:cs="Times New Roman"/>
          <w:b/>
          <w:color w:val="auto"/>
          <w:szCs w:val="21"/>
        </w:rPr>
      </w:pPr>
      <w:r>
        <w:rPr>
          <w:rFonts w:hint="default" w:ascii="Times New Roman" w:hAnsi="Times New Roman" w:cs="Times New Roman"/>
          <w:color w:val="auto"/>
          <w:szCs w:val="21"/>
        </w:rPr>
        <w:t>乙方对各种型号的设备须提供足够的备件、附件和易损件并保证是原厂生产，以满足设备正常运行的需要。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19.不可抗力</w:t>
      </w:r>
    </w:p>
    <w:p>
      <w:pPr>
        <w:pStyle w:val="9"/>
        <w:widowControl w:val="0"/>
        <w:tabs>
          <w:tab w:val="left" w:pos="420"/>
        </w:tabs>
        <w:spacing w:afterLines="0" w:line="360" w:lineRule="exact"/>
        <w:ind w:left="0" w:firstLine="420" w:firstLineChars="20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19.1如果双方中任何一方由于战争、严重火灾、水灾、台风和地震以及其它经双方同意属于不可抗力的事故，致使合同履行受阻时，履行合同的期限应予延长，延长的期限应相当于事故所影响的时间。</w:t>
      </w:r>
    </w:p>
    <w:p>
      <w:pPr>
        <w:pStyle w:val="9"/>
        <w:widowControl w:val="0"/>
        <w:tabs>
          <w:tab w:val="left" w:pos="420"/>
        </w:tabs>
        <w:spacing w:afterLines="0" w:line="360" w:lineRule="exact"/>
        <w:ind w:left="0" w:firstLine="420" w:firstLineChars="20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19.2受事故影响的一方应在不可抗力的事故发生后尽快以电报或电传通知另一方，并在事故发生后14天内，将有关部门出具的证明文件用挂号信航寄给或送给另一方。如果不可抗力影响时间延续120天以上的，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pStyle w:val="2"/>
        <w:widowControl/>
        <w:numPr>
          <w:ilvl w:val="0"/>
          <w:numId w:val="7"/>
        </w:numPr>
        <w:spacing w:line="360" w:lineRule="exact"/>
        <w:ind w:left="0" w:firstLine="420" w:firstLineChars="20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其他</w:t>
      </w:r>
    </w:p>
    <w:p>
      <w:pPr>
        <w:spacing w:line="360" w:lineRule="exact"/>
        <w:ind w:firstLine="200"/>
        <w:rPr>
          <w:rFonts w:hint="default" w:ascii="Times New Roman" w:hAnsi="Times New Roman" w:cs="Times New Roman"/>
          <w:color w:val="auto"/>
          <w:szCs w:val="21"/>
        </w:rPr>
      </w:pPr>
      <w:r>
        <w:rPr>
          <w:rFonts w:hint="default" w:ascii="Times New Roman" w:hAnsi="Times New Roman" w:cs="Times New Roman"/>
          <w:color w:val="auto"/>
          <w:szCs w:val="21"/>
        </w:rPr>
        <w:t xml:space="preserve">  乙方应无条件配合总包智能化施工单位，做好后续兼容、配套、对接等工作，免费开放相关端口。</w:t>
      </w:r>
    </w:p>
    <w:p>
      <w:pPr>
        <w:spacing w:line="360" w:lineRule="exact"/>
        <w:ind w:firstLine="200"/>
        <w:rPr>
          <w:rFonts w:hint="default" w:ascii="Times New Roman" w:hAnsi="Times New Roman" w:cs="Times New Roman"/>
          <w:color w:val="auto"/>
          <w:szCs w:val="21"/>
        </w:rPr>
      </w:pPr>
    </w:p>
    <w:p>
      <w:pPr>
        <w:spacing w:line="360" w:lineRule="exact"/>
        <w:ind w:firstLine="200"/>
        <w:rPr>
          <w:rFonts w:hint="default" w:ascii="Times New Roman" w:hAnsi="Times New Roman" w:cs="Times New Roman"/>
          <w:color w:val="auto"/>
          <w:szCs w:val="21"/>
        </w:rPr>
      </w:pPr>
      <w:r>
        <w:rPr>
          <w:rFonts w:hint="default" w:ascii="Times New Roman" w:hAnsi="Times New Roman" w:cs="Times New Roman"/>
          <w:color w:val="auto"/>
          <w:szCs w:val="21"/>
        </w:rPr>
        <w:t>（注：在正式签约时，根据上述精神应拟就更为详尽的合同书）</w:t>
      </w:r>
    </w:p>
    <w:p>
      <w:pPr>
        <w:spacing w:line="360" w:lineRule="exact"/>
        <w:ind w:firstLine="420" w:firstLineChars="200"/>
        <w:rPr>
          <w:rFonts w:hint="default" w:ascii="Times New Roman" w:hAnsi="Times New Roman" w:cs="Times New Roman"/>
          <w:color w:val="auto"/>
          <w:spacing w:val="30"/>
          <w:sz w:val="20"/>
          <w:szCs w:val="20"/>
        </w:rPr>
      </w:pPr>
      <w:r>
        <w:rPr>
          <w:rFonts w:hint="default" w:ascii="Times New Roman" w:hAnsi="Times New Roman" w:cs="Times New Roman"/>
          <w:color w:val="auto"/>
          <w:szCs w:val="21"/>
        </w:rPr>
        <w:br w:type="page"/>
      </w:r>
      <w:r>
        <w:rPr>
          <w:rFonts w:hint="default" w:ascii="Times New Roman" w:hAnsi="Times New Roman" w:cs="Times New Roman"/>
          <w:color w:val="auto"/>
          <w:sz w:val="20"/>
          <w:szCs w:val="20"/>
        </w:rPr>
        <w:t>附件1：廉政合同（格式）</w:t>
      </w:r>
    </w:p>
    <w:p>
      <w:pPr>
        <w:spacing w:line="360" w:lineRule="exact"/>
        <w:ind w:firstLine="480" w:firstLineChars="200"/>
        <w:jc w:val="center"/>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廉政合同</w:t>
      </w:r>
    </w:p>
    <w:p>
      <w:pPr>
        <w:spacing w:line="360" w:lineRule="exact"/>
        <w:ind w:firstLine="400" w:firstLineChars="200"/>
        <w:rPr>
          <w:rFonts w:hint="default" w:ascii="Times New Roman" w:hAnsi="Times New Roman" w:cs="Times New Roman"/>
          <w:color w:val="auto"/>
          <w:sz w:val="20"/>
          <w:szCs w:val="20"/>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甲方 </w:t>
      </w:r>
      <w:r>
        <w:rPr>
          <w:rFonts w:hint="default" w:ascii="Times New Roman" w:hAnsi="Times New Roman" w:cs="Times New Roman"/>
          <w:color w:val="auto"/>
          <w:szCs w:val="21"/>
          <w:u w:val="single"/>
        </w:rPr>
        <w:t>：浙江中成建工集团有限公司</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（承包人）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第一条 甲乙双方的责任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（一）应严格遵守国家关于市场准入、项目招标投标、工程建设、市场活动的有关法律、法规，相关政策，以及廉政建设的各项规定。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（二）严格执行</w:t>
      </w:r>
      <w:r>
        <w:rPr>
          <w:rFonts w:hint="default" w:ascii="Times New Roman" w:hAnsi="Times New Roman" w:cs="Times New Roman"/>
          <w:color w:val="auto"/>
          <w:kern w:val="58"/>
          <w:szCs w:val="21"/>
        </w:rPr>
        <w:t>绍兴市中医院改扩建工程EPC总承包内手术室吊塔</w:t>
      </w:r>
      <w:r>
        <w:rPr>
          <w:rFonts w:hint="default" w:ascii="Times New Roman" w:hAnsi="Times New Roman" w:cs="Times New Roman"/>
          <w:color w:val="auto"/>
          <w:szCs w:val="21"/>
        </w:rPr>
        <w:t>供货协议书文件，自觉按协议书办事。</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（三）业务活动必须坚持公开、公平、公正、诚信、透明的原则（除法律法规另有规定者外），不得为获取不正当的利益，损害国家、集体和对方利益，不得违反工程建设管理的规章制度。</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（四）发现对方在业务活动中有违规、违纪、违法行为的，应及时提醒对方，情节严重的，应向其上级主管部门或纪检监察、司法等有关机关举报。</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第二条 甲方的责任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甲方的领导和从事该建设工程项目的工作人员，在工程建设的事前、事中、事后应遵守以下规定：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（一）不准向乙方和相关单位索要或接受回扣、礼金、有价证券、贵重物品和好处费、感谢费等。</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（二）不准在乙方和相关单位报销任何应由甲方或个人支付的费用。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（三）不准要求、暗示或接受乙方和相关单位为个人装修住房、婚丧嫁娶、配偶子女的工作安排以及出国（境）、旅游等提供方便。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（四）不准参加有可能影响公正执行公务的乙方和相关单位的宴请、娱乐等活动。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（五）不准向乙方和相关单位介绍或为配偶、子女、亲属参与同甲方钢筋供货合同有关的业务等活动。不得以任何理由要求乙方和相关单位在生产过程中使用某种产品、材料和设备。</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第三条 乙方的责任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应与甲方保持正常的业务交往，按照有关法律法规和程序开展业务工作，严格执行工程建设的有关方针、政策，尤其是有关强制性标准和规范，并遵守以下规定：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（一）不准以任何理由向甲方及其工作人员索要、接受或赠送礼金、有价证券、贵重物品及回扣、好处费、感谢费等。</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（二）不准以任何理由为甲方和相关单位报销应由对方或个人支付的费用。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（三）不准接受或暗示为甲方、相关单位或个人装修住房、婚丧嫁娶、配偶子女的工作安排以及出国（境）、旅游等提供方便。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（四）不准以任何理由为甲方、相关单位或个人组织有可能影响公正执行公务的宴请、健身、娱乐等活动。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第四条 违约责任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第五条 本合同与协议书具有同等法律效力。经双方签字盖章后立即生效。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第六条 本合同的有效期同主合同。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第七条 本合同正副本份数同主合同。</w:t>
      </w:r>
    </w:p>
    <w:p>
      <w:pPr>
        <w:spacing w:line="360" w:lineRule="exact"/>
        <w:ind w:firstLine="420" w:firstLineChars="200"/>
        <w:rPr>
          <w:rFonts w:hint="default" w:ascii="Times New Roman" w:hAnsi="Times New Roman" w:cs="Times New Roman"/>
          <w:color w:val="auto"/>
          <w:szCs w:val="21"/>
        </w:rPr>
      </w:pPr>
    </w:p>
    <w:p>
      <w:pPr>
        <w:tabs>
          <w:tab w:val="left" w:pos="378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w:t>
      </w:r>
      <w:r>
        <w:rPr>
          <w:rFonts w:hint="default" w:ascii="Times New Roman" w:hAnsi="Times New Roman" w:cs="Times New Roman"/>
          <w:color w:val="auto"/>
          <w:szCs w:val="21"/>
          <w:u w:val="single"/>
        </w:rPr>
        <w:t>浙江中成建工集团有限公司</w:t>
      </w:r>
      <w:r>
        <w:rPr>
          <w:rFonts w:hint="default" w:ascii="Times New Roman" w:hAnsi="Times New Roman" w:cs="Times New Roman"/>
          <w:color w:val="auto"/>
          <w:szCs w:val="21"/>
        </w:rPr>
        <w:t>（盖章）    乙方：</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（盖章）</w:t>
      </w:r>
    </w:p>
    <w:p>
      <w:pPr>
        <w:spacing w:line="360" w:lineRule="exact"/>
        <w:ind w:firstLine="420" w:firstLineChars="200"/>
        <w:rPr>
          <w:rFonts w:hint="default" w:ascii="Times New Roman" w:hAnsi="Times New Roman" w:cs="Times New Roman"/>
          <w:color w:val="auto"/>
          <w:szCs w:val="21"/>
          <w:u w:val="single"/>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法定代表人或                              法定代表人或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           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日期：      年     月     日              日期：     年     月       日</w:t>
      </w:r>
    </w:p>
    <w:p>
      <w:pPr>
        <w:spacing w:line="360" w:lineRule="exact"/>
        <w:ind w:firstLine="420" w:firstLineChars="200"/>
        <w:rPr>
          <w:rFonts w:hint="default" w:ascii="Times New Roman" w:hAnsi="Times New Roman" w:cs="Times New Roman"/>
          <w:color w:val="auto"/>
          <w:sz w:val="20"/>
          <w:szCs w:val="20"/>
        </w:rPr>
      </w:pPr>
      <w:r>
        <w:rPr>
          <w:rFonts w:hint="default" w:ascii="Times New Roman" w:hAnsi="Times New Roman" w:cs="Times New Roman"/>
          <w:color w:val="auto"/>
          <w:szCs w:val="21"/>
        </w:rPr>
        <w:br w:type="page"/>
      </w:r>
    </w:p>
    <w:p>
      <w:pPr>
        <w:pStyle w:val="6"/>
        <w:adjustRightInd w:val="0"/>
        <w:spacing w:line="360" w:lineRule="exact"/>
        <w:ind w:firstLine="402"/>
        <w:textAlignment w:val="baseline"/>
        <w:rPr>
          <w:rFonts w:hint="default" w:ascii="Times New Roman" w:hAnsi="Times New Roman" w:cs="Times New Roman"/>
          <w:color w:val="auto"/>
          <w:sz w:val="20"/>
          <w:szCs w:val="20"/>
        </w:rPr>
      </w:pPr>
      <w:r>
        <w:rPr>
          <w:rFonts w:hint="default" w:ascii="Times New Roman" w:hAnsi="Times New Roman" w:cs="Times New Roman"/>
          <w:color w:val="auto"/>
          <w:sz w:val="20"/>
          <w:szCs w:val="20"/>
        </w:rPr>
        <w:t>附件2：履约保函（格式）</w:t>
      </w:r>
    </w:p>
    <w:p>
      <w:pPr>
        <w:snapToGrid w:val="0"/>
        <w:spacing w:line="360" w:lineRule="exact"/>
        <w:ind w:firstLine="400" w:firstLineChars="200"/>
        <w:rPr>
          <w:rFonts w:hint="default" w:ascii="Times New Roman" w:hAnsi="Times New Roman" w:cs="Times New Roman"/>
          <w:color w:val="auto"/>
          <w:sz w:val="20"/>
          <w:szCs w:val="20"/>
        </w:rPr>
      </w:pPr>
    </w:p>
    <w:p>
      <w:pPr>
        <w:spacing w:line="360" w:lineRule="exact"/>
        <w:ind w:firstLine="480" w:firstLineChars="200"/>
        <w:jc w:val="center"/>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履约保函</w:t>
      </w:r>
    </w:p>
    <w:p>
      <w:pPr>
        <w:spacing w:line="360" w:lineRule="exact"/>
        <w:ind w:firstLine="402" w:firstLineChars="200"/>
        <w:rPr>
          <w:rFonts w:hint="default" w:ascii="Times New Roman" w:hAnsi="Times New Roman" w:cs="Times New Roman"/>
          <w:b/>
          <w:color w:val="auto"/>
          <w:sz w:val="20"/>
          <w:szCs w:val="20"/>
          <w:u w:val="single"/>
        </w:rPr>
      </w:pPr>
    </w:p>
    <w:p>
      <w:pPr>
        <w:spacing w:line="360" w:lineRule="exact"/>
        <w:ind w:firstLine="420" w:firstLineChars="200"/>
        <w:rPr>
          <w:rFonts w:hint="default" w:ascii="Times New Roman" w:hAnsi="Times New Roman" w:cs="Times New Roman"/>
          <w:b/>
          <w:color w:val="auto"/>
          <w:szCs w:val="21"/>
        </w:rPr>
      </w:pPr>
      <w:r>
        <w:rPr>
          <w:rFonts w:hint="default" w:ascii="Times New Roman" w:hAnsi="Times New Roman" w:cs="Times New Roman"/>
          <w:color w:val="auto"/>
          <w:szCs w:val="21"/>
          <w:u w:val="single"/>
        </w:rPr>
        <w:t>浙江中成建工集团有限公司</w:t>
      </w:r>
      <w:r>
        <w:rPr>
          <w:rFonts w:hint="default" w:ascii="Times New Roman" w:hAnsi="Times New Roman" w:cs="Times New Roman"/>
          <w:b/>
          <w:color w:val="auto"/>
          <w:szCs w:val="21"/>
        </w:rPr>
        <w:t>：</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鉴于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（以下简称“甲方”）接受</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（以下简称“乙方”）于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日参加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（项目名称）的投标。我方愿意无条件地、不可撤销地就乙方履行与你方订立的合同，向你方提供保函。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1.保函金额人民币</w:t>
      </w:r>
      <w:r>
        <w:rPr>
          <w:rFonts w:hint="default" w:ascii="Times New Roman" w:hAnsi="Times New Roman" w:cs="Times New Roman"/>
          <w:color w:val="auto"/>
          <w:szCs w:val="21"/>
          <w:u w:val="single"/>
        </w:rPr>
        <w:t xml:space="preserve">（大写）              </w:t>
      </w:r>
      <w:r>
        <w:rPr>
          <w:rFonts w:hint="default" w:ascii="Times New Roman" w:hAnsi="Times New Roman" w:cs="Times New Roman"/>
          <w:color w:val="auto"/>
          <w:szCs w:val="21"/>
        </w:rPr>
        <w:t>元（¥）。</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2.保函有效期：自甲、乙双方签订的合同协议书生效之日起，至</w:t>
      </w:r>
      <w:r>
        <w:rPr>
          <w:rFonts w:hint="default" w:ascii="Times New Roman" w:hAnsi="Times New Roman" w:cs="Times New Roman"/>
          <w:color w:val="auto"/>
          <w:szCs w:val="21"/>
          <w:u w:val="single"/>
        </w:rPr>
        <w:t xml:space="preserve">20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日止。</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3.在本保函有效期内，我方在收到你方以书面形式提出的在担保金额内的赔偿要求后，在5个工作日内无条件支付。</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4.甲、乙双方按规定修改合同时，我方承担本担保规定的义务不变。</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5.本保函以及与本保函有关的纠纷，由各方协商解决，协商不成的，任何一方均可向甲方所在地人民法院提请诉讼。</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担保人：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（盖单位公章）</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法定代表人或其委托代理人：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电话：</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传真：</w:t>
      </w:r>
    </w:p>
    <w:p>
      <w:pPr>
        <w:tabs>
          <w:tab w:val="left" w:pos="4500"/>
          <w:tab w:val="left" w:pos="468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年     月     日</w:t>
      </w:r>
    </w:p>
    <w:p>
      <w:pPr>
        <w:spacing w:line="360" w:lineRule="exact"/>
        <w:ind w:firstLine="420" w:firstLineChars="200"/>
        <w:rPr>
          <w:rFonts w:hint="default" w:ascii="Times New Roman" w:hAnsi="Times New Roman" w:cs="Times New Roman"/>
          <w:color w:val="auto"/>
          <w:szCs w:val="21"/>
        </w:rPr>
        <w:sectPr>
          <w:footerReference r:id="rId5" w:type="even"/>
          <w:pgSz w:w="11906" w:h="16838"/>
          <w:pgMar w:top="1440" w:right="1134" w:bottom="1440" w:left="1134" w:header="851" w:footer="992" w:gutter="0"/>
          <w:cols w:space="720" w:num="1"/>
          <w:docGrid w:linePitch="312" w:charSpace="0"/>
        </w:sectPr>
      </w:pPr>
    </w:p>
    <w:p>
      <w:pPr>
        <w:tabs>
          <w:tab w:val="left" w:pos="4500"/>
          <w:tab w:val="left" w:pos="4680"/>
        </w:tabs>
        <w:spacing w:line="360" w:lineRule="exact"/>
        <w:ind w:firstLine="402" w:firstLineChars="200"/>
        <w:rPr>
          <w:rFonts w:hint="default" w:ascii="Times New Roman" w:hAnsi="Times New Roman" w:cs="Times New Roman"/>
          <w:color w:val="auto"/>
          <w:spacing w:val="30"/>
          <w:sz w:val="20"/>
          <w:szCs w:val="20"/>
        </w:rPr>
      </w:pPr>
      <w:r>
        <w:rPr>
          <w:rFonts w:hint="default" w:ascii="Times New Roman" w:hAnsi="Times New Roman" w:cs="Times New Roman"/>
          <w:b/>
          <w:color w:val="auto"/>
          <w:sz w:val="20"/>
          <w:szCs w:val="20"/>
        </w:rPr>
        <w:t>附件3：安全生产合同（格式）</w:t>
      </w:r>
    </w:p>
    <w:p>
      <w:pPr>
        <w:spacing w:line="360" w:lineRule="exact"/>
        <w:ind w:firstLine="400" w:firstLineChars="200"/>
        <w:rPr>
          <w:rFonts w:hint="default" w:ascii="Times New Roman" w:hAnsi="Times New Roman" w:cs="Times New Roman"/>
          <w:color w:val="auto"/>
          <w:sz w:val="20"/>
          <w:szCs w:val="20"/>
        </w:rPr>
      </w:pPr>
    </w:p>
    <w:p>
      <w:pPr>
        <w:spacing w:line="360" w:lineRule="exact"/>
        <w:ind w:firstLine="480" w:firstLineChars="200"/>
        <w:jc w:val="center"/>
        <w:rPr>
          <w:rFonts w:hint="default" w:ascii="Times New Roman" w:hAnsi="Times New Roman" w:cs="Times New Roman"/>
          <w:b/>
          <w:color w:val="auto"/>
          <w:sz w:val="20"/>
          <w:szCs w:val="20"/>
        </w:rPr>
      </w:pPr>
      <w:r>
        <w:rPr>
          <w:rFonts w:hint="default" w:ascii="Times New Roman" w:hAnsi="Times New Roman" w:cs="Times New Roman"/>
          <w:bCs/>
          <w:color w:val="auto"/>
          <w:sz w:val="24"/>
          <w:szCs w:val="24"/>
        </w:rPr>
        <w:t>安全生产合同</w:t>
      </w:r>
    </w:p>
    <w:p>
      <w:pPr>
        <w:spacing w:line="360" w:lineRule="exact"/>
        <w:ind w:firstLine="400" w:firstLineChars="200"/>
        <w:rPr>
          <w:rFonts w:hint="default" w:ascii="Times New Roman" w:hAnsi="Times New Roman" w:cs="Times New Roman"/>
          <w:color w:val="auto"/>
          <w:sz w:val="20"/>
          <w:szCs w:val="20"/>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为在</w:t>
      </w:r>
      <w:r>
        <w:rPr>
          <w:rFonts w:hint="default" w:ascii="Times New Roman" w:hAnsi="Times New Roman" w:cs="Times New Roman"/>
          <w:color w:val="auto"/>
          <w:szCs w:val="21"/>
          <w:u w:val="single"/>
        </w:rPr>
        <w:t>绍兴市中医院改扩建工程EPC总承包内手术室吊塔</w:t>
      </w:r>
      <w:r>
        <w:rPr>
          <w:rFonts w:hint="default" w:ascii="Times New Roman" w:hAnsi="Times New Roman" w:cs="Times New Roman"/>
          <w:color w:val="auto"/>
          <w:szCs w:val="21"/>
        </w:rPr>
        <w:t>供货合同的实施过程中创造安全、高效的环境，切实搞好本项目的安全管理工作，</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（以下简称“甲方”）与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（以下简称“乙方”）特此签订安全生产合同如下：</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一、甲方职责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1.严格遵守国家有关安全生产的法律法规等有关安全生产的规定，认真执行合同中的有关安全要求。</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2.定期召开安全生产调度会，及时传达中央及地方有关安全生产的精神。</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3.对乙方现场操作安全生产检查，监督乙方及时处理发现的各项安全隐患。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二、乙方职责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1.严格遵守国家有关安全生产的法律法规等有关安全生产的规定，认真执行工程承包合同中的有关安全要求。</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4.乙方在任何时候都应采取各种合理的预防措施，防止工作人员发生任何违法、违禁、暴力或妨碍治安的行为。</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5.乙方参加项目实施的人员，必须接受安全技术教育，熟知和遵守生产过程中的安全技术操作规程。生产、施工现场出现违反安全的操作，项目负责人必须承担管理责任。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8.乙方的所有安全事故、损失均由乙方自行负责。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三、违约责任：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如因甲方或乙方违约造成安全事故，将依法追究责任。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四、本合同正本3份，甲、乙方及浙江中成建工集团有限公司各1份；副本11份，甲方3份，乙方3份，浙江中成建工集团有限公司5份。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五、由双方法定代表人或其委托代理人签署并加盖单位章后生效，至合同费用结清为止失效。</w:t>
      </w:r>
    </w:p>
    <w:p>
      <w:pPr>
        <w:spacing w:line="360" w:lineRule="exact"/>
        <w:ind w:firstLine="420" w:firstLineChars="200"/>
        <w:rPr>
          <w:rFonts w:hint="default" w:ascii="Times New Roman" w:hAnsi="Times New Roman" w:cs="Times New Roman"/>
          <w:color w:val="auto"/>
          <w:szCs w:val="21"/>
        </w:rPr>
      </w:pPr>
    </w:p>
    <w:p>
      <w:pPr>
        <w:tabs>
          <w:tab w:val="left" w:pos="50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w:t>
      </w:r>
      <w:r>
        <w:rPr>
          <w:rFonts w:hint="default" w:ascii="Times New Roman" w:hAnsi="Times New Roman" w:cs="Times New Roman"/>
          <w:color w:val="auto"/>
          <w:szCs w:val="21"/>
          <w:u w:val="single"/>
        </w:rPr>
        <w:t xml:space="preserve">             （盖单位章）</w:t>
      </w:r>
      <w:r>
        <w:rPr>
          <w:rFonts w:hint="default" w:ascii="Times New Roman" w:hAnsi="Times New Roman" w:cs="Times New Roman"/>
          <w:color w:val="auto"/>
          <w:szCs w:val="21"/>
        </w:rPr>
        <w:t xml:space="preserve">                 乙方：</w:t>
      </w:r>
      <w:r>
        <w:rPr>
          <w:rFonts w:hint="default" w:ascii="Times New Roman" w:hAnsi="Times New Roman" w:cs="Times New Roman"/>
          <w:color w:val="auto"/>
          <w:szCs w:val="21"/>
          <w:u w:val="single"/>
        </w:rPr>
        <w:t xml:space="preserve">            （盖单位章）</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法定代表人或                                    法定代表人或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                     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日期：     年   月   日                         日期：    年   月   日</w:t>
      </w:r>
    </w:p>
    <w:p>
      <w:pPr>
        <w:spacing w:line="360" w:lineRule="exact"/>
        <w:ind w:firstLine="420" w:firstLineChars="200"/>
        <w:rPr>
          <w:rFonts w:hint="default" w:ascii="Times New Roman" w:hAnsi="Times New Roman" w:cs="Times New Roman"/>
          <w:color w:val="auto"/>
          <w:szCs w:val="21"/>
        </w:rPr>
      </w:pPr>
    </w:p>
    <w:p>
      <w:pPr>
        <w:tabs>
          <w:tab w:val="left" w:pos="4500"/>
          <w:tab w:val="left" w:pos="4680"/>
        </w:tabs>
        <w:spacing w:line="360" w:lineRule="exact"/>
        <w:ind w:firstLine="402" w:firstLineChars="200"/>
        <w:rPr>
          <w:rFonts w:hint="default" w:ascii="Times New Roman" w:hAnsi="Times New Roman" w:cs="Times New Roman"/>
          <w:color w:val="auto"/>
          <w:sz w:val="20"/>
          <w:szCs w:val="20"/>
        </w:rPr>
      </w:pPr>
      <w:r>
        <w:rPr>
          <w:rFonts w:hint="default" w:ascii="Times New Roman" w:hAnsi="Times New Roman" w:cs="Times New Roman"/>
          <w:b/>
          <w:color w:val="auto"/>
          <w:sz w:val="20"/>
          <w:szCs w:val="20"/>
        </w:rPr>
        <w:br w:type="page"/>
      </w:r>
      <w:r>
        <w:rPr>
          <w:rFonts w:hint="default" w:ascii="Times New Roman" w:hAnsi="Times New Roman" w:cs="Times New Roman"/>
          <w:b/>
          <w:color w:val="auto"/>
          <w:sz w:val="20"/>
          <w:szCs w:val="20"/>
        </w:rPr>
        <w:t>附件4：工程质量保修书（格式）</w:t>
      </w:r>
    </w:p>
    <w:p>
      <w:pPr>
        <w:widowControl/>
        <w:spacing w:beforeLines="50" w:afterLines="50" w:line="360" w:lineRule="exact"/>
        <w:ind w:firstLine="480" w:firstLineChars="200"/>
        <w:jc w:val="center"/>
        <w:rPr>
          <w:rFonts w:hint="default" w:ascii="Times New Roman" w:hAnsi="Times New Roman" w:cs="Times New Roman"/>
          <w:color w:val="auto"/>
          <w:sz w:val="24"/>
          <w:szCs w:val="24"/>
        </w:rPr>
      </w:pPr>
      <w:bookmarkStart w:id="443" w:name="_Toc30226"/>
      <w:r>
        <w:rPr>
          <w:rFonts w:hint="default" w:ascii="Times New Roman" w:hAnsi="Times New Roman" w:cs="Times New Roman"/>
          <w:color w:val="auto"/>
          <w:sz w:val="24"/>
          <w:szCs w:val="24"/>
        </w:rPr>
        <w:t>质 量 保 修 书</w:t>
      </w:r>
      <w:bookmarkEnd w:id="443"/>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甲方（总承包单位、发包人）：</w:t>
      </w:r>
      <w:r>
        <w:rPr>
          <w:rFonts w:hint="default" w:ascii="Times New Roman" w:hAnsi="Times New Roman" w:cs="Times New Roman"/>
          <w:b/>
          <w:color w:val="auto"/>
          <w:szCs w:val="21"/>
          <w:u w:val="single"/>
        </w:rPr>
        <w:t xml:space="preserve">                          　　            </w:t>
      </w:r>
    </w:p>
    <w:p>
      <w:pPr>
        <w:spacing w:line="360" w:lineRule="exact"/>
        <w:ind w:firstLine="422" w:firstLineChars="200"/>
        <w:rPr>
          <w:rFonts w:hint="default" w:ascii="Times New Roman" w:hAnsi="Times New Roman" w:cs="Times New Roman"/>
          <w:b/>
          <w:color w:val="auto"/>
          <w:szCs w:val="21"/>
          <w:u w:val="single"/>
        </w:rPr>
      </w:pPr>
      <w:r>
        <w:rPr>
          <w:rFonts w:hint="default" w:ascii="Times New Roman" w:hAnsi="Times New Roman" w:cs="Times New Roman"/>
          <w:b/>
          <w:color w:val="auto"/>
          <w:szCs w:val="21"/>
        </w:rPr>
        <w:t>乙方（承包人）：</w:t>
      </w:r>
      <w:r>
        <w:rPr>
          <w:rFonts w:hint="default" w:ascii="Times New Roman" w:hAnsi="Times New Roman" w:cs="Times New Roman"/>
          <w:b/>
          <w:color w:val="auto"/>
          <w:szCs w:val="21"/>
          <w:u w:val="single"/>
        </w:rPr>
        <w:t xml:space="preserve">                              　　                    </w:t>
      </w:r>
    </w:p>
    <w:p>
      <w:pPr>
        <w:pStyle w:val="19"/>
        <w:spacing w:line="360" w:lineRule="exact"/>
        <w:ind w:firstLine="422" w:firstLineChars="200"/>
        <w:rPr>
          <w:rFonts w:hint="default" w:ascii="Times New Roman" w:hAnsi="Times New Roman" w:cs="Times New Roman"/>
          <w:b/>
          <w:color w:val="auto"/>
          <w:u w:val="single"/>
        </w:rPr>
      </w:pPr>
      <w:r>
        <w:rPr>
          <w:rFonts w:hint="default" w:ascii="Times New Roman" w:hAnsi="Times New Roman" w:cs="Times New Roman"/>
          <w:b/>
          <w:color w:val="auto"/>
        </w:rPr>
        <w:t>丙方（业主、使用人）：</w:t>
      </w:r>
      <w:r>
        <w:rPr>
          <w:rFonts w:hint="default" w:ascii="Times New Roman" w:hAnsi="Times New Roman" w:cs="Times New Roman"/>
          <w:b/>
          <w:color w:val="auto"/>
          <w:u w:val="single"/>
        </w:rPr>
        <w:t xml:space="preserve">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为保证</w:t>
      </w:r>
      <w:r>
        <w:rPr>
          <w:rFonts w:hint="default" w:ascii="Times New Roman" w:hAnsi="Times New Roman" w:cs="Times New Roman"/>
          <w:color w:val="auto"/>
          <w:szCs w:val="21"/>
          <w:u w:val="single"/>
        </w:rPr>
        <w:t xml:space="preserve">                         项目</w:t>
      </w:r>
      <w:r>
        <w:rPr>
          <w:rFonts w:hint="default" w:ascii="Times New Roman" w:hAnsi="Times New Roman" w:cs="Times New Roman"/>
          <w:color w:val="auto"/>
          <w:szCs w:val="21"/>
        </w:rPr>
        <w:t>在合理使用期限内正常使用，各方经协商一致签订本质量保修书。乙方在质量保修期内按照有关管理规定及约定承担工程及设备质量保修责任。</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一、质量保修范围和内容</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乙方在质量保修期内，按照有关法律、法规、规章的管理规定和双方约定，承担本工程及设备质量保修责任。具体质量保修范围双方约定如下：</w:t>
      </w:r>
      <w:r>
        <w:rPr>
          <w:rFonts w:hint="default" w:ascii="Times New Roman" w:hAnsi="Times New Roman" w:cs="Times New Roman"/>
          <w:color w:val="auto"/>
          <w:szCs w:val="21"/>
          <w:u w:val="single"/>
        </w:rPr>
        <w:t>合同约定范围的所有项目及变更增加项目。</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二、质量保修期</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质量保修期为业主使用产品之日起算。</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三、质量保修责任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1．在质量保证期之内，乙方对由于产品设计、工艺、材料、配套件的缺陷及其安装质量而造成的任何产品质量问题或故障负全部责任。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2．属于保修范围、内容的项目，乙方应当在接到保修通知起</w:t>
      </w:r>
      <w:r>
        <w:rPr>
          <w:rFonts w:hint="default" w:ascii="Times New Roman" w:hAnsi="Times New Roman" w:cs="Times New Roman"/>
          <w:bCs/>
          <w:color w:val="auto"/>
          <w:szCs w:val="21"/>
        </w:rPr>
        <w:t>2小时内</w:t>
      </w:r>
      <w:r>
        <w:rPr>
          <w:rFonts w:hint="default" w:ascii="Times New Roman" w:hAnsi="Times New Roman" w:cs="Times New Roman"/>
          <w:color w:val="auto"/>
          <w:szCs w:val="21"/>
        </w:rPr>
        <w:t>做出响应并提出解决办法，在必须到现场维护的情况下，在4小时内赶到现场进行维修，并提供不间断的服务直到结束。质保期内乙方须安排专业维保人员驻场，驻场人员数量及资质须满足丙方需求并获得书面审批。</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3．如设备暂时不能修复，乙方应做好故障设备的相关的围挡保护及明显的故障告示通知，直至故障设备完全修复为止。</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4. 乙方不在约定期限内派人保修的，甲、丙方可以委托他人修理，由此产生的费用从质量保证金内扣除。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 每次维修及维保好后，乙方需一式两份报告给甲、丙方，包括故障原因，解决措施（或维保内容），完成修理（或维保）所费时间及恢复正常运行日期。</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 乙方如未按上述要求履行保修义务，每违反一次，从质量保证金中扣除违约金壹仟元整（1000.00元）；</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7、在质保期结束时，须由专业工程师对设备进行另一次测试，任何故障须由乙方自费解决并取得甲、丙方的同意。</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8、在质保期结束前，乙方需按照设备检验检测要求对设备进行一次检验，并取得相关管理部门颁发的检验合格证，相关费用由乙方承担。</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9、保修费用由乙方承担。</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四、质量保证金的支付</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本项目质量保证金为结算总价款的</w:t>
      </w:r>
      <w:r>
        <w:rPr>
          <w:rFonts w:hint="default" w:ascii="Times New Roman" w:hAnsi="Times New Roman" w:cs="Times New Roman"/>
          <w:color w:val="auto"/>
          <w:szCs w:val="21"/>
          <w:u w:val="single"/>
        </w:rPr>
        <w:t>2.5%</w:t>
      </w:r>
      <w:r>
        <w:rPr>
          <w:rFonts w:hint="default" w:ascii="Times New Roman" w:hAnsi="Times New Roman" w:cs="Times New Roman"/>
          <w:color w:val="auto"/>
          <w:szCs w:val="21"/>
        </w:rPr>
        <w:t>，在工程竣工结算时一次性扣留。质量保证金返还时</w:t>
      </w:r>
      <w:r>
        <w:rPr>
          <w:rFonts w:hint="default" w:ascii="Times New Roman" w:hAnsi="Times New Roman" w:cs="Times New Roman"/>
          <w:color w:val="auto"/>
          <w:szCs w:val="21"/>
          <w:u w:val="single"/>
        </w:rPr>
        <w:t>不计银行利息。</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五、质量保</w:t>
      </w:r>
      <w:r>
        <w:rPr>
          <w:rFonts w:hint="default" w:ascii="Times New Roman" w:hAnsi="Times New Roman" w:cs="Times New Roman"/>
          <w:color w:val="auto"/>
          <w:szCs w:val="21"/>
        </w:rPr>
        <w:t>证</w:t>
      </w:r>
      <w:r>
        <w:rPr>
          <w:rFonts w:hint="default" w:ascii="Times New Roman" w:hAnsi="Times New Roman" w:cs="Times New Roman"/>
          <w:b/>
          <w:color w:val="auto"/>
          <w:szCs w:val="21"/>
        </w:rPr>
        <w:t>金的返还</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u w:val="single"/>
        </w:rPr>
        <w:t>质量保修期满后，经甲、丙方组织验收，如合同约定范围的所有项目及变更增加项目无任何产品质量问题或故障，丙方通知甲方在扣除相应的维修保养违约金和相应赔偿金（如有）后，30日历天内返还剩余质量保</w:t>
      </w:r>
      <w:r>
        <w:rPr>
          <w:rFonts w:hint="default" w:ascii="Times New Roman" w:hAnsi="Times New Roman" w:cs="Times New Roman"/>
          <w:color w:val="auto"/>
          <w:szCs w:val="21"/>
        </w:rPr>
        <w:t>证</w:t>
      </w:r>
      <w:r>
        <w:rPr>
          <w:rFonts w:hint="default" w:ascii="Times New Roman" w:hAnsi="Times New Roman" w:cs="Times New Roman"/>
          <w:color w:val="auto"/>
          <w:szCs w:val="21"/>
          <w:u w:val="single"/>
        </w:rPr>
        <w:t>金（不计息）。</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六、其他</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各方约定的其他工程质量保修事项：</w:t>
      </w:r>
      <w:r>
        <w:rPr>
          <w:rFonts w:hint="default" w:ascii="Times New Roman" w:hAnsi="Times New Roman" w:cs="Times New Roman"/>
          <w:color w:val="auto"/>
          <w:szCs w:val="21"/>
          <w:u w:val="single"/>
        </w:rPr>
        <w:t xml:space="preserve"> 按有关规定执行。</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（盖章）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法定代表人或授权代表：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地址：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电话：</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（盖章）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法定代表人或授权代表：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地址：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电话：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w:t>
      </w:r>
    </w:p>
    <w:p>
      <w:pPr>
        <w:spacing w:line="360" w:lineRule="exact"/>
        <w:ind w:firstLine="420" w:firstLineChars="200"/>
        <w:rPr>
          <w:rFonts w:hint="default" w:ascii="Times New Roman" w:hAnsi="Times New Roman" w:cs="Times New Roman"/>
          <w:color w:val="auto"/>
          <w:szCs w:val="21"/>
        </w:rPr>
      </w:pPr>
    </w:p>
    <w:p>
      <w:pPr>
        <w:pStyle w:val="33"/>
        <w:shd w:val="clear" w:color="auto" w:fill="FFFFFF"/>
        <w:spacing w:before="0" w:beforeAutospacing="0" w:after="0" w:afterAutospacing="0" w:line="360" w:lineRule="exact"/>
        <w:ind w:firstLine="210" w:firstLineChars="1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丙方：</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（盖章）</w:t>
      </w:r>
    </w:p>
    <w:p>
      <w:pPr>
        <w:pStyle w:val="33"/>
        <w:shd w:val="clear" w:color="auto" w:fill="FFFFFF"/>
        <w:spacing w:before="0" w:beforeAutospacing="0" w:after="0" w:afterAutospacing="0" w:line="360" w:lineRule="exact"/>
        <w:ind w:firstLine="210" w:firstLineChars="1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法定代表人或授权代表：</w:t>
      </w:r>
    </w:p>
    <w:p>
      <w:pPr>
        <w:pStyle w:val="33"/>
        <w:shd w:val="clear" w:color="auto" w:fill="FFFFFF"/>
        <w:spacing w:before="0" w:beforeAutospacing="0" w:after="0" w:afterAutospacing="0" w:line="360" w:lineRule="exact"/>
        <w:ind w:firstLine="210" w:firstLineChars="1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地址：</w:t>
      </w:r>
    </w:p>
    <w:p>
      <w:pPr>
        <w:pStyle w:val="33"/>
        <w:shd w:val="clear" w:color="auto" w:fill="FFFFFF"/>
        <w:spacing w:before="0" w:beforeAutospacing="0" w:after="0" w:afterAutospacing="0" w:line="360" w:lineRule="exact"/>
        <w:ind w:firstLine="210" w:firstLineChars="1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电话：</w:t>
      </w:r>
    </w:p>
    <w:p>
      <w:pPr>
        <w:pStyle w:val="33"/>
        <w:shd w:val="clear" w:color="auto" w:fill="FFFFFF"/>
        <w:spacing w:before="0" w:beforeAutospacing="0" w:after="0" w:afterAutospacing="0" w:line="360" w:lineRule="exact"/>
        <w:ind w:firstLine="400" w:firstLineChars="200"/>
        <w:rPr>
          <w:rFonts w:hint="default" w:ascii="Times New Roman" w:hAnsi="Times New Roman" w:cs="Times New Roman"/>
          <w:color w:val="auto"/>
          <w:sz w:val="20"/>
          <w:szCs w:val="20"/>
        </w:rPr>
      </w:pPr>
    </w:p>
    <w:p>
      <w:pPr>
        <w:pStyle w:val="33"/>
        <w:shd w:val="clear" w:color="auto" w:fill="FFFFFF"/>
        <w:spacing w:before="0" w:beforeAutospacing="0" w:after="0" w:afterAutospacing="0" w:line="360" w:lineRule="exact"/>
        <w:ind w:firstLine="400" w:firstLineChars="200"/>
        <w:rPr>
          <w:rFonts w:hint="default" w:ascii="Times New Roman" w:hAnsi="Times New Roman" w:cs="Times New Roman"/>
          <w:color w:val="auto"/>
          <w:sz w:val="20"/>
          <w:szCs w:val="20"/>
        </w:rPr>
      </w:pPr>
    </w:p>
    <w:p>
      <w:pPr>
        <w:pStyle w:val="33"/>
        <w:shd w:val="clear" w:color="auto" w:fill="FFFFFF"/>
        <w:spacing w:before="0" w:beforeAutospacing="0" w:after="0" w:afterAutospacing="0" w:line="360" w:lineRule="exact"/>
        <w:ind w:firstLine="400" w:firstLineChars="200"/>
        <w:rPr>
          <w:rFonts w:hint="default" w:ascii="Times New Roman" w:hAnsi="Times New Roman" w:cs="Times New Roman"/>
          <w:color w:val="auto"/>
          <w:sz w:val="20"/>
          <w:szCs w:val="20"/>
        </w:rPr>
      </w:pPr>
    </w:p>
    <w:p>
      <w:pPr>
        <w:spacing w:line="360" w:lineRule="exact"/>
        <w:ind w:firstLine="400" w:firstLineChars="200"/>
        <w:jc w:val="center"/>
        <w:rPr>
          <w:rFonts w:hint="default" w:ascii="Times New Roman" w:hAnsi="Times New Roman" w:cs="Times New Roman"/>
          <w:color w:val="auto"/>
          <w:sz w:val="20"/>
          <w:szCs w:val="20"/>
        </w:rPr>
        <w:sectPr>
          <w:pgSz w:w="11910" w:h="16840"/>
          <w:pgMar w:top="1440" w:right="1134" w:bottom="1440" w:left="1134" w:header="0" w:footer="704" w:gutter="0"/>
          <w:cols w:space="720" w:num="1"/>
        </w:sectPr>
      </w:pPr>
    </w:p>
    <w:p>
      <w:pPr>
        <w:jc w:val="center"/>
        <w:rPr>
          <w:rFonts w:hint="default" w:ascii="Times New Roman" w:hAnsi="Times New Roman" w:cs="Times New Roman" w:eastAsiaTheme="minorEastAsia"/>
          <w:color w:val="auto"/>
          <w:sz w:val="28"/>
          <w:szCs w:val="28"/>
        </w:rPr>
      </w:pPr>
      <w:r>
        <w:rPr>
          <w:rFonts w:hint="default" w:ascii="Times New Roman" w:hAnsi="Times New Roman" w:cs="Times New Roman" w:eastAsiaTheme="minorEastAsia"/>
          <w:color w:val="auto"/>
          <w:sz w:val="28"/>
          <w:szCs w:val="28"/>
        </w:rPr>
        <w:t>第五章  图纸</w:t>
      </w:r>
    </w:p>
    <w:p>
      <w:pPr>
        <w:spacing w:line="420" w:lineRule="auto"/>
        <w:ind w:firstLine="480"/>
        <w:rPr>
          <w:rFonts w:hint="default" w:ascii="Times New Roman" w:hAnsi="Times New Roman" w:cs="Times New Roman" w:eastAsiaTheme="minorEastAsia"/>
          <w:color w:val="auto"/>
          <w:sz w:val="24"/>
          <w:szCs w:val="24"/>
        </w:rPr>
      </w:pPr>
    </w:p>
    <w:p>
      <w:pPr>
        <w:spacing w:line="360" w:lineRule="exact"/>
        <w:ind w:firstLine="420" w:firstLineChars="200"/>
        <w:jc w:val="center"/>
        <w:rPr>
          <w:rFonts w:hint="default" w:ascii="Times New Roman" w:hAnsi="Times New Roman" w:cs="Times New Roman" w:eastAsiaTheme="minorEastAsia"/>
          <w:color w:val="auto"/>
          <w:lang w:eastAsia="zh-CN"/>
        </w:rPr>
      </w:pPr>
      <w:r>
        <w:rPr>
          <w:rFonts w:hint="default" w:ascii="Times New Roman" w:hAnsi="Times New Roman" w:cs="Times New Roman" w:eastAsiaTheme="minorEastAsia"/>
          <w:color w:val="auto"/>
          <w:lang w:eastAsia="zh-CN"/>
        </w:rPr>
        <w:t>无</w:t>
      </w:r>
    </w:p>
    <w:p>
      <w:pPr>
        <w:rPr>
          <w:rFonts w:hint="default" w:ascii="Times New Roman" w:hAnsi="Times New Roman" w:cs="Times New Roman"/>
          <w:color w:val="auto"/>
        </w:rPr>
      </w:pPr>
    </w:p>
    <w:p>
      <w:pPr>
        <w:spacing w:beforeLines="100" w:afterLines="100"/>
        <w:jc w:val="center"/>
        <w:rPr>
          <w:rFonts w:hint="default" w:ascii="Times New Roman" w:hAnsi="Times New Roman" w:cs="Times New Roman"/>
          <w:b/>
          <w:bCs/>
          <w:color w:val="auto"/>
          <w:sz w:val="28"/>
          <w:szCs w:val="28"/>
        </w:rPr>
      </w:pPr>
      <w:r>
        <w:rPr>
          <w:rFonts w:hint="default" w:ascii="Times New Roman" w:hAnsi="Times New Roman" w:cs="Times New Roman"/>
          <w:b/>
          <w:bCs/>
          <w:color w:val="auto"/>
          <w:szCs w:val="21"/>
        </w:rPr>
        <w:br w:type="page"/>
      </w:r>
      <w:r>
        <w:rPr>
          <w:rFonts w:hint="default" w:ascii="Times New Roman" w:hAnsi="Times New Roman" w:cs="Times New Roman"/>
          <w:b/>
          <w:bCs/>
          <w:color w:val="auto"/>
          <w:sz w:val="28"/>
          <w:szCs w:val="28"/>
        </w:rPr>
        <w:t>第六章  技术标准和要求</w:t>
      </w:r>
    </w:p>
    <w:tbl>
      <w:tblPr>
        <w:tblStyle w:val="38"/>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8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一</w:t>
            </w:r>
          </w:p>
        </w:tc>
        <w:tc>
          <w:tcPr>
            <w:tcW w:w="8529" w:type="dxa"/>
            <w:tcBorders>
              <w:top w:val="single" w:color="auto" w:sz="4" w:space="0"/>
              <w:left w:val="single" w:color="auto" w:sz="4" w:space="0"/>
              <w:bottom w:val="single" w:color="auto" w:sz="4" w:space="0"/>
              <w:right w:val="single" w:color="auto" w:sz="4" w:space="0"/>
            </w:tcBorders>
            <w:vAlign w:val="center"/>
          </w:tcPr>
          <w:p>
            <w:pPr>
              <w:ind w:left="1168" w:hanging="1167" w:hangingChars="556"/>
              <w:rPr>
                <w:rFonts w:hint="default" w:ascii="Times New Roman" w:hAnsi="Times New Roman" w:cs="Times New Roman"/>
                <w:color w:val="auto"/>
                <w:szCs w:val="21"/>
              </w:rPr>
            </w:pPr>
            <w:r>
              <w:rPr>
                <w:rFonts w:hint="default" w:ascii="Times New Roman" w:hAnsi="Times New Roman" w:cs="Times New Roman"/>
                <w:color w:val="auto"/>
                <w:szCs w:val="21"/>
              </w:rPr>
              <w:t>品牌、型号：</w:t>
            </w:r>
            <w:r>
              <w:rPr>
                <w:rFonts w:hint="default" w:ascii="Times New Roman" w:hAnsi="Times New Roman" w:cs="Times New Roman"/>
                <w:bCs/>
                <w:color w:val="auto"/>
                <w:szCs w:val="21"/>
              </w:rPr>
              <w:t>原装进口，品牌自选。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326" w:type="dxa"/>
            <w:tcBorders>
              <w:top w:val="single" w:color="auto" w:sz="4" w:space="0"/>
              <w:left w:val="single" w:color="auto" w:sz="4" w:space="0"/>
              <w:bottom w:val="single" w:color="auto" w:sz="4" w:space="0"/>
              <w:right w:val="single" w:color="auto" w:sz="4" w:space="0"/>
            </w:tcBorders>
            <w:vAlign w:val="center"/>
          </w:tcPr>
          <w:p>
            <w:pPr>
              <w:ind w:left="1466" w:hanging="1465" w:hangingChars="698"/>
              <w:rPr>
                <w:rFonts w:hint="default" w:ascii="Times New Roman" w:hAnsi="Times New Roman" w:cs="Times New Roman"/>
                <w:color w:val="auto"/>
                <w:szCs w:val="21"/>
              </w:rPr>
            </w:pPr>
            <w:r>
              <w:rPr>
                <w:rFonts w:hint="default" w:ascii="Times New Roman" w:hAnsi="Times New Roman" w:cs="Times New Roman"/>
                <w:color w:val="auto"/>
                <w:szCs w:val="21"/>
              </w:rPr>
              <w:t>二</w:t>
            </w:r>
          </w:p>
        </w:tc>
        <w:tc>
          <w:tcPr>
            <w:tcW w:w="8529" w:type="dxa"/>
            <w:tcBorders>
              <w:top w:val="single" w:color="auto" w:sz="4" w:space="0"/>
              <w:left w:val="single" w:color="auto" w:sz="4" w:space="0"/>
              <w:bottom w:val="single" w:color="auto" w:sz="4" w:space="0"/>
              <w:right w:val="single" w:color="auto" w:sz="4" w:space="0"/>
            </w:tcBorders>
            <w:vAlign w:val="center"/>
          </w:tcPr>
          <w:p>
            <w:pPr>
              <w:ind w:left="1025" w:hanging="1024" w:hangingChars="488"/>
              <w:rPr>
                <w:rFonts w:hint="default" w:ascii="Times New Roman" w:hAnsi="Times New Roman" w:cs="Times New Roman"/>
                <w:color w:val="auto"/>
                <w:szCs w:val="21"/>
              </w:rPr>
            </w:pPr>
            <w:r>
              <w:rPr>
                <w:rFonts w:hint="default" w:ascii="Times New Roman" w:hAnsi="Times New Roman" w:cs="Times New Roman"/>
                <w:color w:val="auto"/>
                <w:szCs w:val="21"/>
              </w:rPr>
              <w:t>适用范围：适用于手术室供氧、吸引、压缩空气等医用气体终端转接，提供电源插座。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三</w:t>
            </w:r>
          </w:p>
        </w:tc>
        <w:tc>
          <w:tcPr>
            <w:tcW w:w="8529"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主要技术要求（技术参数和功能）及配置要求：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3.1</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总体要求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3.1.1</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rPr>
                <w:rFonts w:hint="default" w:ascii="Times New Roman" w:hAnsi="Times New Roman" w:cs="Times New Roman"/>
                <w:b/>
                <w:bCs w:val="0"/>
                <w:color w:val="auto"/>
                <w:szCs w:val="21"/>
              </w:rPr>
            </w:pPr>
            <w:r>
              <w:rPr>
                <w:rFonts w:hint="default" w:ascii="Times New Roman" w:hAnsi="Times New Roman" w:cs="Times New Roman"/>
                <w:color w:val="auto"/>
                <w:szCs w:val="21"/>
              </w:rPr>
              <w:t>主体材料为高强度铝合金，防腐蚀，整体全封闭式设计，表面无锐角，无螺丝钉外露，具有升高或旋转限位装置。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bCs/>
                <w:color w:val="auto"/>
                <w:sz w:val="32"/>
                <w:szCs w:val="32"/>
              </w:rPr>
            </w:pPr>
            <w:r>
              <w:rPr>
                <w:rFonts w:hint="default" w:ascii="Times New Roman" w:hAnsi="Times New Roman" w:cs="Times New Roman"/>
                <w:color w:val="auto"/>
              </w:rPr>
              <w:t>▲</w:t>
            </w:r>
            <w:r>
              <w:rPr>
                <w:rFonts w:hint="default" w:ascii="Times New Roman" w:hAnsi="Times New Roman" w:cs="Times New Roman"/>
                <w:color w:val="auto"/>
                <w:szCs w:val="21"/>
              </w:rPr>
              <w:t>3.1.2</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rPr>
                <w:rFonts w:hint="default" w:ascii="Times New Roman" w:hAnsi="Times New Roman" w:cs="Times New Roman"/>
                <w:b/>
                <w:bCs w:val="0"/>
                <w:color w:val="auto"/>
                <w:szCs w:val="21"/>
              </w:rPr>
            </w:pPr>
            <w:r>
              <w:rPr>
                <w:rFonts w:hint="default" w:ascii="Times New Roman" w:hAnsi="Times New Roman" w:cs="Times New Roman"/>
                <w:color w:val="auto"/>
                <w:szCs w:val="21"/>
              </w:rPr>
              <w:t>吊塔轴承为滚针式设计，两轴之间采用面受力，而不是点受力的球状滚珠安装方式，以保证吊塔的承重安全性及固定性。投标时提供详细说明及图片样式。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3.1.3</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rPr>
                <w:rFonts w:hint="default" w:ascii="Times New Roman" w:hAnsi="Times New Roman" w:cs="Times New Roman"/>
                <w:b/>
                <w:bCs w:val="0"/>
                <w:color w:val="auto"/>
                <w:szCs w:val="21"/>
              </w:rPr>
            </w:pPr>
            <w:r>
              <w:rPr>
                <w:rFonts w:hint="default" w:ascii="Times New Roman" w:hAnsi="Times New Roman" w:cs="Times New Roman"/>
                <w:color w:val="auto"/>
                <w:szCs w:val="21"/>
              </w:rPr>
              <w:t>吊塔臂长有多种长度可供选择，并可根据医院实际情况自由组合，每层平台都带有导轨。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3.1.4</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rPr>
                <w:rFonts w:hint="default" w:ascii="Times New Roman" w:hAnsi="Times New Roman" w:cs="Times New Roman"/>
                <w:b/>
                <w:bCs w:val="0"/>
                <w:color w:val="auto"/>
                <w:szCs w:val="21"/>
              </w:rPr>
            </w:pPr>
            <w:r>
              <w:rPr>
                <w:rFonts w:hint="default" w:ascii="Times New Roman" w:hAnsi="Times New Roman" w:cs="Times New Roman"/>
                <w:color w:val="auto"/>
                <w:szCs w:val="21"/>
              </w:rPr>
              <w:t>气体终端要求：（要求和医疗综合楼气体工程的气体终端标准相同，要求德标）。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3.1.5</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rPr>
                <w:rFonts w:hint="default" w:ascii="Times New Roman" w:hAnsi="Times New Roman" w:cs="Times New Roman"/>
                <w:b/>
                <w:bCs w:val="0"/>
                <w:color w:val="auto"/>
                <w:szCs w:val="21"/>
              </w:rPr>
            </w:pPr>
            <w:r>
              <w:rPr>
                <w:rFonts w:hint="default" w:ascii="Times New Roman" w:hAnsi="Times New Roman" w:cs="Times New Roman"/>
                <w:color w:val="auto"/>
                <w:szCs w:val="21"/>
              </w:rPr>
              <w:t>各种气体终端统一配置，均标识为不同颜色和不同形状，具有防误插功能，与所投吊塔同品牌，德标，原装进口。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3.1.6</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rPr>
                <w:rFonts w:hint="default" w:ascii="Times New Roman" w:hAnsi="Times New Roman" w:cs="Times New Roman"/>
                <w:b/>
                <w:bCs w:val="0"/>
                <w:color w:val="auto"/>
                <w:szCs w:val="21"/>
              </w:rPr>
            </w:pPr>
            <w:r>
              <w:rPr>
                <w:rFonts w:hint="default" w:ascii="Times New Roman" w:hAnsi="Times New Roman" w:cs="Times New Roman"/>
                <w:color w:val="auto"/>
                <w:szCs w:val="21"/>
              </w:rPr>
              <w:t>气体终端具有通、断、拔、原位待接通状态功能，分步弹出，减少医护人员的意外伤害。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3.1.7</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rPr>
                <w:rFonts w:hint="default" w:ascii="Times New Roman" w:hAnsi="Times New Roman" w:cs="Times New Roman"/>
                <w:b/>
                <w:bCs w:val="0"/>
                <w:color w:val="auto"/>
                <w:szCs w:val="21"/>
              </w:rPr>
            </w:pPr>
            <w:r>
              <w:rPr>
                <w:rFonts w:hint="default" w:ascii="Times New Roman" w:hAnsi="Times New Roman" w:cs="Times New Roman"/>
                <w:color w:val="auto"/>
                <w:szCs w:val="21"/>
              </w:rPr>
              <w:t>插座插头可保证不少于5万次的插拔，可带气维修。投标时提供详细说明及图片样式。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3.1.8</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rPr>
                <w:rFonts w:hint="default" w:ascii="Times New Roman" w:hAnsi="Times New Roman" w:cs="Times New Roman"/>
                <w:b/>
                <w:bCs w:val="0"/>
                <w:color w:val="auto"/>
                <w:szCs w:val="21"/>
              </w:rPr>
            </w:pPr>
            <w:r>
              <w:rPr>
                <w:rFonts w:hint="default" w:ascii="Times New Roman" w:hAnsi="Times New Roman" w:cs="Times New Roman"/>
                <w:color w:val="auto"/>
                <w:szCs w:val="21"/>
              </w:rPr>
              <w:t>麻醉废气排放系统采用文丘里原理，正压持续排放，以避免麻醉机新鲜气体流失和出现低压报警，并配有专门的废气排放接头。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3.1.9</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rPr>
                <w:rFonts w:hint="default" w:ascii="Times New Roman" w:hAnsi="Times New Roman" w:cs="Times New Roman"/>
                <w:b/>
                <w:bCs w:val="0"/>
                <w:color w:val="auto"/>
                <w:szCs w:val="21"/>
              </w:rPr>
            </w:pPr>
            <w:r>
              <w:rPr>
                <w:rFonts w:hint="default" w:ascii="Times New Roman" w:hAnsi="Times New Roman" w:cs="Times New Roman"/>
                <w:color w:val="auto"/>
                <w:szCs w:val="21"/>
              </w:rPr>
              <w:t>气口工作压力：O</w:t>
            </w:r>
            <w:r>
              <w:rPr>
                <w:rFonts w:hint="default" w:ascii="Times New Roman" w:hAnsi="Times New Roman" w:cs="Times New Roman"/>
                <w:color w:val="auto"/>
                <w:szCs w:val="21"/>
                <w:vertAlign w:val="subscript"/>
              </w:rPr>
              <w:t>2</w:t>
            </w:r>
            <w:r>
              <w:rPr>
                <w:rFonts w:hint="default" w:ascii="Times New Roman" w:hAnsi="Times New Roman" w:cs="Times New Roman"/>
                <w:color w:val="auto"/>
                <w:szCs w:val="21"/>
              </w:rPr>
              <w:t>≥5kgf/cm</w:t>
            </w:r>
            <w:r>
              <w:rPr>
                <w:rFonts w:hint="default" w:ascii="Times New Roman" w:hAnsi="Times New Roman" w:cs="Times New Roman"/>
                <w:color w:val="auto"/>
                <w:szCs w:val="21"/>
                <w:vertAlign w:val="superscript"/>
              </w:rPr>
              <w:t>2</w:t>
            </w:r>
            <w:r>
              <w:rPr>
                <w:rFonts w:hint="default" w:ascii="Times New Roman" w:hAnsi="Times New Roman" w:cs="Times New Roman"/>
                <w:color w:val="auto"/>
                <w:szCs w:val="21"/>
              </w:rPr>
              <w:t>，CO</w:t>
            </w:r>
            <w:r>
              <w:rPr>
                <w:rFonts w:hint="default" w:ascii="Times New Roman" w:hAnsi="Times New Roman" w:cs="Times New Roman"/>
                <w:color w:val="auto"/>
                <w:szCs w:val="21"/>
                <w:vertAlign w:val="subscript"/>
              </w:rPr>
              <w:t>2</w:t>
            </w:r>
            <w:r>
              <w:rPr>
                <w:rFonts w:hint="default" w:ascii="Times New Roman" w:hAnsi="Times New Roman" w:cs="Times New Roman"/>
                <w:color w:val="auto"/>
                <w:szCs w:val="21"/>
              </w:rPr>
              <w:t>、Air≥10kgf/cm</w:t>
            </w:r>
            <w:r>
              <w:rPr>
                <w:rFonts w:hint="default" w:ascii="Times New Roman" w:hAnsi="Times New Roman" w:cs="Times New Roman"/>
                <w:color w:val="auto"/>
                <w:szCs w:val="21"/>
                <w:vertAlign w:val="superscript"/>
              </w:rPr>
              <w:t>2</w:t>
            </w: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3.1.10</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rPr>
                <w:rFonts w:hint="default" w:ascii="Times New Roman" w:hAnsi="Times New Roman" w:cs="Times New Roman"/>
                <w:b/>
                <w:bCs w:val="0"/>
                <w:color w:val="auto"/>
                <w:szCs w:val="21"/>
              </w:rPr>
            </w:pPr>
            <w:r>
              <w:rPr>
                <w:rFonts w:hint="default" w:ascii="Times New Roman" w:hAnsi="Times New Roman" w:cs="Times New Roman"/>
                <w:color w:val="auto"/>
                <w:szCs w:val="21"/>
              </w:rPr>
              <w:t>吊塔插座为交流电220V并有单独接地线，每一插座需带等电位接地端子，接地线不得与吊塔接地共用。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rPr>
              <w:t>▲</w:t>
            </w:r>
            <w:r>
              <w:rPr>
                <w:rFonts w:hint="default" w:ascii="Times New Roman" w:hAnsi="Times New Roman" w:cs="Times New Roman"/>
                <w:color w:val="auto"/>
                <w:szCs w:val="21"/>
              </w:rPr>
              <w:t>3.1.11</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rPr>
                <w:rFonts w:hint="default" w:ascii="Times New Roman" w:hAnsi="Times New Roman" w:cs="Times New Roman"/>
                <w:b/>
                <w:bCs w:val="0"/>
                <w:color w:val="auto"/>
                <w:szCs w:val="21"/>
              </w:rPr>
            </w:pPr>
            <w:r>
              <w:rPr>
                <w:rFonts w:hint="default" w:ascii="Times New Roman" w:hAnsi="Times New Roman" w:cs="Times New Roman"/>
                <w:color w:val="auto"/>
                <w:szCs w:val="21"/>
              </w:rPr>
              <w:t>气体终端内部：采用2个插销式结构固定插头，非采用滚珠式结构。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ind w:right="72"/>
              <w:rPr>
                <w:rFonts w:hint="default" w:ascii="Times New Roman" w:hAnsi="Times New Roman" w:cs="Times New Roman"/>
                <w:color w:val="auto"/>
                <w:szCs w:val="21"/>
              </w:rPr>
            </w:pPr>
            <w:r>
              <w:rPr>
                <w:rFonts w:hint="default" w:ascii="Times New Roman" w:hAnsi="Times New Roman" w:cs="Times New Roman"/>
                <w:color w:val="auto"/>
              </w:rPr>
              <w:t>▲</w:t>
            </w:r>
            <w:r>
              <w:rPr>
                <w:rFonts w:hint="default" w:ascii="Times New Roman" w:hAnsi="Times New Roman" w:cs="Times New Roman"/>
                <w:color w:val="auto"/>
                <w:szCs w:val="21"/>
              </w:rPr>
              <w:t>3.1.12</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rPr>
                <w:rFonts w:hint="default" w:ascii="Times New Roman" w:hAnsi="Times New Roman" w:cs="Times New Roman"/>
                <w:b/>
                <w:bCs w:val="0"/>
                <w:color w:val="auto"/>
                <w:szCs w:val="21"/>
              </w:rPr>
            </w:pPr>
            <w:r>
              <w:rPr>
                <w:rFonts w:hint="default" w:ascii="Times New Roman" w:hAnsi="Times New Roman" w:cs="Times New Roman"/>
                <w:color w:val="auto"/>
                <w:szCs w:val="21"/>
              </w:rPr>
              <w:t>可根据需要安装通讯接口（HIS、LIS、PACS、手术麻醉系统）、视频接口、网络接口和护士呼叫等设备，布线标准与医院智能化施工单位同标准。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3.2</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bCs/>
                <w:color w:val="auto"/>
                <w:szCs w:val="21"/>
              </w:rPr>
              <w:t>机械麻醉塔：11套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color w:val="auto"/>
                <w:szCs w:val="21"/>
              </w:rPr>
            </w:pPr>
            <w:r>
              <w:rPr>
                <w:rFonts w:hint="default" w:ascii="Times New Roman" w:hAnsi="Times New Roman" w:cs="Times New Roman"/>
                <w:color w:val="auto"/>
                <w:szCs w:val="21"/>
              </w:rPr>
              <w:t>3.2.1</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jc w:val="left"/>
              <w:rPr>
                <w:rFonts w:hint="default" w:ascii="Times New Roman" w:hAnsi="Times New Roman" w:cs="Times New Roman"/>
                <w:color w:val="auto"/>
                <w:szCs w:val="21"/>
              </w:rPr>
            </w:pPr>
            <w:r>
              <w:rPr>
                <w:rFonts w:hint="default" w:ascii="Times New Roman" w:hAnsi="Times New Roman" w:cs="Times New Roman"/>
                <w:color w:val="auto"/>
                <w:szCs w:val="21"/>
                <w:lang w:val="en-US"/>
              </w:rPr>
              <w:t>吊塔净承重：≥200kg。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bCs/>
                <w:color w:val="auto"/>
                <w:sz w:val="32"/>
                <w:szCs w:val="32"/>
              </w:rPr>
            </w:pPr>
            <w:r>
              <w:rPr>
                <w:rFonts w:hint="default" w:ascii="Times New Roman" w:hAnsi="Times New Roman" w:cs="Times New Roman"/>
                <w:color w:val="auto"/>
                <w:szCs w:val="21"/>
              </w:rPr>
              <w:t>3.2.2</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jc w:val="left"/>
              <w:rPr>
                <w:rFonts w:hint="default" w:ascii="Times New Roman" w:hAnsi="Times New Roman" w:cs="Times New Roman"/>
                <w:color w:val="auto"/>
                <w:szCs w:val="21"/>
              </w:rPr>
            </w:pPr>
            <w:r>
              <w:rPr>
                <w:rFonts w:hint="default" w:ascii="Times New Roman" w:hAnsi="Times New Roman" w:cs="Times New Roman"/>
                <w:color w:val="auto"/>
                <w:szCs w:val="21"/>
                <w:lang w:val="en-US"/>
              </w:rPr>
              <w:t>双臂，旋转半径：≥1200mm。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3.2.3</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jc w:val="left"/>
              <w:rPr>
                <w:rFonts w:hint="default" w:ascii="Times New Roman" w:hAnsi="Times New Roman" w:cs="Times New Roman"/>
                <w:color w:val="auto"/>
                <w:szCs w:val="21"/>
                <w:lang w:val="en-US"/>
              </w:rPr>
            </w:pPr>
            <w:r>
              <w:rPr>
                <w:rFonts w:hint="default" w:ascii="Times New Roman" w:hAnsi="Times New Roman" w:cs="Times New Roman"/>
                <w:color w:val="auto"/>
                <w:szCs w:val="21"/>
                <w:lang w:val="en-US"/>
              </w:rPr>
              <w:t>吊臂（包括吊臂柱）旋转角度：≥330º。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3.2.4</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jc w:val="left"/>
              <w:rPr>
                <w:rFonts w:hint="default" w:ascii="Times New Roman" w:hAnsi="Times New Roman" w:cs="Times New Roman"/>
                <w:color w:val="auto"/>
                <w:szCs w:val="21"/>
              </w:rPr>
            </w:pPr>
            <w:r>
              <w:rPr>
                <w:rFonts w:hint="default" w:ascii="Times New Roman" w:hAnsi="Times New Roman" w:cs="Times New Roman"/>
                <w:color w:val="auto"/>
                <w:szCs w:val="21"/>
                <w:lang w:val="en-US"/>
              </w:rPr>
              <w:t>吊柱式箱体，长度：≥800mm。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3.2.5</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jc w:val="left"/>
              <w:rPr>
                <w:rFonts w:hint="default" w:ascii="Times New Roman" w:hAnsi="Times New Roman" w:cs="Times New Roman"/>
                <w:color w:val="auto"/>
                <w:szCs w:val="21"/>
              </w:rPr>
            </w:pPr>
            <w:r>
              <w:rPr>
                <w:rFonts w:hint="default" w:ascii="Times New Roman" w:hAnsi="Times New Roman" w:cs="Times New Roman"/>
                <w:color w:val="auto"/>
                <w:szCs w:val="21"/>
                <w:lang w:val="en-US"/>
              </w:rPr>
              <w:t>每套配置德标气源（包括接口、插头）：氧气*2、真空吸引*2、压缩空气*2、麻醉废气排放*2，二氧化碳*2。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3.2.6</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jc w:val="left"/>
              <w:rPr>
                <w:rFonts w:hint="default" w:ascii="Times New Roman" w:hAnsi="Times New Roman" w:cs="Times New Roman"/>
                <w:color w:val="auto"/>
                <w:szCs w:val="21"/>
              </w:rPr>
            </w:pPr>
            <w:r>
              <w:rPr>
                <w:rFonts w:hint="default" w:ascii="Times New Roman" w:hAnsi="Times New Roman" w:cs="Times New Roman"/>
                <w:color w:val="auto"/>
                <w:szCs w:val="21"/>
              </w:rPr>
              <w:t>电源插座(中标，10A)：</w:t>
            </w:r>
            <w:r>
              <w:rPr>
                <w:rFonts w:hint="default" w:ascii="Times New Roman" w:hAnsi="Times New Roman" w:cs="Times New Roman"/>
                <w:color w:val="auto"/>
                <w:szCs w:val="21"/>
                <w:lang w:val="en-US"/>
              </w:rPr>
              <w:t>10个。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3.2.7</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jc w:val="left"/>
              <w:rPr>
                <w:rFonts w:hint="default" w:ascii="Times New Roman" w:hAnsi="Times New Roman" w:cs="Times New Roman"/>
                <w:color w:val="auto"/>
                <w:szCs w:val="21"/>
                <w:lang w:val="en-US"/>
              </w:rPr>
            </w:pPr>
            <w:r>
              <w:rPr>
                <w:rFonts w:hint="default" w:ascii="Times New Roman" w:hAnsi="Times New Roman" w:cs="Times New Roman"/>
                <w:color w:val="auto"/>
                <w:szCs w:val="21"/>
                <w:lang w:val="en-US"/>
              </w:rPr>
              <w:t>等电位接地端：2个。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3.2.8</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jc w:val="left"/>
              <w:rPr>
                <w:rFonts w:hint="default" w:ascii="Times New Roman" w:hAnsi="Times New Roman" w:cs="Times New Roman"/>
                <w:color w:val="auto"/>
                <w:szCs w:val="21"/>
              </w:rPr>
            </w:pPr>
            <w:r>
              <w:rPr>
                <w:rFonts w:hint="default" w:ascii="Times New Roman" w:hAnsi="Times New Roman" w:cs="Times New Roman"/>
                <w:color w:val="auto"/>
                <w:szCs w:val="21"/>
                <w:lang w:val="en-US"/>
              </w:rPr>
              <w:t>网络接口（RJ45）：3个。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rPr>
              <w:t>▲</w:t>
            </w:r>
            <w:r>
              <w:rPr>
                <w:rFonts w:hint="default" w:ascii="Times New Roman" w:hAnsi="Times New Roman" w:cs="Times New Roman"/>
                <w:color w:val="auto"/>
                <w:szCs w:val="21"/>
              </w:rPr>
              <w:t>3.2.9</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jc w:val="left"/>
              <w:rPr>
                <w:rFonts w:hint="default" w:ascii="Times New Roman" w:hAnsi="Times New Roman" w:cs="Times New Roman"/>
                <w:color w:val="auto"/>
                <w:szCs w:val="21"/>
                <w:lang w:val="en-US"/>
              </w:rPr>
            </w:pPr>
            <w:r>
              <w:rPr>
                <w:rFonts w:hint="default" w:ascii="Times New Roman" w:hAnsi="Times New Roman" w:cs="Times New Roman"/>
                <w:color w:val="auto"/>
                <w:szCs w:val="21"/>
                <w:lang w:val="en-US"/>
              </w:rPr>
              <w:t>配氧气泄露报警系统</w:t>
            </w:r>
            <w:r>
              <w:rPr>
                <w:rFonts w:hint="default" w:ascii="Times New Roman" w:hAnsi="Times New Roman" w:cs="Times New Roman"/>
                <w:color w:val="auto"/>
                <w:szCs w:val="21"/>
              </w:rPr>
              <w:t>：</w:t>
            </w:r>
            <w:r>
              <w:rPr>
                <w:rFonts w:hint="default" w:ascii="Times New Roman" w:hAnsi="Times New Roman" w:cs="Times New Roman"/>
                <w:color w:val="auto"/>
                <w:szCs w:val="21"/>
                <w:lang w:val="en-US"/>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rPr>
            </w:pPr>
            <w:r>
              <w:rPr>
                <w:rFonts w:hint="default" w:ascii="Times New Roman" w:hAnsi="Times New Roman" w:cs="Times New Roman"/>
                <w:color w:val="auto"/>
                <w:szCs w:val="21"/>
              </w:rPr>
              <w:t>3.2.10</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jc w:val="left"/>
              <w:rPr>
                <w:rFonts w:hint="default" w:ascii="Times New Roman" w:hAnsi="Times New Roman" w:cs="Times New Roman"/>
                <w:color w:val="auto"/>
                <w:szCs w:val="21"/>
                <w:lang w:val="en-US"/>
              </w:rPr>
            </w:pPr>
            <w:r>
              <w:rPr>
                <w:rFonts w:hint="default" w:ascii="Times New Roman" w:hAnsi="Times New Roman" w:cs="Times New Roman"/>
                <w:color w:val="auto"/>
                <w:szCs w:val="21"/>
                <w:lang w:val="en-US"/>
              </w:rPr>
              <w:t>配备手麻信息系统固定硬件：1套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rPr>
            </w:pPr>
            <w:r>
              <w:rPr>
                <w:rFonts w:hint="default" w:ascii="Times New Roman" w:hAnsi="Times New Roman" w:cs="Times New Roman"/>
                <w:color w:val="auto"/>
                <w:szCs w:val="21"/>
              </w:rPr>
              <w:t>3.2.11</w:t>
            </w:r>
          </w:p>
        </w:tc>
        <w:tc>
          <w:tcPr>
            <w:tcW w:w="8529" w:type="dxa"/>
            <w:tcBorders>
              <w:top w:val="single" w:color="auto" w:sz="4" w:space="0"/>
              <w:left w:val="single" w:color="auto" w:sz="4" w:space="0"/>
              <w:bottom w:val="single" w:color="auto" w:sz="4" w:space="0"/>
              <w:right w:val="single" w:color="auto" w:sz="4" w:space="0"/>
            </w:tcBorders>
            <w:vAlign w:val="center"/>
          </w:tcPr>
          <w:p>
            <w:pPr>
              <w:pStyle w:val="136"/>
              <w:jc w:val="left"/>
              <w:rPr>
                <w:rFonts w:hint="default" w:ascii="Times New Roman" w:hAnsi="Times New Roman" w:cs="Times New Roman"/>
                <w:color w:val="auto"/>
                <w:szCs w:val="21"/>
                <w:lang w:val="en-US"/>
              </w:rPr>
            </w:pPr>
            <w:r>
              <w:rPr>
                <w:rFonts w:hint="default" w:ascii="Times New Roman" w:hAnsi="Times New Roman" w:cs="Times New Roman"/>
                <w:color w:val="auto"/>
                <w:szCs w:val="21"/>
                <w:lang w:val="en-US"/>
              </w:rPr>
              <w:t>仪器平台：尺寸≥480mm*450mm，1层，平台固定于垂直箱体上，侧面带导轨，承重≥50 kg，带操作把手。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color w:val="auto"/>
                <w:szCs w:val="21"/>
              </w:rPr>
              <w:t>3.3</w:t>
            </w:r>
          </w:p>
        </w:tc>
        <w:tc>
          <w:tcPr>
            <w:tcW w:w="852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b/>
                <w:color w:val="auto"/>
                <w:szCs w:val="21"/>
              </w:rPr>
            </w:pPr>
            <w:r>
              <w:rPr>
                <w:rFonts w:hint="default" w:ascii="Times New Roman" w:hAnsi="Times New Roman" w:cs="Times New Roman"/>
                <w:b/>
                <w:bCs/>
                <w:color w:val="auto"/>
                <w:szCs w:val="21"/>
              </w:rPr>
              <w:t>机械外科塔：8套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3.3.1</w:t>
            </w:r>
          </w:p>
        </w:tc>
        <w:tc>
          <w:tcPr>
            <w:tcW w:w="8529"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吊塔承重：≥180kg。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3.3.2</w:t>
            </w:r>
          </w:p>
        </w:tc>
        <w:tc>
          <w:tcPr>
            <w:tcW w:w="8529"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双悬臂：旋转半径：≥1200mm。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3.3.3</w:t>
            </w:r>
          </w:p>
        </w:tc>
        <w:tc>
          <w:tcPr>
            <w:tcW w:w="8529"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吊臂旋转角度：≥330°。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3.3.4</w:t>
            </w:r>
          </w:p>
        </w:tc>
        <w:tc>
          <w:tcPr>
            <w:tcW w:w="8529"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吊柱式箱体，长度：≥1200mm。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▲3.3.5</w:t>
            </w:r>
          </w:p>
        </w:tc>
        <w:tc>
          <w:tcPr>
            <w:tcW w:w="8529"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配置双重刹车系统(电磁刹车+摩擦刹车)，保证设备稳定无漂移。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3.3.6</w:t>
            </w:r>
          </w:p>
        </w:tc>
        <w:tc>
          <w:tcPr>
            <w:tcW w:w="8529"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仪器平台：4层，尺寸：≥480mm*450mm，抽屉1个，尺寸：≥480mm*450*90mm。（其中1层带操作把手）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3.3.7</w:t>
            </w:r>
          </w:p>
        </w:tc>
        <w:tc>
          <w:tcPr>
            <w:tcW w:w="8529"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每套配置气源（包括接口、插头及附件）：真空吸引*1、二氧化碳*1。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3.3.8</w:t>
            </w:r>
          </w:p>
        </w:tc>
        <w:tc>
          <w:tcPr>
            <w:tcW w:w="8529"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电源插座(中标，10A)：8个，电源插座(中标，16A)：2个。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3.3.9</w:t>
            </w:r>
          </w:p>
        </w:tc>
        <w:tc>
          <w:tcPr>
            <w:tcW w:w="8529"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等电位接地端：2个。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3.3.10</w:t>
            </w:r>
          </w:p>
        </w:tc>
        <w:tc>
          <w:tcPr>
            <w:tcW w:w="8529" w:type="dxa"/>
            <w:tcBorders>
              <w:top w:val="single" w:color="auto" w:sz="4" w:space="0"/>
              <w:left w:val="single" w:color="auto" w:sz="4" w:space="0"/>
              <w:bottom w:val="single" w:color="auto" w:sz="4" w:space="0"/>
              <w:right w:val="single" w:color="auto" w:sz="4" w:space="0"/>
            </w:tcBorders>
            <w:vAlign w:val="bottom"/>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网络接口（RJ45）：2个。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四</w:t>
            </w:r>
          </w:p>
        </w:tc>
        <w:tc>
          <w:tcPr>
            <w:tcW w:w="8529"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附加必备条件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326" w:type="dxa"/>
            <w:tcBorders>
              <w:top w:val="single" w:color="auto" w:sz="4" w:space="0"/>
              <w:left w:val="single" w:color="auto" w:sz="4" w:space="0"/>
              <w:bottom w:val="single" w:color="auto" w:sz="4" w:space="0"/>
              <w:right w:val="single" w:color="auto" w:sz="4" w:space="0"/>
            </w:tcBorders>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4.1</w:t>
            </w:r>
          </w:p>
        </w:tc>
        <w:tc>
          <w:tcPr>
            <w:tcW w:w="8529" w:type="dxa"/>
            <w:tcBorders>
              <w:top w:val="single" w:color="auto" w:sz="4" w:space="0"/>
              <w:left w:val="single" w:color="auto" w:sz="4" w:space="0"/>
              <w:bottom w:val="single" w:color="auto" w:sz="4" w:space="0"/>
              <w:right w:val="single" w:color="auto" w:sz="4" w:space="0"/>
            </w:tcBorders>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提供设备原厂技术参数指标。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326" w:type="dxa"/>
            <w:tcBorders>
              <w:top w:val="single" w:color="auto" w:sz="4" w:space="0"/>
              <w:left w:val="single" w:color="auto" w:sz="4" w:space="0"/>
              <w:bottom w:val="single" w:color="auto" w:sz="4" w:space="0"/>
              <w:right w:val="single" w:color="auto" w:sz="4" w:space="0"/>
            </w:tcBorders>
            <w:vAlign w:val="center"/>
          </w:tcPr>
          <w:p>
            <w:pPr>
              <w:jc w:val="left"/>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rPr>
              <w:t>4.</w:t>
            </w:r>
            <w:r>
              <w:rPr>
                <w:rFonts w:hint="default" w:ascii="Times New Roman" w:hAnsi="Times New Roman" w:cs="Times New Roman"/>
                <w:color w:val="auto"/>
                <w:szCs w:val="21"/>
                <w:lang w:val="en-US" w:eastAsia="zh-CN"/>
              </w:rPr>
              <w:t>2</w:t>
            </w:r>
          </w:p>
        </w:tc>
        <w:tc>
          <w:tcPr>
            <w:tcW w:w="8529"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投标机型为各个厂家最新型号。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326" w:type="dxa"/>
            <w:tcBorders>
              <w:top w:val="single" w:color="auto" w:sz="4" w:space="0"/>
              <w:left w:val="single" w:color="auto" w:sz="4" w:space="0"/>
              <w:bottom w:val="single" w:color="auto" w:sz="4" w:space="0"/>
              <w:right w:val="single" w:color="auto" w:sz="4" w:space="0"/>
            </w:tcBorders>
            <w:vAlign w:val="center"/>
          </w:tcPr>
          <w:p>
            <w:pPr>
              <w:jc w:val="left"/>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rPr>
              <w:t>4.</w:t>
            </w:r>
            <w:r>
              <w:rPr>
                <w:rFonts w:hint="default" w:ascii="Times New Roman" w:hAnsi="Times New Roman" w:cs="Times New Roman"/>
                <w:color w:val="auto"/>
                <w:szCs w:val="21"/>
                <w:lang w:val="en-US" w:eastAsia="zh-CN"/>
              </w:rPr>
              <w:t>3</w:t>
            </w:r>
          </w:p>
        </w:tc>
        <w:tc>
          <w:tcPr>
            <w:tcW w:w="8529"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提供所投产品的原厂技术白皮书（DATASHEET）备查。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1326" w:type="dxa"/>
            <w:tcBorders>
              <w:top w:val="single" w:color="auto" w:sz="4" w:space="0"/>
              <w:left w:val="single" w:color="auto" w:sz="4" w:space="0"/>
              <w:bottom w:val="single" w:color="auto" w:sz="4" w:space="0"/>
              <w:right w:val="single" w:color="auto" w:sz="4" w:space="0"/>
            </w:tcBorders>
            <w:vAlign w:val="center"/>
          </w:tcPr>
          <w:p>
            <w:pPr>
              <w:jc w:val="left"/>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rPr>
              <w:t>4.</w:t>
            </w:r>
            <w:r>
              <w:rPr>
                <w:rFonts w:hint="default" w:ascii="Times New Roman" w:hAnsi="Times New Roman" w:cs="Times New Roman"/>
                <w:color w:val="auto"/>
                <w:szCs w:val="21"/>
                <w:lang w:val="en-US" w:eastAsia="zh-CN"/>
              </w:rPr>
              <w:t>4</w:t>
            </w:r>
          </w:p>
        </w:tc>
        <w:tc>
          <w:tcPr>
            <w:tcW w:w="8529" w:type="dxa"/>
            <w:tcBorders>
              <w:top w:val="single" w:color="auto" w:sz="4" w:space="0"/>
              <w:left w:val="single" w:color="auto" w:sz="4" w:space="0"/>
              <w:bottom w:val="single" w:color="auto" w:sz="4" w:space="0"/>
              <w:right w:val="single" w:color="auto" w:sz="4" w:space="0"/>
            </w:tcBorders>
          </w:tcPr>
          <w:p>
            <w:pPr>
              <w:rPr>
                <w:rFonts w:hint="default" w:ascii="Times New Roman" w:hAnsi="Times New Roman" w:cs="Times New Roman"/>
                <w:color w:val="auto"/>
                <w:szCs w:val="21"/>
              </w:rPr>
            </w:pPr>
            <w:r>
              <w:rPr>
                <w:rFonts w:hint="default" w:ascii="Times New Roman" w:hAnsi="Times New Roman" w:cs="Times New Roman"/>
                <w:color w:val="auto"/>
                <w:szCs w:val="21"/>
              </w:rPr>
              <w:t>提供产品应为全新产品，其生产日期不得早于到货日期1年。</w:t>
            </w:r>
          </w:p>
        </w:tc>
      </w:tr>
    </w:tbl>
    <w:p>
      <w:pPr>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注：1. 所有气体终端均应带防护罩。</w:t>
      </w:r>
    </w:p>
    <w:p>
      <w:pPr>
        <w:pStyle w:val="2"/>
        <w:spacing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 插座之间间距按照规范布置。</w:t>
      </w:r>
    </w:p>
    <w:p>
      <w:pPr>
        <w:pStyle w:val="2"/>
        <w:rPr>
          <w:rFonts w:hint="default" w:ascii="Times New Roman" w:hAnsi="Times New Roman" w:cs="Times New Roman"/>
          <w:color w:val="auto"/>
        </w:rPr>
      </w:pPr>
    </w:p>
    <w:p>
      <w:pPr>
        <w:pStyle w:val="2"/>
        <w:spacing w:afterLines="100"/>
        <w:jc w:val="center"/>
        <w:rPr>
          <w:rFonts w:hint="default" w:ascii="Times New Roman" w:hAnsi="Times New Roman" w:cs="Times New Roman"/>
          <w:b/>
          <w:color w:val="auto"/>
        </w:rPr>
      </w:pPr>
      <w:r>
        <w:rPr>
          <w:rFonts w:hint="default" w:ascii="Times New Roman" w:hAnsi="Times New Roman" w:cs="Times New Roman"/>
          <w:b/>
          <w:color w:val="auto"/>
        </w:rPr>
        <w:t>品牌表</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0"/>
        <w:gridCol w:w="3970"/>
        <w:gridCol w:w="4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tcPr>
          <w:p>
            <w:pPr>
              <w:spacing w:line="320" w:lineRule="exact"/>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序号</w:t>
            </w:r>
          </w:p>
        </w:tc>
        <w:tc>
          <w:tcPr>
            <w:tcW w:w="2014" w:type="pct"/>
          </w:tcPr>
          <w:p>
            <w:pPr>
              <w:spacing w:line="320" w:lineRule="exact"/>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材料设备名称</w:t>
            </w:r>
          </w:p>
        </w:tc>
        <w:tc>
          <w:tcPr>
            <w:tcW w:w="2433" w:type="pct"/>
          </w:tcPr>
          <w:p>
            <w:pPr>
              <w:spacing w:line="320" w:lineRule="exact"/>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推荐品牌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tcPr>
          <w:p>
            <w:pPr>
              <w:spacing w:line="320" w:lineRule="exact"/>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1</w:t>
            </w:r>
          </w:p>
        </w:tc>
        <w:tc>
          <w:tcPr>
            <w:tcW w:w="2014" w:type="pct"/>
          </w:tcPr>
          <w:p>
            <w:pPr>
              <w:spacing w:line="320" w:lineRule="exact"/>
              <w:jc w:val="center"/>
              <w:rPr>
                <w:rFonts w:hint="default" w:ascii="Times New Roman" w:hAnsi="Times New Roman" w:cs="Times New Roman"/>
                <w:b/>
                <w:bCs/>
                <w:color w:val="auto"/>
                <w:szCs w:val="21"/>
              </w:rPr>
            </w:pPr>
            <w:r>
              <w:rPr>
                <w:rFonts w:hint="default" w:ascii="Times New Roman" w:hAnsi="Times New Roman" w:cs="Times New Roman"/>
                <w:color w:val="auto"/>
                <w:szCs w:val="21"/>
              </w:rPr>
              <w:t>插座</w:t>
            </w:r>
          </w:p>
        </w:tc>
        <w:tc>
          <w:tcPr>
            <w:tcW w:w="2433" w:type="pct"/>
          </w:tcPr>
          <w:p>
            <w:pPr>
              <w:spacing w:line="320" w:lineRule="exact"/>
              <w:jc w:val="center"/>
              <w:rPr>
                <w:rFonts w:hint="default" w:ascii="Times New Roman" w:hAnsi="Times New Roman" w:cs="Times New Roman"/>
                <w:b/>
                <w:bCs/>
                <w:color w:val="auto"/>
                <w:szCs w:val="21"/>
              </w:rPr>
            </w:pPr>
            <w:r>
              <w:rPr>
                <w:rFonts w:hint="default" w:ascii="Times New Roman" w:hAnsi="Times New Roman" w:cs="Times New Roman"/>
                <w:color w:val="auto"/>
                <w:szCs w:val="21"/>
              </w:rPr>
              <w:t>松下、西门子、施耐德、ABB</w:t>
            </w:r>
          </w:p>
        </w:tc>
      </w:tr>
    </w:tbl>
    <w:p>
      <w:pPr>
        <w:pStyle w:val="2"/>
        <w:spacing w:line="360" w:lineRule="exact"/>
        <w:ind w:firstLine="422" w:firstLineChars="200"/>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注：1.本工程推荐的设备及材料品牌为参考范围，投标人所投产品品牌可在上述品牌范围内选择一种，或选择“同档次及以上”品牌（须提供有效的证明材料），并在填报的“投标标价表”中明确注明所选材料设备品牌；如选择非推荐品牌的，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p>
    <w:p>
      <w:pPr>
        <w:snapToGrid w:val="0"/>
        <w:spacing w:line="360" w:lineRule="exact"/>
        <w:ind w:firstLine="422" w:firstLineChars="200"/>
        <w:jc w:val="left"/>
        <w:rPr>
          <w:rFonts w:hint="default" w:ascii="Times New Roman" w:hAnsi="Times New Roman" w:cs="Times New Roman"/>
          <w:b/>
          <w:bCs/>
          <w:color w:val="auto"/>
          <w:szCs w:val="21"/>
        </w:rPr>
      </w:pPr>
      <w:r>
        <w:rPr>
          <w:rFonts w:hint="default" w:ascii="Times New Roman" w:hAnsi="Times New Roman" w:cs="Times New Roman"/>
          <w:b/>
          <w:bCs/>
          <w:color w:val="auto"/>
          <w:szCs w:val="21"/>
        </w:rPr>
        <w:t>2.投标人必须提供列明所有主要材料和设备的品牌、产地（包括招标文件未提供品牌的材料和设备）。未推荐品牌的材料和设备应至少采用市场中档品牌的国标产品。</w:t>
      </w:r>
    </w:p>
    <w:p>
      <w:pPr>
        <w:spacing w:line="360" w:lineRule="exact"/>
        <w:ind w:firstLine="422" w:firstLineChars="200"/>
        <w:jc w:val="left"/>
        <w:rPr>
          <w:rFonts w:hint="default" w:ascii="Times New Roman" w:hAnsi="Times New Roman" w:cs="Times New Roman"/>
          <w:b/>
          <w:color w:val="auto"/>
          <w:szCs w:val="21"/>
        </w:rPr>
      </w:pPr>
      <w:r>
        <w:rPr>
          <w:rFonts w:hint="default" w:ascii="Times New Roman" w:hAnsi="Times New Roman" w:cs="Times New Roman"/>
          <w:b/>
          <w:bCs/>
          <w:color w:val="auto"/>
          <w:szCs w:val="21"/>
        </w:rPr>
        <w:t>3.承包人在施工过程中若采用品牌推荐表外且招标同档次及以上品牌（不包括投标时已选用同档次及以上品牌），必须经发包人签证同意后实施，否则不予以实施和结算</w:t>
      </w:r>
      <w:r>
        <w:rPr>
          <w:rFonts w:hint="default" w:ascii="Times New Roman" w:hAnsi="Times New Roman" w:cs="Times New Roman"/>
          <w:color w:val="auto"/>
          <w:szCs w:val="21"/>
        </w:rPr>
        <w:t>。</w:t>
      </w:r>
    </w:p>
    <w:p>
      <w:pPr>
        <w:jc w:val="center"/>
        <w:rPr>
          <w:rFonts w:hint="default" w:ascii="Times New Roman" w:hAnsi="Times New Roman" w:cs="Times New Roman"/>
          <w:b/>
          <w:bCs/>
          <w:color w:val="auto"/>
          <w:szCs w:val="21"/>
        </w:rPr>
      </w:pPr>
    </w:p>
    <w:p>
      <w:pPr>
        <w:spacing w:beforeLines="50" w:afterLines="50" w:line="400" w:lineRule="exact"/>
        <w:ind w:firstLine="482" w:firstLineChars="200"/>
        <w:jc w:val="left"/>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提示清单（包括但不限于）</w:t>
      </w:r>
    </w:p>
    <w:tbl>
      <w:tblPr>
        <w:tblStyle w:val="38"/>
        <w:tblW w:w="9849" w:type="dxa"/>
        <w:tblInd w:w="0" w:type="dxa"/>
        <w:tblLayout w:type="fixed"/>
        <w:tblCellMar>
          <w:top w:w="0" w:type="dxa"/>
          <w:left w:w="108" w:type="dxa"/>
          <w:bottom w:w="0" w:type="dxa"/>
          <w:right w:w="108" w:type="dxa"/>
        </w:tblCellMar>
      </w:tblPr>
      <w:tblGrid>
        <w:gridCol w:w="1099"/>
        <w:gridCol w:w="2517"/>
        <w:gridCol w:w="6233"/>
      </w:tblGrid>
      <w:tr>
        <w:tblPrEx>
          <w:tblCellMar>
            <w:top w:w="0" w:type="dxa"/>
            <w:left w:w="108" w:type="dxa"/>
            <w:bottom w:w="0" w:type="dxa"/>
            <w:right w:w="108" w:type="dxa"/>
          </w:tblCellMar>
        </w:tblPrEx>
        <w:trPr>
          <w:trHeight w:val="240" w:hRule="atLeast"/>
        </w:trPr>
        <w:tc>
          <w:tcPr>
            <w:tcW w:w="1099"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2517"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项  目</w:t>
            </w:r>
          </w:p>
        </w:tc>
        <w:tc>
          <w:tcPr>
            <w:tcW w:w="6233"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具体内容</w:t>
            </w:r>
          </w:p>
        </w:tc>
      </w:tr>
      <w:tr>
        <w:tblPrEx>
          <w:tblCellMar>
            <w:top w:w="0" w:type="dxa"/>
            <w:left w:w="108" w:type="dxa"/>
            <w:bottom w:w="0" w:type="dxa"/>
            <w:right w:w="108" w:type="dxa"/>
          </w:tblCellMar>
        </w:tblPrEx>
        <w:trPr>
          <w:trHeight w:val="240" w:hRule="atLeast"/>
        </w:trPr>
        <w:tc>
          <w:tcPr>
            <w:tcW w:w="1099" w:type="dxa"/>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1</w:t>
            </w:r>
          </w:p>
        </w:tc>
        <w:tc>
          <w:tcPr>
            <w:tcW w:w="2517"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现场必须发生的费用</w:t>
            </w:r>
          </w:p>
        </w:tc>
        <w:tc>
          <w:tcPr>
            <w:tcW w:w="6233"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详见投标人须知前附表第3.2.4条款和投标报价表</w:t>
            </w:r>
          </w:p>
        </w:tc>
      </w:tr>
      <w:tr>
        <w:tblPrEx>
          <w:tblCellMar>
            <w:top w:w="0" w:type="dxa"/>
            <w:left w:w="108" w:type="dxa"/>
            <w:bottom w:w="0" w:type="dxa"/>
            <w:right w:w="108" w:type="dxa"/>
          </w:tblCellMar>
        </w:tblPrEx>
        <w:trPr>
          <w:trHeight w:val="240" w:hRule="atLeast"/>
        </w:trPr>
        <w:tc>
          <w:tcPr>
            <w:tcW w:w="1099" w:type="dxa"/>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2</w:t>
            </w:r>
          </w:p>
        </w:tc>
        <w:tc>
          <w:tcPr>
            <w:tcW w:w="2517"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Style w:val="88"/>
                <w:rFonts w:hint="default" w:ascii="Times New Roman" w:hAnsi="Times New Roman" w:cs="Times New Roman"/>
                <w:color w:val="auto"/>
                <w:kern w:val="2"/>
                <w:szCs w:val="21"/>
              </w:rPr>
            </w:pPr>
            <w:r>
              <w:rPr>
                <w:rFonts w:hint="default" w:ascii="Times New Roman" w:hAnsi="Times New Roman" w:cs="Times New Roman"/>
                <w:color w:val="auto"/>
                <w:szCs w:val="21"/>
              </w:rPr>
              <w:t>工程施工过程中的开孔和工程完工后的填补、修复与清理工作等等费用</w:t>
            </w:r>
          </w:p>
        </w:tc>
        <w:tc>
          <w:tcPr>
            <w:tcW w:w="6233"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详见投标人须知前附表第3.2.4条款</w:t>
            </w:r>
          </w:p>
        </w:tc>
      </w:tr>
      <w:tr>
        <w:tblPrEx>
          <w:tblCellMar>
            <w:top w:w="0" w:type="dxa"/>
            <w:left w:w="108" w:type="dxa"/>
            <w:bottom w:w="0" w:type="dxa"/>
            <w:right w:w="108" w:type="dxa"/>
          </w:tblCellMar>
        </w:tblPrEx>
        <w:trPr>
          <w:trHeight w:val="240" w:hRule="atLeast"/>
        </w:trPr>
        <w:tc>
          <w:tcPr>
            <w:tcW w:w="1099" w:type="dxa"/>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w:t>
            </w:r>
          </w:p>
        </w:tc>
        <w:tc>
          <w:tcPr>
            <w:tcW w:w="2517"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双方自行协商解决费用</w:t>
            </w:r>
          </w:p>
        </w:tc>
        <w:tc>
          <w:tcPr>
            <w:tcW w:w="6233" w:type="dxa"/>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详见投标人须知前附表第3.2.4条款</w:t>
            </w:r>
          </w:p>
        </w:tc>
      </w:tr>
    </w:tbl>
    <w:p>
      <w:pPr>
        <w:pStyle w:val="55"/>
        <w:ind w:firstLine="420"/>
        <w:rPr>
          <w:rFonts w:hint="default" w:ascii="Times New Roman" w:hAnsi="Times New Roman" w:cs="Times New Roman"/>
          <w:color w:val="auto"/>
        </w:rPr>
      </w:pPr>
      <w:r>
        <w:rPr>
          <w:rFonts w:hint="default" w:ascii="Times New Roman" w:hAnsi="Times New Roman" w:cs="Times New Roman"/>
          <w:color w:val="auto"/>
          <w:sz w:val="21"/>
          <w:szCs w:val="21"/>
        </w:rPr>
        <w:t>特别提醒：此提示清单仅为了提醒投标单位报价时须（需）考虑的内容，实际内容以投标单位在投标报价表中填报的为准。</w:t>
      </w:r>
    </w:p>
    <w:p>
      <w:pPr>
        <w:pStyle w:val="4"/>
        <w:rPr>
          <w:rFonts w:hint="default" w:ascii="Times New Roman" w:hAnsi="Times New Roman" w:cs="Times New Roman" w:eastAsiaTheme="minorEastAsia"/>
          <w:color w:val="auto"/>
          <w:sz w:val="30"/>
          <w:szCs w:val="30"/>
        </w:rPr>
      </w:pPr>
      <w:bookmarkStart w:id="444" w:name="_Toc24820"/>
      <w:r>
        <w:rPr>
          <w:rFonts w:hint="default" w:ascii="Times New Roman" w:hAnsi="Times New Roman" w:cs="Times New Roman" w:eastAsiaTheme="minorEastAsia"/>
          <w:color w:val="auto"/>
        </w:rPr>
        <w:br w:type="page"/>
      </w:r>
      <w:r>
        <w:rPr>
          <w:rFonts w:hint="default" w:ascii="Times New Roman" w:hAnsi="Times New Roman" w:cs="Times New Roman" w:eastAsiaTheme="minorEastAsia"/>
          <w:color w:val="auto"/>
          <w:sz w:val="30"/>
          <w:szCs w:val="30"/>
        </w:rPr>
        <w:t>第七章  投标文件格式</w:t>
      </w:r>
      <w:bookmarkEnd w:id="444"/>
    </w:p>
    <w:p>
      <w:pPr>
        <w:adjustRightInd w:val="0"/>
        <w:snapToGrid w:val="0"/>
        <w:spacing w:line="800" w:lineRule="exact"/>
        <w:ind w:right="-420" w:rightChars="-200" w:firstLine="898" w:firstLineChars="300"/>
        <w:jc w:val="left"/>
        <w:rPr>
          <w:rFonts w:hint="default" w:ascii="Times New Roman" w:hAnsi="Times New Roman" w:cs="Times New Roman"/>
          <w:b/>
          <w:bCs/>
          <w:color w:val="auto"/>
          <w:spacing w:val="-11"/>
          <w:sz w:val="32"/>
          <w:szCs w:val="32"/>
          <w:u w:val="single"/>
        </w:rPr>
      </w:pPr>
      <w:r>
        <w:rPr>
          <w:rFonts w:hint="default" w:ascii="Times New Roman" w:hAnsi="Times New Roman" w:cs="Times New Roman"/>
          <w:b/>
          <w:bCs/>
          <w:color w:val="auto"/>
          <w:spacing w:val="-11"/>
          <w:sz w:val="32"/>
          <w:szCs w:val="32"/>
        </w:rPr>
        <w:t>项目名称：</w:t>
      </w:r>
      <w:r>
        <w:rPr>
          <w:rFonts w:hint="default" w:ascii="Times New Roman" w:hAnsi="Times New Roman" w:cs="Times New Roman"/>
          <w:b/>
          <w:bCs/>
          <w:color w:val="auto"/>
          <w:spacing w:val="-11"/>
          <w:sz w:val="30"/>
          <w:szCs w:val="30"/>
          <w:u w:val="single"/>
        </w:rPr>
        <w:t xml:space="preserve">                                                                                              </w:t>
      </w: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投</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标</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文</w:t>
      </w:r>
    </w:p>
    <w:p>
      <w:pPr>
        <w:spacing w:line="1400" w:lineRule="exact"/>
        <w:jc w:val="center"/>
        <w:rPr>
          <w:rFonts w:hint="default" w:ascii="Times New Roman" w:hAnsi="Times New Roman" w:eastAsia="方正小标宋简体" w:cs="Times New Roman"/>
          <w:bCs/>
          <w:color w:val="auto"/>
          <w:sz w:val="72"/>
          <w:szCs w:val="72"/>
        </w:rPr>
      </w:pPr>
      <w:r>
        <w:rPr>
          <w:rFonts w:hint="default" w:ascii="Times New Roman" w:hAnsi="Times New Roman" w:eastAsia="方正小标宋简体" w:cs="Times New Roman"/>
          <w:bCs/>
          <w:color w:val="auto"/>
          <w:sz w:val="52"/>
          <w:szCs w:val="52"/>
        </w:rPr>
        <w:t>件</w:t>
      </w: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ind w:firstLine="416" w:firstLineChars="148"/>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投标文件内容：</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资格审查资料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p>
    <w:p>
      <w:pPr>
        <w:adjustRightInd w:val="0"/>
        <w:snapToGrid w:val="0"/>
        <w:spacing w:line="800" w:lineRule="exact"/>
        <w:ind w:firstLine="416" w:firstLineChars="148"/>
        <w:rPr>
          <w:rFonts w:hint="default" w:ascii="Times New Roman" w:hAnsi="Times New Roman" w:cs="Times New Roman"/>
          <w:b/>
          <w:bCs/>
          <w:color w:val="auto"/>
          <w:sz w:val="28"/>
          <w:szCs w:val="28"/>
          <w:u w:val="single"/>
        </w:rPr>
      </w:pPr>
      <w:r>
        <w:rPr>
          <w:rFonts w:hint="default" w:ascii="Times New Roman" w:hAnsi="Times New Roman" w:cs="Times New Roman"/>
          <w:b/>
          <w:bCs/>
          <w:color w:val="auto"/>
          <w:sz w:val="28"/>
          <w:szCs w:val="28"/>
        </w:rPr>
        <w:t xml:space="preserve">投标人： </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 xml:space="preserve">（盖单位公章）      </w:t>
      </w:r>
    </w:p>
    <w:p>
      <w:pPr>
        <w:adjustRightInd w:val="0"/>
        <w:snapToGrid w:val="0"/>
        <w:spacing w:line="800" w:lineRule="exact"/>
        <w:ind w:firstLine="416" w:firstLineChars="148"/>
        <w:rPr>
          <w:rFonts w:hint="default" w:ascii="Times New Roman" w:hAnsi="Times New Roman" w:cs="Times New Roman"/>
          <w:b/>
          <w:bCs/>
          <w:color w:val="auto"/>
          <w:sz w:val="28"/>
          <w:szCs w:val="28"/>
          <w:u w:val="single"/>
        </w:rPr>
      </w:pPr>
      <w:r>
        <w:rPr>
          <w:rFonts w:hint="default" w:ascii="Times New Roman" w:hAnsi="Times New Roman" w:cs="Times New Roman"/>
          <w:b/>
          <w:bCs/>
          <w:color w:val="auto"/>
          <w:sz w:val="28"/>
          <w:szCs w:val="28"/>
        </w:rPr>
        <w:t>法定代表人：</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（签字或盖章）</w:t>
      </w:r>
    </w:p>
    <w:p>
      <w:pPr>
        <w:adjustRightInd w:val="0"/>
        <w:snapToGrid w:val="0"/>
        <w:spacing w:line="800" w:lineRule="exact"/>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 xml:space="preserve"> </w:t>
      </w:r>
      <w:r>
        <w:rPr>
          <w:rFonts w:hint="eastAsia" w:cs="Times New Roman"/>
          <w:b/>
          <w:bCs/>
          <w:color w:val="auto"/>
          <w:sz w:val="28"/>
          <w:szCs w:val="28"/>
          <w:lang w:val="en-US" w:eastAsia="zh-CN"/>
        </w:rPr>
        <w:t xml:space="preserve">   </w:t>
      </w:r>
      <w:r>
        <w:rPr>
          <w:rFonts w:hint="default" w:ascii="Times New Roman" w:hAnsi="Times New Roman" w:cs="Times New Roman"/>
          <w:b/>
          <w:bCs/>
          <w:color w:val="auto"/>
          <w:sz w:val="28"/>
          <w:szCs w:val="28"/>
        </w:rPr>
        <w:t xml:space="preserve">  日      期： </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年</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月</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 xml:space="preserve">日  </w:t>
      </w:r>
    </w:p>
    <w:p>
      <w:pPr>
        <w:spacing w:line="360" w:lineRule="exact"/>
        <w:ind w:firstLine="482" w:firstLineChars="200"/>
        <w:rPr>
          <w:rFonts w:hint="default" w:ascii="Times New Roman" w:hAnsi="Times New Roman" w:cs="Times New Roman"/>
          <w:b/>
          <w:bCs/>
          <w:color w:val="auto"/>
          <w:sz w:val="24"/>
        </w:rPr>
      </w:pPr>
      <w:r>
        <w:rPr>
          <w:rFonts w:hint="default" w:ascii="Times New Roman" w:hAnsi="Times New Roman" w:cs="Times New Roman"/>
          <w:b/>
          <w:bCs/>
          <w:color w:val="auto"/>
          <w:sz w:val="24"/>
        </w:rPr>
        <w:br w:type="page"/>
      </w:r>
      <w:r>
        <w:rPr>
          <w:rFonts w:hint="default" w:ascii="Times New Roman" w:hAnsi="Times New Roman" w:cs="Times New Roman"/>
          <w:b/>
          <w:bCs/>
          <w:color w:val="auto"/>
          <w:sz w:val="24"/>
        </w:rPr>
        <w:t>资格审查资料：</w:t>
      </w:r>
    </w:p>
    <w:p>
      <w:pPr>
        <w:spacing w:line="360" w:lineRule="exact"/>
        <w:ind w:firstLine="482" w:firstLineChars="200"/>
        <w:rPr>
          <w:rFonts w:hint="default" w:ascii="Times New Roman" w:hAnsi="Times New Roman" w:cs="Times New Roman"/>
          <w:b/>
          <w:bCs/>
          <w:color w:val="auto"/>
          <w:sz w:val="24"/>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1.企业法人营业执照复印件；</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lang w:val="en-US" w:eastAsia="zh-CN"/>
        </w:rPr>
        <w:t>2</w:t>
      </w:r>
      <w:r>
        <w:rPr>
          <w:rFonts w:hint="default" w:ascii="Times New Roman" w:hAnsi="Times New Roman" w:cs="Times New Roman"/>
          <w:color w:val="auto"/>
          <w:szCs w:val="21"/>
        </w:rPr>
        <w:t>.</w:t>
      </w:r>
      <w:r>
        <w:rPr>
          <w:rFonts w:hint="default" w:ascii="Times New Roman" w:hAnsi="Times New Roman" w:cs="Times New Roman"/>
          <w:b/>
          <w:color w:val="auto"/>
          <w:szCs w:val="21"/>
        </w:rPr>
        <w:t>承诺书</w:t>
      </w:r>
      <w:r>
        <w:rPr>
          <w:rFonts w:hint="default" w:ascii="Times New Roman" w:hAnsi="Times New Roman" w:cs="Times New Roman"/>
          <w:color w:val="auto"/>
          <w:szCs w:val="21"/>
        </w:rPr>
        <w:t>（1、承诺对资格审查资料所有提交的证明材料真实有效性负责，若发现其有伪造证书、业绩等行为的，同意招标人不接受其投标，其缴纳的投标保证金不予退还；2、承诺企业</w:t>
      </w:r>
      <w:r>
        <w:rPr>
          <w:rFonts w:hint="default" w:ascii="Times New Roman" w:hAnsi="Times New Roman" w:cs="Times New Roman"/>
          <w:strike/>
          <w:color w:val="auto"/>
          <w:szCs w:val="21"/>
        </w:rPr>
        <w:t>和项目负责人</w:t>
      </w:r>
      <w:r>
        <w:rPr>
          <w:rFonts w:hint="default" w:ascii="Times New Roman" w:hAnsi="Times New Roman" w:cs="Times New Roman"/>
          <w:color w:val="auto"/>
          <w:szCs w:val="21"/>
        </w:rPr>
        <w:t>近 5年内无行贿犯罪记录。3、投标人如为代理商需承诺：中标后提供所投品牌制造商的唯一授权书。），格式自拟，加盖投标人公章。</w:t>
      </w:r>
    </w:p>
    <w:p>
      <w:pPr>
        <w:spacing w:line="40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注：不能提供上述任何一项或不符合审查要求的投标人为资格审查不合格。</w:t>
      </w:r>
    </w:p>
    <w:p>
      <w:pPr>
        <w:spacing w:line="360" w:lineRule="exact"/>
        <w:ind w:firstLine="422" w:firstLineChars="200"/>
        <w:rPr>
          <w:rFonts w:hint="default" w:ascii="Times New Roman" w:hAnsi="Times New Roman" w:cs="Times New Roman"/>
          <w:b/>
          <w:color w:val="auto"/>
          <w:szCs w:val="21"/>
        </w:rPr>
      </w:pPr>
    </w:p>
    <w:p>
      <w:pPr>
        <w:adjustRightInd w:val="0"/>
        <w:snapToGrid w:val="0"/>
        <w:spacing w:line="800" w:lineRule="exact"/>
        <w:ind w:right="-420" w:rightChars="-200" w:firstLine="562" w:firstLineChars="200"/>
        <w:jc w:val="left"/>
        <w:rPr>
          <w:rFonts w:hint="default" w:ascii="Times New Roman" w:hAnsi="Times New Roman" w:cs="Times New Roman"/>
          <w:b/>
          <w:bCs/>
          <w:color w:val="auto"/>
          <w:spacing w:val="-11"/>
          <w:sz w:val="32"/>
          <w:szCs w:val="32"/>
          <w:u w:val="single"/>
        </w:rPr>
      </w:pPr>
      <w:bookmarkStart w:id="445" w:name="_Toc365750381"/>
      <w:bookmarkStart w:id="446" w:name="_Toc396986703"/>
      <w:r>
        <w:rPr>
          <w:rFonts w:hint="default" w:ascii="Times New Roman" w:hAnsi="Times New Roman" w:cs="Times New Roman"/>
          <w:b/>
          <w:color w:val="auto"/>
          <w:sz w:val="28"/>
          <w:szCs w:val="28"/>
        </w:rPr>
        <w:br w:type="page"/>
      </w:r>
      <w:bookmarkEnd w:id="445"/>
      <w:bookmarkEnd w:id="446"/>
      <w:r>
        <w:rPr>
          <w:rFonts w:hint="default" w:ascii="Times New Roman" w:hAnsi="Times New Roman" w:cs="Times New Roman"/>
          <w:b/>
          <w:bCs/>
          <w:color w:val="auto"/>
          <w:spacing w:val="-11"/>
          <w:sz w:val="32"/>
          <w:szCs w:val="32"/>
        </w:rPr>
        <w:t>项目名称：</w:t>
      </w:r>
      <w:r>
        <w:rPr>
          <w:rFonts w:hint="default" w:ascii="Times New Roman" w:hAnsi="Times New Roman" w:cs="Times New Roman"/>
          <w:b/>
          <w:bCs/>
          <w:color w:val="auto"/>
          <w:spacing w:val="-11"/>
          <w:sz w:val="30"/>
          <w:szCs w:val="30"/>
          <w:u w:val="single"/>
        </w:rPr>
        <w:t xml:space="preserve">                                                                                              </w:t>
      </w: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投</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标</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文</w:t>
      </w:r>
    </w:p>
    <w:p>
      <w:pPr>
        <w:spacing w:line="1400" w:lineRule="exact"/>
        <w:jc w:val="center"/>
        <w:rPr>
          <w:rFonts w:hint="default" w:ascii="Times New Roman" w:hAnsi="Times New Roman" w:eastAsia="方正小标宋简体" w:cs="Times New Roman"/>
          <w:bCs/>
          <w:color w:val="auto"/>
          <w:sz w:val="72"/>
          <w:szCs w:val="72"/>
        </w:rPr>
      </w:pPr>
      <w:r>
        <w:rPr>
          <w:rFonts w:hint="default" w:ascii="Times New Roman" w:hAnsi="Times New Roman" w:eastAsia="方正小标宋简体" w:cs="Times New Roman"/>
          <w:bCs/>
          <w:color w:val="auto"/>
          <w:sz w:val="52"/>
          <w:szCs w:val="52"/>
        </w:rPr>
        <w:t>件</w:t>
      </w: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ind w:firstLine="416" w:firstLineChars="148"/>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投标文件内容：</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技术标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p>
    <w:p>
      <w:pPr>
        <w:adjustRightInd w:val="0"/>
        <w:snapToGrid w:val="0"/>
        <w:spacing w:line="800" w:lineRule="exact"/>
        <w:ind w:firstLine="416" w:firstLineChars="148"/>
        <w:rPr>
          <w:rFonts w:hint="default" w:ascii="Times New Roman" w:hAnsi="Times New Roman" w:cs="Times New Roman"/>
          <w:b/>
          <w:bCs/>
          <w:color w:val="auto"/>
          <w:sz w:val="28"/>
          <w:szCs w:val="28"/>
          <w:u w:val="single"/>
        </w:rPr>
      </w:pPr>
      <w:r>
        <w:rPr>
          <w:rFonts w:hint="default" w:ascii="Times New Roman" w:hAnsi="Times New Roman" w:cs="Times New Roman"/>
          <w:b/>
          <w:bCs/>
          <w:color w:val="auto"/>
          <w:sz w:val="28"/>
          <w:szCs w:val="28"/>
        </w:rPr>
        <w:t xml:space="preserve">投标人： </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 xml:space="preserve">（盖单位公章）      </w:t>
      </w:r>
    </w:p>
    <w:p>
      <w:pPr>
        <w:adjustRightInd w:val="0"/>
        <w:snapToGrid w:val="0"/>
        <w:spacing w:line="800" w:lineRule="exact"/>
        <w:ind w:firstLine="416" w:firstLineChars="148"/>
        <w:rPr>
          <w:rFonts w:hint="default" w:ascii="Times New Roman" w:hAnsi="Times New Roman" w:cs="Times New Roman"/>
          <w:b/>
          <w:bCs/>
          <w:color w:val="auto"/>
          <w:sz w:val="28"/>
          <w:szCs w:val="28"/>
          <w:u w:val="single"/>
        </w:rPr>
      </w:pPr>
      <w:r>
        <w:rPr>
          <w:rFonts w:hint="default" w:ascii="Times New Roman" w:hAnsi="Times New Roman" w:cs="Times New Roman"/>
          <w:b/>
          <w:bCs/>
          <w:color w:val="auto"/>
          <w:sz w:val="28"/>
          <w:szCs w:val="28"/>
        </w:rPr>
        <w:t>法定代表人：</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（签字或盖章）</w:t>
      </w:r>
    </w:p>
    <w:p>
      <w:pPr>
        <w:adjustRightInd w:val="0"/>
        <w:snapToGrid w:val="0"/>
        <w:spacing w:line="800" w:lineRule="exact"/>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 xml:space="preserve">   </w:t>
      </w:r>
      <w:r>
        <w:rPr>
          <w:rFonts w:hint="eastAsia" w:cs="Times New Roman"/>
          <w:b/>
          <w:bCs/>
          <w:color w:val="auto"/>
          <w:sz w:val="28"/>
          <w:szCs w:val="28"/>
          <w:lang w:val="en-US" w:eastAsia="zh-CN"/>
        </w:rPr>
        <w:t xml:space="preserve">   </w:t>
      </w:r>
      <w:r>
        <w:rPr>
          <w:rFonts w:hint="default" w:ascii="Times New Roman" w:hAnsi="Times New Roman" w:cs="Times New Roman"/>
          <w:b/>
          <w:bCs/>
          <w:color w:val="auto"/>
          <w:sz w:val="28"/>
          <w:szCs w:val="28"/>
        </w:rPr>
        <w:t xml:space="preserve">日      期： </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年</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月</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 xml:space="preserve">日  </w:t>
      </w:r>
    </w:p>
    <w:p>
      <w:pPr>
        <w:spacing w:beforeLines="50" w:afterLines="50"/>
        <w:jc w:val="center"/>
        <w:rPr>
          <w:rFonts w:hint="default" w:ascii="Times New Roman" w:hAnsi="Times New Roman" w:cs="Times New Roman"/>
          <w:color w:val="auto"/>
        </w:rPr>
      </w:pPr>
      <w:r>
        <w:rPr>
          <w:rFonts w:hint="default" w:ascii="Times New Roman" w:hAnsi="Times New Roman" w:cs="Times New Roman"/>
          <w:color w:val="auto"/>
        </w:rPr>
        <w:t xml:space="preserve"> </w:t>
      </w:r>
    </w:p>
    <w:p>
      <w:pPr>
        <w:rPr>
          <w:rFonts w:hint="default" w:ascii="Times New Roman" w:hAnsi="Times New Roman" w:cs="Times New Roman"/>
          <w:color w:val="auto"/>
        </w:rPr>
      </w:pPr>
    </w:p>
    <w:p>
      <w:pPr>
        <w:rPr>
          <w:rFonts w:hint="default" w:ascii="Times New Roman" w:hAnsi="Times New Roman" w:cs="Times New Roman"/>
          <w:color w:val="auto"/>
        </w:rPr>
      </w:pPr>
    </w:p>
    <w:p>
      <w:pPr>
        <w:pStyle w:val="4"/>
        <w:spacing w:before="120" w:after="120" w:line="400" w:lineRule="exact"/>
        <w:rPr>
          <w:rFonts w:hint="default" w:ascii="Times New Roman" w:hAnsi="Times New Roman" w:cs="Times New Roman" w:eastAsiaTheme="minorEastAsia"/>
          <w:b/>
          <w:bCs/>
          <w:color w:val="auto"/>
          <w:sz w:val="24"/>
          <w:szCs w:val="24"/>
        </w:rPr>
      </w:pPr>
      <w:bookmarkStart w:id="447" w:name="_Toc26987"/>
      <w:r>
        <w:rPr>
          <w:rFonts w:hint="default" w:ascii="Times New Roman" w:hAnsi="Times New Roman" w:cs="Times New Roman" w:eastAsiaTheme="minorEastAsia"/>
          <w:b/>
          <w:bCs/>
          <w:color w:val="auto"/>
          <w:sz w:val="24"/>
          <w:szCs w:val="24"/>
        </w:rPr>
        <w:t>投标人提供的评审打分资料一览表</w:t>
      </w:r>
      <w:bookmarkEnd w:id="447"/>
    </w:p>
    <w:p>
      <w:pPr>
        <w:adjustRightInd w:val="0"/>
        <w:snapToGrid w:val="0"/>
        <w:rPr>
          <w:rFonts w:hint="default" w:ascii="Times New Roman" w:hAnsi="Times New Roman" w:cs="Times New Roman" w:eastAsiaTheme="minorEastAsia"/>
          <w:b/>
          <w:color w:val="auto"/>
          <w:sz w:val="24"/>
          <w:szCs w:val="24"/>
        </w:rPr>
      </w:pPr>
    </w:p>
    <w:tbl>
      <w:tblPr>
        <w:tblStyle w:val="38"/>
        <w:tblW w:w="98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5327"/>
        <w:gridCol w:w="1476"/>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序号</w:t>
            </w: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资料名称</w:t>
            </w:r>
          </w:p>
        </w:tc>
        <w:tc>
          <w:tcPr>
            <w:tcW w:w="1476" w:type="dxa"/>
            <w:vAlign w:val="center"/>
          </w:tcPr>
          <w:p>
            <w:pPr>
              <w:adjustRightInd w:val="0"/>
              <w:snapToGrid w:val="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共 页</w:t>
            </w:r>
          </w:p>
        </w:tc>
        <w:tc>
          <w:tcPr>
            <w:tcW w:w="1807" w:type="dxa"/>
            <w:vAlign w:val="center"/>
          </w:tcPr>
          <w:p>
            <w:pPr>
              <w:adjustRightInd w:val="0"/>
              <w:snapToGrid w:val="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1"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532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476"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1807" w:type="dxa"/>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bl>
    <w:p>
      <w:pPr>
        <w:adjustRightInd w:val="0"/>
        <w:snapToGrid w:val="0"/>
        <w:ind w:firstLine="280"/>
        <w:jc w:val="center"/>
        <w:rPr>
          <w:rFonts w:hint="default" w:ascii="Times New Roman" w:hAnsi="Times New Roman" w:cs="Times New Roman" w:eastAsiaTheme="minorEastAsia"/>
          <w:color w:val="auto"/>
          <w:sz w:val="24"/>
          <w:szCs w:val="24"/>
        </w:rPr>
      </w:pPr>
    </w:p>
    <w:p>
      <w:pPr>
        <w:adjustRightInd w:val="0"/>
        <w:snapToGrid w:val="0"/>
        <w:ind w:firstLine="28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                              投标人：</w:t>
      </w:r>
      <w:r>
        <w:rPr>
          <w:rFonts w:hint="default" w:ascii="Times New Roman" w:hAnsi="Times New Roman" w:cs="Times New Roman" w:eastAsiaTheme="minorEastAsia"/>
          <w:color w:val="auto"/>
          <w:sz w:val="24"/>
          <w:szCs w:val="24"/>
          <w:u w:val="single"/>
        </w:rPr>
        <w:t xml:space="preserve">          </w:t>
      </w:r>
      <w:r>
        <w:rPr>
          <w:rFonts w:hint="eastAsia" w:cs="Times New Roman" w:eastAsiaTheme="minorEastAsia"/>
          <w:color w:val="auto"/>
          <w:sz w:val="24"/>
          <w:szCs w:val="24"/>
          <w:u w:val="single"/>
          <w:lang w:val="en-US" w:eastAsia="zh-CN"/>
        </w:rPr>
        <w:t xml:space="preserve">                    </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（盖单位公章）</w:t>
      </w:r>
    </w:p>
    <w:p>
      <w:pPr>
        <w:adjustRightInd w:val="0"/>
        <w:snapToGrid w:val="0"/>
        <w:ind w:firstLine="281"/>
        <w:jc w:val="center"/>
        <w:rPr>
          <w:rFonts w:hint="default" w:ascii="Times New Roman" w:hAnsi="Times New Roman" w:cs="Times New Roman" w:eastAsiaTheme="minorEastAsia"/>
          <w:b/>
          <w:color w:val="auto"/>
          <w:sz w:val="24"/>
          <w:szCs w:val="24"/>
        </w:rPr>
      </w:pPr>
    </w:p>
    <w:p>
      <w:pPr>
        <w:adjustRightInd w:val="0"/>
        <w:snapToGrid w:val="0"/>
        <w:ind w:firstLine="281"/>
        <w:jc w:val="center"/>
        <w:rPr>
          <w:rFonts w:hint="default" w:ascii="Times New Roman" w:hAnsi="Times New Roman" w:cs="Times New Roman" w:eastAsiaTheme="minorEastAsia"/>
          <w:b/>
          <w:color w:val="auto"/>
          <w:sz w:val="24"/>
          <w:szCs w:val="24"/>
        </w:rPr>
      </w:pPr>
    </w:p>
    <w:p>
      <w:pPr>
        <w:adjustRightInd w:val="0"/>
        <w:snapToGrid w:val="0"/>
        <w:ind w:firstLine="281"/>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color w:val="auto"/>
          <w:sz w:val="24"/>
          <w:szCs w:val="24"/>
        </w:rPr>
        <w:t xml:space="preserve">                          年   月   日</w:t>
      </w:r>
    </w:p>
    <w:p>
      <w:pPr>
        <w:adjustRightInd w:val="0"/>
        <w:snapToGrid w:val="0"/>
        <w:ind w:firstLine="281"/>
        <w:rPr>
          <w:rFonts w:hint="default" w:ascii="Times New Roman" w:hAnsi="Times New Roman" w:cs="Times New Roman" w:eastAsiaTheme="minorEastAsia"/>
          <w:b/>
          <w:color w:val="auto"/>
          <w:sz w:val="24"/>
          <w:szCs w:val="24"/>
        </w:rPr>
      </w:pPr>
    </w:p>
    <w:p>
      <w:pPr>
        <w:snapToGrid w:val="0"/>
        <w:spacing w:before="50" w:afterLines="50"/>
        <w:jc w:val="center"/>
        <w:rPr>
          <w:rFonts w:hint="default" w:ascii="Times New Roman" w:hAnsi="Times New Roman" w:cs="Times New Roman"/>
          <w:b/>
          <w:color w:val="auto"/>
          <w:spacing w:val="40"/>
          <w:sz w:val="28"/>
          <w:szCs w:val="28"/>
        </w:rPr>
      </w:pPr>
      <w:r>
        <w:rPr>
          <w:rFonts w:hint="default" w:ascii="Times New Roman" w:hAnsi="Times New Roman" w:cs="Times New Roman"/>
          <w:b/>
          <w:color w:val="auto"/>
          <w:sz w:val="24"/>
          <w:szCs w:val="24"/>
        </w:rPr>
        <w:br w:type="page"/>
      </w:r>
      <w:r>
        <w:rPr>
          <w:rFonts w:hint="default" w:ascii="Times New Roman" w:hAnsi="Times New Roman" w:cs="Times New Roman"/>
          <w:b/>
          <w:color w:val="auto"/>
          <w:spacing w:val="40"/>
          <w:sz w:val="28"/>
          <w:szCs w:val="28"/>
        </w:rPr>
        <w:t>技 术 响 应 表</w:t>
      </w:r>
    </w:p>
    <w:p>
      <w:pPr>
        <w:pStyle w:val="12"/>
        <w:snapToGrid w:val="0"/>
        <w:rPr>
          <w:rFonts w:hint="default" w:ascii="Times New Roman" w:hAnsi="Times New Roman" w:eastAsia="宋体" w:cs="Times New Roman"/>
          <w:color w:val="auto"/>
          <w:sz w:val="30"/>
          <w:szCs w:val="30"/>
        </w:rPr>
      </w:pPr>
    </w:p>
    <w:tbl>
      <w:tblPr>
        <w:tblStyle w:val="38"/>
        <w:tblW w:w="985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63"/>
        <w:gridCol w:w="2125"/>
        <w:gridCol w:w="2866"/>
        <w:gridCol w:w="2403"/>
        <w:gridCol w:w="159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序号</w:t>
            </w:r>
          </w:p>
        </w:tc>
        <w:tc>
          <w:tcPr>
            <w:tcW w:w="2125"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货物名称</w:t>
            </w:r>
          </w:p>
        </w:tc>
        <w:tc>
          <w:tcPr>
            <w:tcW w:w="2866"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招标文件</w:t>
            </w:r>
          </w:p>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要求</w:t>
            </w: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投标文件</w:t>
            </w:r>
          </w:p>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响应</w:t>
            </w: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偏离</w:t>
            </w:r>
          </w:p>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2125"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866"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2125"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866"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2125"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866"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2125"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866"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63"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w:t>
            </w:r>
          </w:p>
        </w:tc>
        <w:tc>
          <w:tcPr>
            <w:tcW w:w="2125"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w:t>
            </w:r>
          </w:p>
        </w:tc>
        <w:tc>
          <w:tcPr>
            <w:tcW w:w="2866"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w:t>
            </w:r>
          </w:p>
        </w:tc>
        <w:tc>
          <w:tcPr>
            <w:tcW w:w="2403"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1594" w:type="dxa"/>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bl>
    <w:p>
      <w:pPr>
        <w:snapToGrid w:val="0"/>
        <w:spacing w:before="50" w:after="50"/>
        <w:ind w:firstLine="500" w:firstLineChars="200"/>
        <w:rPr>
          <w:rFonts w:hint="default" w:ascii="Times New Roman" w:hAnsi="Times New Roman" w:cs="Times New Roman"/>
          <w:color w:val="auto"/>
          <w:spacing w:val="20"/>
          <w:szCs w:val="21"/>
        </w:rPr>
      </w:pPr>
      <w:r>
        <w:rPr>
          <w:rFonts w:hint="default" w:ascii="Times New Roman" w:hAnsi="Times New Roman" w:cs="Times New Roman"/>
          <w:color w:val="auto"/>
          <w:spacing w:val="20"/>
          <w:szCs w:val="21"/>
        </w:rPr>
        <w:t>注：1、投标人应对照招标文件要求和投标文件响应情况在“偏离情况”栏注明“正偏离”、“负偏离”或“无偏离”。若正偏离的，需详细说明或提供证明材料。</w:t>
      </w:r>
    </w:p>
    <w:p>
      <w:pPr>
        <w:snapToGrid w:val="0"/>
        <w:spacing w:before="50" w:after="50"/>
        <w:ind w:firstLine="500" w:firstLineChars="200"/>
        <w:rPr>
          <w:rFonts w:hint="default" w:ascii="Times New Roman" w:hAnsi="Times New Roman" w:cs="Times New Roman"/>
          <w:color w:val="auto"/>
          <w:spacing w:val="20"/>
          <w:szCs w:val="21"/>
        </w:rPr>
      </w:pPr>
      <w:r>
        <w:rPr>
          <w:rFonts w:hint="default" w:ascii="Times New Roman" w:hAnsi="Times New Roman" w:cs="Times New Roman"/>
          <w:color w:val="auto"/>
          <w:spacing w:val="20"/>
          <w:szCs w:val="21"/>
        </w:rPr>
        <w:t>2、“招标文件要求”一列按第六章技术标准和要求中的相应内容填写。</w:t>
      </w:r>
    </w:p>
    <w:p>
      <w:pPr>
        <w:pStyle w:val="14"/>
        <w:rPr>
          <w:rFonts w:hint="default" w:ascii="Times New Roman" w:hAnsi="Times New Roman" w:eastAsia="宋体" w:cs="Times New Roman"/>
          <w:b w:val="0"/>
          <w:bCs w:val="0"/>
          <w:color w:val="auto"/>
          <w:spacing w:val="20"/>
          <w:szCs w:val="24"/>
        </w:rPr>
      </w:pPr>
    </w:p>
    <w:p>
      <w:pPr>
        <w:snapToGrid w:val="0"/>
        <w:spacing w:before="50" w:after="50"/>
        <w:rPr>
          <w:rFonts w:hint="default" w:ascii="Times New Roman" w:hAnsi="Times New Roman" w:cs="Times New Roman"/>
          <w:bCs/>
          <w:color w:val="auto"/>
          <w:spacing w:val="20"/>
          <w:sz w:val="24"/>
          <w:szCs w:val="24"/>
        </w:rPr>
      </w:pPr>
    </w:p>
    <w:p>
      <w:pPr>
        <w:pStyle w:val="36"/>
        <w:spacing w:line="440" w:lineRule="exact"/>
        <w:ind w:firstLine="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投标人：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（盖单位公章）</w:t>
      </w:r>
    </w:p>
    <w:p>
      <w:pPr>
        <w:spacing w:line="44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法定代表人或其委托代理人：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 xml:space="preserve">（签字或盖章） </w:t>
      </w:r>
    </w:p>
    <w:p>
      <w:pPr>
        <w:spacing w:line="44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    年    月    日</w:t>
      </w:r>
    </w:p>
    <w:p>
      <w:pPr>
        <w:pStyle w:val="12"/>
        <w:snapToGrid w:val="0"/>
        <w:spacing w:before="100" w:after="100"/>
        <w:jc w:val="center"/>
        <w:rPr>
          <w:rFonts w:hint="default" w:ascii="Times New Roman" w:hAnsi="Times New Roman" w:cs="Times New Roman"/>
          <w:color w:val="auto"/>
        </w:rPr>
      </w:pPr>
      <w:r>
        <w:rPr>
          <w:rFonts w:hint="default" w:ascii="Times New Roman" w:hAnsi="Times New Roman" w:eastAsia="宋体" w:cs="Times New Roman"/>
          <w:color w:val="auto"/>
          <w:sz w:val="28"/>
          <w:szCs w:val="28"/>
        </w:rPr>
        <w:br w:type="page"/>
      </w:r>
      <w:r>
        <w:rPr>
          <w:rFonts w:hint="default" w:ascii="Times New Roman" w:hAnsi="Times New Roman" w:eastAsia="宋体" w:cs="Times New Roman"/>
          <w:color w:val="auto"/>
          <w:sz w:val="28"/>
          <w:szCs w:val="28"/>
        </w:rPr>
        <w:t>投标人提供的材料、辅助材料、专用工具及备品备件（易损件）一览表</w:t>
      </w:r>
    </w:p>
    <w:p>
      <w:pPr>
        <w:snapToGrid w:val="0"/>
        <w:spacing w:line="360" w:lineRule="auto"/>
        <w:rPr>
          <w:rFonts w:hint="default" w:ascii="Times New Roman" w:hAnsi="Times New Roman" w:cs="Times New Roman"/>
          <w:bCs/>
          <w:color w:val="auto"/>
          <w:szCs w:val="21"/>
        </w:rPr>
      </w:pPr>
    </w:p>
    <w:tbl>
      <w:tblPr>
        <w:tblStyle w:val="38"/>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2655"/>
        <w:gridCol w:w="1019"/>
        <w:gridCol w:w="672"/>
        <w:gridCol w:w="808"/>
        <w:gridCol w:w="824"/>
        <w:gridCol w:w="1031"/>
        <w:gridCol w:w="970"/>
        <w:gridCol w:w="646"/>
        <w:gridCol w:w="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591"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2655"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货物名称</w:t>
            </w:r>
          </w:p>
        </w:tc>
        <w:tc>
          <w:tcPr>
            <w:tcW w:w="1019"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规格、型号</w:t>
            </w:r>
          </w:p>
        </w:tc>
        <w:tc>
          <w:tcPr>
            <w:tcW w:w="672"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产地</w:t>
            </w:r>
          </w:p>
        </w:tc>
        <w:tc>
          <w:tcPr>
            <w:tcW w:w="808"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单位</w:t>
            </w:r>
          </w:p>
        </w:tc>
        <w:tc>
          <w:tcPr>
            <w:tcW w:w="824"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数量</w:t>
            </w:r>
          </w:p>
        </w:tc>
        <w:tc>
          <w:tcPr>
            <w:tcW w:w="2001" w:type="dxa"/>
            <w:gridSpan w:val="2"/>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单价</w:t>
            </w:r>
          </w:p>
        </w:tc>
        <w:tc>
          <w:tcPr>
            <w:tcW w:w="646"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合价</w:t>
            </w:r>
          </w:p>
        </w:tc>
        <w:tc>
          <w:tcPr>
            <w:tcW w:w="639" w:type="dxa"/>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591" w:type="dxa"/>
            <w:vMerge w:val="continue"/>
            <w:vAlign w:val="center"/>
          </w:tcPr>
          <w:p>
            <w:pPr>
              <w:jc w:val="center"/>
              <w:rPr>
                <w:rFonts w:hint="default" w:ascii="Times New Roman" w:hAnsi="Times New Roman" w:cs="Times New Roman"/>
                <w:color w:val="auto"/>
                <w:szCs w:val="21"/>
              </w:rPr>
            </w:pPr>
          </w:p>
        </w:tc>
        <w:tc>
          <w:tcPr>
            <w:tcW w:w="2655" w:type="dxa"/>
            <w:vMerge w:val="continue"/>
            <w:vAlign w:val="center"/>
          </w:tcPr>
          <w:p>
            <w:pPr>
              <w:jc w:val="center"/>
              <w:rPr>
                <w:rFonts w:hint="default" w:ascii="Times New Roman" w:hAnsi="Times New Roman" w:cs="Times New Roman"/>
                <w:color w:val="auto"/>
                <w:szCs w:val="21"/>
              </w:rPr>
            </w:pPr>
          </w:p>
        </w:tc>
        <w:tc>
          <w:tcPr>
            <w:tcW w:w="1019" w:type="dxa"/>
            <w:vMerge w:val="continue"/>
            <w:vAlign w:val="center"/>
          </w:tcPr>
          <w:p>
            <w:pPr>
              <w:jc w:val="center"/>
              <w:rPr>
                <w:rFonts w:hint="default" w:ascii="Times New Roman" w:hAnsi="Times New Roman" w:cs="Times New Roman"/>
                <w:color w:val="auto"/>
                <w:szCs w:val="21"/>
              </w:rPr>
            </w:pPr>
          </w:p>
        </w:tc>
        <w:tc>
          <w:tcPr>
            <w:tcW w:w="672" w:type="dxa"/>
            <w:vMerge w:val="continue"/>
            <w:vAlign w:val="center"/>
          </w:tcPr>
          <w:p>
            <w:pPr>
              <w:jc w:val="center"/>
              <w:rPr>
                <w:rFonts w:hint="default" w:ascii="Times New Roman" w:hAnsi="Times New Roman" w:cs="Times New Roman"/>
                <w:color w:val="auto"/>
                <w:szCs w:val="21"/>
              </w:rPr>
            </w:pPr>
          </w:p>
        </w:tc>
        <w:tc>
          <w:tcPr>
            <w:tcW w:w="808" w:type="dxa"/>
            <w:vMerge w:val="continue"/>
            <w:vAlign w:val="center"/>
          </w:tcPr>
          <w:p>
            <w:pPr>
              <w:jc w:val="center"/>
              <w:rPr>
                <w:rFonts w:hint="default" w:ascii="Times New Roman" w:hAnsi="Times New Roman" w:cs="Times New Roman"/>
                <w:color w:val="auto"/>
                <w:szCs w:val="21"/>
              </w:rPr>
            </w:pPr>
          </w:p>
        </w:tc>
        <w:tc>
          <w:tcPr>
            <w:tcW w:w="824" w:type="dxa"/>
            <w:vMerge w:val="continue"/>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市场价</w:t>
            </w:r>
          </w:p>
        </w:tc>
        <w:tc>
          <w:tcPr>
            <w:tcW w:w="970" w:type="dxa"/>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优惠价</w:t>
            </w:r>
          </w:p>
        </w:tc>
        <w:tc>
          <w:tcPr>
            <w:tcW w:w="646" w:type="dxa"/>
            <w:vMerge w:val="continue"/>
            <w:vAlign w:val="center"/>
          </w:tcPr>
          <w:p>
            <w:pPr>
              <w:jc w:val="center"/>
              <w:rPr>
                <w:rFonts w:hint="default" w:ascii="Times New Roman" w:hAnsi="Times New Roman" w:cs="Times New Roman"/>
                <w:color w:val="auto"/>
                <w:szCs w:val="21"/>
              </w:rPr>
            </w:pPr>
          </w:p>
        </w:tc>
        <w:tc>
          <w:tcPr>
            <w:tcW w:w="639" w:type="dxa"/>
            <w:vMerge w:val="continue"/>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一、</w:t>
            </w:r>
            <w:r>
              <w:rPr>
                <w:rFonts w:hint="default" w:ascii="Times New Roman" w:hAnsi="Times New Roman" w:cs="Times New Roman"/>
                <w:b/>
                <w:bCs/>
                <w:color w:val="auto"/>
                <w:szCs w:val="21"/>
              </w:rPr>
              <w:t>备品备件（易损件）清单</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eastAsiaTheme="minorEastAsia"/>
                <w:color w:val="auto"/>
                <w:szCs w:val="21"/>
              </w:rPr>
              <w:t>以下内容由投标单位自行填写</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二、材料及辅助材料清单</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以下内容由投标单位自行填写</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三、专业工具清单</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以下内容由投标单位自行填写</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四、其他清单</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以下内容由投标单位自行填写</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1031" w:type="dxa"/>
            <w:vAlign w:val="center"/>
          </w:tcPr>
          <w:p>
            <w:pPr>
              <w:jc w:val="center"/>
              <w:rPr>
                <w:rFonts w:hint="default" w:ascii="Times New Roman" w:hAnsi="Times New Roman" w:cs="Times New Roman"/>
                <w:color w:val="auto"/>
                <w:szCs w:val="21"/>
              </w:rPr>
            </w:pPr>
          </w:p>
        </w:tc>
        <w:tc>
          <w:tcPr>
            <w:tcW w:w="970" w:type="dxa"/>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591" w:type="dxa"/>
            <w:vAlign w:val="center"/>
          </w:tcPr>
          <w:p>
            <w:pPr>
              <w:jc w:val="center"/>
              <w:rPr>
                <w:rFonts w:hint="default" w:ascii="Times New Roman" w:hAnsi="Times New Roman" w:cs="Times New Roman"/>
                <w:color w:val="auto"/>
                <w:szCs w:val="21"/>
              </w:rPr>
            </w:pPr>
          </w:p>
        </w:tc>
        <w:tc>
          <w:tcPr>
            <w:tcW w:w="2655" w:type="dxa"/>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合  计</w:t>
            </w:r>
          </w:p>
        </w:tc>
        <w:tc>
          <w:tcPr>
            <w:tcW w:w="1019" w:type="dxa"/>
            <w:vAlign w:val="center"/>
          </w:tcPr>
          <w:p>
            <w:pPr>
              <w:jc w:val="center"/>
              <w:rPr>
                <w:rFonts w:hint="default" w:ascii="Times New Roman" w:hAnsi="Times New Roman" w:cs="Times New Roman"/>
                <w:color w:val="auto"/>
                <w:szCs w:val="21"/>
              </w:rPr>
            </w:pPr>
          </w:p>
        </w:tc>
        <w:tc>
          <w:tcPr>
            <w:tcW w:w="672" w:type="dxa"/>
            <w:vAlign w:val="center"/>
          </w:tcPr>
          <w:p>
            <w:pPr>
              <w:jc w:val="center"/>
              <w:rPr>
                <w:rFonts w:hint="default" w:ascii="Times New Roman" w:hAnsi="Times New Roman" w:cs="Times New Roman"/>
                <w:color w:val="auto"/>
                <w:szCs w:val="21"/>
              </w:rPr>
            </w:pPr>
          </w:p>
        </w:tc>
        <w:tc>
          <w:tcPr>
            <w:tcW w:w="808" w:type="dxa"/>
            <w:vAlign w:val="center"/>
          </w:tcPr>
          <w:p>
            <w:pPr>
              <w:jc w:val="center"/>
              <w:rPr>
                <w:rFonts w:hint="default" w:ascii="Times New Roman" w:hAnsi="Times New Roman" w:cs="Times New Roman"/>
                <w:color w:val="auto"/>
                <w:szCs w:val="21"/>
              </w:rPr>
            </w:pPr>
          </w:p>
        </w:tc>
        <w:tc>
          <w:tcPr>
            <w:tcW w:w="824" w:type="dxa"/>
            <w:vAlign w:val="center"/>
          </w:tcPr>
          <w:p>
            <w:pPr>
              <w:jc w:val="center"/>
              <w:rPr>
                <w:rFonts w:hint="default" w:ascii="Times New Roman" w:hAnsi="Times New Roman" w:cs="Times New Roman"/>
                <w:color w:val="auto"/>
                <w:szCs w:val="21"/>
              </w:rPr>
            </w:pPr>
          </w:p>
        </w:tc>
        <w:tc>
          <w:tcPr>
            <w:tcW w:w="2001" w:type="dxa"/>
            <w:gridSpan w:val="2"/>
            <w:vAlign w:val="center"/>
          </w:tcPr>
          <w:p>
            <w:pPr>
              <w:jc w:val="center"/>
              <w:rPr>
                <w:rFonts w:hint="default" w:ascii="Times New Roman" w:hAnsi="Times New Roman" w:cs="Times New Roman"/>
                <w:color w:val="auto"/>
                <w:szCs w:val="21"/>
              </w:rPr>
            </w:pPr>
          </w:p>
        </w:tc>
        <w:tc>
          <w:tcPr>
            <w:tcW w:w="646" w:type="dxa"/>
            <w:vAlign w:val="center"/>
          </w:tcPr>
          <w:p>
            <w:pPr>
              <w:jc w:val="center"/>
              <w:rPr>
                <w:rFonts w:hint="default" w:ascii="Times New Roman" w:hAnsi="Times New Roman" w:cs="Times New Roman"/>
                <w:color w:val="auto"/>
                <w:szCs w:val="21"/>
              </w:rPr>
            </w:pPr>
          </w:p>
        </w:tc>
        <w:tc>
          <w:tcPr>
            <w:tcW w:w="639" w:type="dxa"/>
            <w:vAlign w:val="center"/>
          </w:tcPr>
          <w:p>
            <w:pPr>
              <w:jc w:val="center"/>
              <w:rPr>
                <w:rFonts w:hint="default" w:ascii="Times New Roman" w:hAnsi="Times New Roman" w:cs="Times New Roman"/>
                <w:color w:val="auto"/>
                <w:szCs w:val="21"/>
              </w:rPr>
            </w:pPr>
          </w:p>
        </w:tc>
      </w:tr>
    </w:tbl>
    <w:p>
      <w:pPr>
        <w:snapToGrid w:val="0"/>
        <w:spacing w:line="360" w:lineRule="auto"/>
        <w:rPr>
          <w:rFonts w:hint="default" w:ascii="Times New Roman" w:hAnsi="Times New Roman" w:cs="Times New Roman"/>
          <w:b/>
          <w:bCs/>
          <w:color w:val="auto"/>
          <w:sz w:val="24"/>
          <w:szCs w:val="24"/>
        </w:rPr>
      </w:pPr>
      <w:r>
        <w:rPr>
          <w:rFonts w:hint="default" w:ascii="Times New Roman" w:hAnsi="Times New Roman" w:cs="Times New Roman"/>
          <w:bCs/>
          <w:color w:val="auto"/>
          <w:szCs w:val="21"/>
        </w:rPr>
        <w:t>注：1.承诺上述单价（优惠价）质保期满后5年内有效。该单价（优惠价）</w:t>
      </w:r>
      <w:r>
        <w:rPr>
          <w:rFonts w:hint="default" w:ascii="Times New Roman" w:hAnsi="Times New Roman" w:cs="Times New Roman"/>
          <w:color w:val="auto"/>
          <w:szCs w:val="21"/>
        </w:rPr>
        <w:t>作为招标人质保期后使用材料、辅助材料、专业工具及备品备件（易损件）的价格，为现场交货价。</w:t>
      </w:r>
    </w:p>
    <w:p>
      <w:pPr>
        <w:numPr>
          <w:ilvl w:val="0"/>
          <w:numId w:val="8"/>
        </w:numPr>
        <w:snapToGrid w:val="0"/>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其他清单是投标人认为需要填报的内容，未填写视为优惠报价。</w:t>
      </w:r>
    </w:p>
    <w:p>
      <w:pPr>
        <w:pStyle w:val="2"/>
        <w:ind w:firstLine="420" w:firstLineChars="200"/>
        <w:rPr>
          <w:rFonts w:hint="default" w:ascii="Times New Roman" w:hAnsi="Times New Roman" w:cs="Times New Roman"/>
          <w:color w:val="auto"/>
        </w:rPr>
      </w:pPr>
      <w:r>
        <w:rPr>
          <w:rFonts w:hint="default" w:ascii="Times New Roman" w:hAnsi="Times New Roman" w:cs="Times New Roman"/>
          <w:color w:val="auto"/>
          <w:sz w:val="21"/>
          <w:szCs w:val="21"/>
        </w:rPr>
        <w:t>3. 表格行数不够，投标人可自行扩展。</w:t>
      </w:r>
    </w:p>
    <w:p>
      <w:pPr>
        <w:pStyle w:val="2"/>
        <w:rPr>
          <w:rFonts w:hint="default" w:ascii="Times New Roman" w:hAnsi="Times New Roman" w:cs="Times New Roman"/>
          <w:color w:val="auto"/>
        </w:rPr>
      </w:pPr>
    </w:p>
    <w:p>
      <w:pPr>
        <w:pStyle w:val="36"/>
        <w:spacing w:line="360" w:lineRule="exact"/>
        <w:ind w:firstLine="0" w:firstLineChars="0"/>
        <w:rPr>
          <w:rFonts w:hint="default" w:ascii="Times New Roman" w:hAnsi="Times New Roman" w:cs="Times New Roman"/>
          <w:color w:val="auto"/>
          <w:sz w:val="21"/>
          <w:szCs w:val="21"/>
        </w:rPr>
      </w:pPr>
    </w:p>
    <w:p>
      <w:pPr>
        <w:pStyle w:val="36"/>
        <w:spacing w:line="360" w:lineRule="exact"/>
        <w:ind w:firstLine="0" w:firstLineChars="0"/>
        <w:rPr>
          <w:rFonts w:hint="default" w:ascii="Times New Roman" w:hAnsi="Times New Roman" w:cs="Times New Roman"/>
          <w:color w:val="auto"/>
          <w:sz w:val="21"/>
          <w:szCs w:val="21"/>
        </w:rPr>
      </w:pPr>
    </w:p>
    <w:p>
      <w:pPr>
        <w:pStyle w:val="36"/>
        <w:spacing w:line="360" w:lineRule="exact"/>
        <w:ind w:firstLine="0" w:firstLineChars="0"/>
        <w:rPr>
          <w:rFonts w:hint="default" w:ascii="Times New Roman" w:hAnsi="Times New Roman" w:cs="Times New Roman"/>
          <w:color w:val="auto"/>
          <w:szCs w:val="21"/>
        </w:rPr>
      </w:pPr>
      <w:r>
        <w:rPr>
          <w:rFonts w:hint="default" w:ascii="Times New Roman" w:hAnsi="Times New Roman" w:cs="Times New Roman"/>
          <w:color w:val="auto"/>
          <w:sz w:val="21"/>
          <w:szCs w:val="21"/>
        </w:rPr>
        <w:t>投标人：</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（盖单位公章）</w:t>
      </w:r>
    </w:p>
    <w:p>
      <w:pPr>
        <w:spacing w:line="360" w:lineRule="exact"/>
        <w:rPr>
          <w:rFonts w:hint="default" w:ascii="Times New Roman" w:hAnsi="Times New Roman" w:cs="Times New Roman"/>
          <w:color w:val="auto"/>
        </w:rPr>
      </w:pPr>
      <w:r>
        <w:rPr>
          <w:rFonts w:hint="default" w:ascii="Times New Roman" w:hAnsi="Times New Roman" w:cs="Times New Roman"/>
          <w:color w:val="auto"/>
          <w:szCs w:val="21"/>
        </w:rPr>
        <w:t xml:space="preserve">法定代表人或其委托代理人：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（签字或盖章） </w:t>
      </w:r>
    </w:p>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日期：    年    月    日</w:t>
      </w:r>
    </w:p>
    <w:p>
      <w:pPr>
        <w:jc w:val="center"/>
        <w:rPr>
          <w:rFonts w:hint="default" w:ascii="Times New Roman" w:hAnsi="Times New Roman" w:cs="Times New Roman"/>
          <w:bCs/>
          <w:color w:val="auto"/>
          <w:sz w:val="28"/>
          <w:szCs w:val="28"/>
        </w:rPr>
      </w:pPr>
      <w:r>
        <w:rPr>
          <w:rFonts w:hint="default" w:ascii="Times New Roman" w:hAnsi="Times New Roman" w:cs="Times New Roman"/>
          <w:b/>
          <w:color w:val="auto"/>
          <w:sz w:val="24"/>
          <w:szCs w:val="24"/>
        </w:rPr>
        <w:br w:type="page"/>
      </w:r>
      <w:r>
        <w:rPr>
          <w:rFonts w:hint="default" w:ascii="Times New Roman" w:hAnsi="Times New Roman" w:cs="Times New Roman"/>
          <w:bCs/>
          <w:color w:val="auto"/>
          <w:sz w:val="28"/>
          <w:szCs w:val="28"/>
        </w:rPr>
        <w:t>品牌偏离表</w:t>
      </w:r>
    </w:p>
    <w:p>
      <w:pPr>
        <w:pStyle w:val="2"/>
        <w:rPr>
          <w:rFonts w:hint="default" w:ascii="Times New Roman" w:hAnsi="Times New Roman" w:cs="Times New Roman"/>
          <w:bCs/>
          <w:color w:val="auto"/>
          <w:sz w:val="28"/>
          <w:szCs w:val="28"/>
        </w:rPr>
      </w:pP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845"/>
        <w:gridCol w:w="3153"/>
        <w:gridCol w:w="1971"/>
        <w:gridCol w:w="1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vAlign w:val="center"/>
          </w:tcPr>
          <w:p>
            <w:pPr>
              <w:pStyle w:val="31"/>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序号</w:t>
            </w:r>
          </w:p>
        </w:tc>
        <w:tc>
          <w:tcPr>
            <w:tcW w:w="1845" w:type="dxa"/>
            <w:vAlign w:val="center"/>
          </w:tcPr>
          <w:p>
            <w:pPr>
              <w:pStyle w:val="31"/>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材料设备名称</w:t>
            </w:r>
          </w:p>
        </w:tc>
        <w:tc>
          <w:tcPr>
            <w:tcW w:w="3153" w:type="dxa"/>
            <w:vAlign w:val="center"/>
          </w:tcPr>
          <w:p>
            <w:pPr>
              <w:pStyle w:val="31"/>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推荐品牌</w:t>
            </w:r>
          </w:p>
        </w:tc>
        <w:tc>
          <w:tcPr>
            <w:tcW w:w="1971" w:type="dxa"/>
            <w:vAlign w:val="center"/>
          </w:tcPr>
          <w:p>
            <w:pPr>
              <w:pStyle w:val="31"/>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投标品牌</w:t>
            </w:r>
          </w:p>
        </w:tc>
        <w:tc>
          <w:tcPr>
            <w:tcW w:w="1971" w:type="dxa"/>
            <w:vAlign w:val="center"/>
          </w:tcPr>
          <w:p>
            <w:pPr>
              <w:pStyle w:val="31"/>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bl>
    <w:p>
      <w:pPr>
        <w:spacing w:line="360" w:lineRule="exact"/>
        <w:ind w:firstLine="500" w:firstLineChars="200"/>
        <w:rPr>
          <w:rFonts w:hint="default" w:ascii="Times New Roman" w:hAnsi="Times New Roman" w:cs="Times New Roman"/>
          <w:color w:val="auto"/>
          <w:spacing w:val="20"/>
          <w:szCs w:val="21"/>
        </w:rPr>
      </w:pPr>
      <w:r>
        <w:rPr>
          <w:rFonts w:hint="default" w:ascii="Times New Roman" w:hAnsi="Times New Roman" w:cs="Times New Roman"/>
          <w:color w:val="auto"/>
          <w:spacing w:val="20"/>
          <w:szCs w:val="21"/>
        </w:rPr>
        <w:t>注：1、投标人应对照招标文件要求和投标文件响应情况在“偏离情况”栏注明“正偏离”、“负偏离”或“无偏离”。若正偏离的，需详细说明或提供证明材料</w:t>
      </w:r>
      <w:r>
        <w:rPr>
          <w:rFonts w:hint="default" w:ascii="Times New Roman" w:hAnsi="Times New Roman" w:cs="Times New Roman"/>
          <w:b/>
          <w:bCs/>
          <w:color w:val="auto"/>
          <w:spacing w:val="20"/>
          <w:szCs w:val="21"/>
        </w:rPr>
        <w:t>[</w:t>
      </w:r>
      <w:r>
        <w:rPr>
          <w:rFonts w:hint="default" w:ascii="Times New Roman" w:hAnsi="Times New Roman" w:cs="Times New Roman"/>
          <w:b/>
          <w:bCs/>
          <w:color w:val="auto"/>
          <w:szCs w:val="21"/>
        </w:rPr>
        <w:t>投标人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r>
        <w:rPr>
          <w:rFonts w:hint="default" w:ascii="Times New Roman" w:hAnsi="Times New Roman" w:cs="Times New Roman"/>
          <w:b/>
          <w:bCs/>
          <w:color w:val="auto"/>
        </w:rPr>
        <w:t>。</w:t>
      </w:r>
    </w:p>
    <w:p>
      <w:pPr>
        <w:snapToGrid w:val="0"/>
        <w:spacing w:before="50" w:after="50"/>
        <w:ind w:firstLine="500" w:firstLineChars="200"/>
        <w:rPr>
          <w:rFonts w:hint="default" w:ascii="Times New Roman" w:hAnsi="Times New Roman" w:cs="Times New Roman"/>
          <w:color w:val="auto"/>
          <w:spacing w:val="20"/>
          <w:szCs w:val="21"/>
        </w:rPr>
      </w:pPr>
      <w:r>
        <w:rPr>
          <w:rFonts w:hint="default" w:ascii="Times New Roman" w:hAnsi="Times New Roman" w:cs="Times New Roman"/>
          <w:color w:val="auto"/>
          <w:spacing w:val="20"/>
          <w:szCs w:val="21"/>
        </w:rPr>
        <w:t>2、“材料设备名称”和“推荐品牌”按第六章技术标准和要求中的相应内容填写。</w:t>
      </w:r>
    </w:p>
    <w:p>
      <w:pPr>
        <w:pStyle w:val="14"/>
        <w:rPr>
          <w:rFonts w:hint="default" w:ascii="Times New Roman" w:hAnsi="Times New Roman" w:eastAsia="宋体" w:cs="Times New Roman"/>
          <w:b w:val="0"/>
          <w:bCs w:val="0"/>
          <w:color w:val="auto"/>
          <w:spacing w:val="20"/>
          <w:szCs w:val="24"/>
        </w:rPr>
      </w:pPr>
    </w:p>
    <w:p>
      <w:pPr>
        <w:snapToGrid w:val="0"/>
        <w:spacing w:before="50" w:after="50"/>
        <w:rPr>
          <w:rFonts w:hint="default" w:ascii="Times New Roman" w:hAnsi="Times New Roman" w:cs="Times New Roman"/>
          <w:bCs/>
          <w:color w:val="auto"/>
          <w:spacing w:val="20"/>
          <w:sz w:val="24"/>
          <w:szCs w:val="24"/>
        </w:rPr>
      </w:pPr>
    </w:p>
    <w:p>
      <w:pPr>
        <w:pStyle w:val="36"/>
        <w:spacing w:line="440" w:lineRule="exact"/>
        <w:ind w:firstLine="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投标人：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（盖单位公章）</w:t>
      </w:r>
    </w:p>
    <w:p>
      <w:pPr>
        <w:spacing w:line="44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法定代表人或其委托代理人：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 xml:space="preserve">（签字或盖章） </w:t>
      </w:r>
    </w:p>
    <w:p>
      <w:pPr>
        <w:spacing w:line="44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    年    月    日</w:t>
      </w:r>
    </w:p>
    <w:p>
      <w:pPr>
        <w:snapToGrid w:val="0"/>
        <w:spacing w:before="50" w:after="50"/>
        <w:rPr>
          <w:rFonts w:hint="default" w:ascii="Times New Roman" w:hAnsi="Times New Roman" w:cs="Times New Roman"/>
          <w:bCs/>
          <w:color w:val="auto"/>
          <w:spacing w:val="20"/>
          <w:sz w:val="24"/>
          <w:szCs w:val="24"/>
        </w:rPr>
      </w:pPr>
    </w:p>
    <w:p>
      <w:pPr>
        <w:pStyle w:val="31"/>
        <w:rPr>
          <w:rFonts w:hint="default" w:ascii="Times New Roman" w:hAnsi="Times New Roman" w:cs="Times New Roman"/>
          <w:color w:val="auto"/>
        </w:rPr>
        <w:sectPr>
          <w:footerReference r:id="rId6" w:type="default"/>
          <w:footerReference r:id="rId7" w:type="even"/>
          <w:pgSz w:w="11907" w:h="16840"/>
          <w:pgMar w:top="1440" w:right="1134" w:bottom="1440" w:left="1134" w:header="680" w:footer="680" w:gutter="0"/>
          <w:cols w:space="720" w:num="1"/>
          <w:docGrid w:linePitch="271" w:charSpace="0"/>
        </w:sectPr>
      </w:pP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详细内容由投标单位根据投标人须知第3.1.2技术标部分内容进行编制，格式自拟。</w:t>
      </w:r>
    </w:p>
    <w:p>
      <w:pPr>
        <w:rPr>
          <w:rFonts w:hint="default" w:ascii="Times New Roman" w:hAnsi="Times New Roman" w:cs="Times New Roman"/>
          <w:b/>
          <w:color w:val="auto"/>
          <w:sz w:val="24"/>
          <w:szCs w:val="24"/>
        </w:rPr>
      </w:pPr>
    </w:p>
    <w:p>
      <w:pPr>
        <w:rPr>
          <w:rFonts w:hint="default" w:ascii="Times New Roman" w:hAnsi="Times New Roman" w:cs="Times New Roman"/>
          <w:color w:val="auto"/>
        </w:rPr>
      </w:pPr>
    </w:p>
    <w:p>
      <w:pPr>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rPr>
          <w:rFonts w:hint="default" w:ascii="Times New Roman" w:hAnsi="Times New Roman" w:cs="Times New Roman"/>
          <w:color w:val="auto"/>
        </w:rPr>
      </w:pPr>
    </w:p>
    <w:p>
      <w:pPr>
        <w:rPr>
          <w:rFonts w:hint="default" w:ascii="Times New Roman" w:hAnsi="Times New Roman" w:cs="Times New Roman"/>
          <w:color w:val="auto"/>
        </w:rPr>
      </w:pPr>
    </w:p>
    <w:p>
      <w:pPr>
        <w:adjustRightInd w:val="0"/>
        <w:snapToGrid w:val="0"/>
        <w:spacing w:line="800" w:lineRule="exact"/>
        <w:ind w:right="-420" w:rightChars="-200" w:firstLine="562" w:firstLineChars="200"/>
        <w:jc w:val="left"/>
        <w:rPr>
          <w:rFonts w:hint="default" w:ascii="Times New Roman" w:hAnsi="Times New Roman" w:cs="Times New Roman"/>
          <w:b/>
          <w:bCs/>
          <w:color w:val="auto"/>
          <w:spacing w:val="-11"/>
          <w:sz w:val="32"/>
          <w:szCs w:val="32"/>
          <w:u w:val="single"/>
        </w:rPr>
      </w:pPr>
      <w:bookmarkStart w:id="448" w:name="_Toc396986705"/>
      <w:r>
        <w:rPr>
          <w:rFonts w:hint="default" w:ascii="Times New Roman" w:hAnsi="Times New Roman" w:cs="Times New Roman"/>
          <w:b/>
          <w:color w:val="auto"/>
          <w:sz w:val="28"/>
          <w:szCs w:val="28"/>
        </w:rPr>
        <w:br w:type="page"/>
      </w:r>
      <w:bookmarkEnd w:id="448"/>
      <w:r>
        <w:rPr>
          <w:rFonts w:hint="default" w:ascii="Times New Roman" w:hAnsi="Times New Roman" w:cs="Times New Roman"/>
          <w:b/>
          <w:bCs/>
          <w:color w:val="auto"/>
          <w:spacing w:val="-11"/>
          <w:sz w:val="32"/>
          <w:szCs w:val="32"/>
        </w:rPr>
        <w:t>项目名称：</w:t>
      </w:r>
      <w:r>
        <w:rPr>
          <w:rFonts w:hint="default" w:ascii="Times New Roman" w:hAnsi="Times New Roman" w:cs="Times New Roman"/>
          <w:b/>
          <w:bCs/>
          <w:color w:val="auto"/>
          <w:spacing w:val="-11"/>
          <w:sz w:val="30"/>
          <w:szCs w:val="30"/>
          <w:u w:val="single"/>
        </w:rPr>
        <w:t xml:space="preserve">                                                                                              </w:t>
      </w: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投</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标</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文</w:t>
      </w:r>
    </w:p>
    <w:p>
      <w:pPr>
        <w:spacing w:line="1400" w:lineRule="exact"/>
        <w:jc w:val="center"/>
        <w:rPr>
          <w:rFonts w:hint="default" w:ascii="Times New Roman" w:hAnsi="Times New Roman" w:eastAsia="方正小标宋简体" w:cs="Times New Roman"/>
          <w:bCs/>
          <w:color w:val="auto"/>
          <w:sz w:val="72"/>
          <w:szCs w:val="72"/>
        </w:rPr>
      </w:pPr>
      <w:r>
        <w:rPr>
          <w:rFonts w:hint="default" w:ascii="Times New Roman" w:hAnsi="Times New Roman" w:eastAsia="方正小标宋简体" w:cs="Times New Roman"/>
          <w:bCs/>
          <w:color w:val="auto"/>
          <w:sz w:val="52"/>
          <w:szCs w:val="52"/>
        </w:rPr>
        <w:t>件</w:t>
      </w: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ind w:firstLine="416" w:firstLineChars="148"/>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投标文件内容：</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商务标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p>
    <w:p>
      <w:pPr>
        <w:adjustRightInd w:val="0"/>
        <w:snapToGrid w:val="0"/>
        <w:spacing w:line="800" w:lineRule="exact"/>
        <w:ind w:firstLine="416" w:firstLineChars="148"/>
        <w:rPr>
          <w:rFonts w:hint="default" w:ascii="Times New Roman" w:hAnsi="Times New Roman" w:cs="Times New Roman"/>
          <w:b/>
          <w:bCs/>
          <w:color w:val="auto"/>
          <w:sz w:val="28"/>
          <w:szCs w:val="28"/>
          <w:u w:val="single"/>
        </w:rPr>
      </w:pPr>
      <w:r>
        <w:rPr>
          <w:rFonts w:hint="default" w:ascii="Times New Roman" w:hAnsi="Times New Roman" w:cs="Times New Roman"/>
          <w:b/>
          <w:bCs/>
          <w:color w:val="auto"/>
          <w:sz w:val="28"/>
          <w:szCs w:val="28"/>
        </w:rPr>
        <w:t xml:space="preserve">投标人： </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 xml:space="preserve">（盖单位公章）      </w:t>
      </w:r>
    </w:p>
    <w:p>
      <w:pPr>
        <w:adjustRightInd w:val="0"/>
        <w:snapToGrid w:val="0"/>
        <w:spacing w:line="800" w:lineRule="exact"/>
        <w:ind w:firstLine="416" w:firstLineChars="148"/>
        <w:rPr>
          <w:rFonts w:hint="default" w:ascii="Times New Roman" w:hAnsi="Times New Roman" w:cs="Times New Roman"/>
          <w:b/>
          <w:bCs/>
          <w:color w:val="auto"/>
          <w:sz w:val="28"/>
          <w:szCs w:val="28"/>
          <w:u w:val="single"/>
        </w:rPr>
      </w:pPr>
      <w:r>
        <w:rPr>
          <w:rFonts w:hint="default" w:ascii="Times New Roman" w:hAnsi="Times New Roman" w:cs="Times New Roman"/>
          <w:b/>
          <w:bCs/>
          <w:color w:val="auto"/>
          <w:sz w:val="28"/>
          <w:szCs w:val="28"/>
        </w:rPr>
        <w:t>法定代表人：</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（签字或盖章）</w:t>
      </w:r>
    </w:p>
    <w:p>
      <w:pPr>
        <w:adjustRightInd w:val="0"/>
        <w:snapToGrid w:val="0"/>
        <w:spacing w:line="800" w:lineRule="exact"/>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 xml:space="preserve">   </w:t>
      </w:r>
      <w:r>
        <w:rPr>
          <w:rFonts w:hint="eastAsia" w:cs="Times New Roman"/>
          <w:b/>
          <w:bCs/>
          <w:color w:val="auto"/>
          <w:sz w:val="28"/>
          <w:szCs w:val="28"/>
          <w:lang w:val="en-US" w:eastAsia="zh-CN"/>
        </w:rPr>
        <w:t xml:space="preserve">   </w:t>
      </w:r>
      <w:r>
        <w:rPr>
          <w:rFonts w:hint="default" w:ascii="Times New Roman" w:hAnsi="Times New Roman" w:cs="Times New Roman"/>
          <w:b/>
          <w:bCs/>
          <w:color w:val="auto"/>
          <w:sz w:val="28"/>
          <w:szCs w:val="28"/>
        </w:rPr>
        <w:t xml:space="preserve">日      期： </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年</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月</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 xml:space="preserve">日  </w:t>
      </w:r>
    </w:p>
    <w:p>
      <w:pPr>
        <w:spacing w:line="400" w:lineRule="exact"/>
        <w:ind w:firstLine="210"/>
        <w:rPr>
          <w:rFonts w:hint="default" w:ascii="Times New Roman" w:hAnsi="Times New Roman" w:cs="Times New Roman" w:eastAsiaTheme="minorEastAsia"/>
          <w:color w:val="auto"/>
          <w:kern w:val="44"/>
          <w:sz w:val="24"/>
          <w:szCs w:val="24"/>
        </w:rPr>
      </w:pPr>
      <w:r>
        <w:rPr>
          <w:rFonts w:hint="default" w:ascii="Times New Roman" w:hAnsi="Times New Roman" w:cs="Times New Roman" w:eastAsiaTheme="minorEastAsia"/>
          <w:color w:val="auto"/>
          <w:kern w:val="44"/>
          <w:sz w:val="24"/>
          <w:szCs w:val="24"/>
        </w:rPr>
        <w:br w:type="page"/>
      </w:r>
      <w:bookmarkStart w:id="449" w:name="_Toc372212493"/>
      <w:bookmarkStart w:id="450" w:name="_Toc320271436"/>
      <w:bookmarkStart w:id="451" w:name="_Toc413527443"/>
    </w:p>
    <w:p>
      <w:pPr>
        <w:spacing w:line="420" w:lineRule="exact"/>
        <w:ind w:firstLine="321"/>
        <w:jc w:val="center"/>
        <w:rPr>
          <w:rFonts w:hint="default" w:ascii="Times New Roman" w:hAnsi="Times New Roman" w:cs="Times New Roman" w:eastAsiaTheme="minorEastAsia"/>
          <w:b/>
          <w:bCs/>
          <w:color w:val="auto"/>
          <w:sz w:val="28"/>
          <w:szCs w:val="28"/>
        </w:rPr>
      </w:pPr>
      <w:r>
        <w:rPr>
          <w:rFonts w:hint="default" w:ascii="Times New Roman" w:hAnsi="Times New Roman" w:cs="Times New Roman" w:eastAsiaTheme="minorEastAsia"/>
          <w:b/>
          <w:bCs/>
          <w:color w:val="auto"/>
          <w:sz w:val="28"/>
          <w:szCs w:val="28"/>
        </w:rPr>
        <w:t xml:space="preserve">投 标 </w:t>
      </w:r>
      <w:bookmarkEnd w:id="449"/>
      <w:bookmarkEnd w:id="450"/>
      <w:r>
        <w:rPr>
          <w:rFonts w:hint="default" w:ascii="Times New Roman" w:hAnsi="Times New Roman" w:cs="Times New Roman" w:eastAsiaTheme="minorEastAsia"/>
          <w:b/>
          <w:bCs/>
          <w:color w:val="auto"/>
          <w:sz w:val="28"/>
          <w:szCs w:val="28"/>
        </w:rPr>
        <w:t>函</w:t>
      </w:r>
      <w:bookmarkEnd w:id="451"/>
    </w:p>
    <w:p>
      <w:pPr>
        <w:spacing w:line="360" w:lineRule="auto"/>
        <w:ind w:firstLine="211"/>
        <w:rPr>
          <w:rFonts w:hint="default" w:ascii="Times New Roman" w:hAnsi="Times New Roman" w:cs="Times New Roman" w:eastAsiaTheme="minorEastAsia"/>
          <w:b/>
          <w:bCs/>
          <w:color w:val="auto"/>
          <w:sz w:val="24"/>
          <w:szCs w:val="24"/>
        </w:rPr>
      </w:pPr>
    </w:p>
    <w:p>
      <w:pPr>
        <w:spacing w:afterLines="50" w:line="360" w:lineRule="auto"/>
        <w:ind w:firstLine="210"/>
        <w:rPr>
          <w:rFonts w:hint="default" w:ascii="Times New Roman" w:hAnsi="Times New Roman" w:cs="Times New Roman"/>
          <w:b/>
          <w:color w:val="auto"/>
          <w:sz w:val="22"/>
          <w:u w:val="single"/>
        </w:rPr>
      </w:pPr>
      <w:r>
        <w:rPr>
          <w:rFonts w:hint="default" w:ascii="Times New Roman" w:hAnsi="Times New Roman" w:cs="Times New Roman"/>
          <w:b/>
          <w:color w:val="auto"/>
          <w:sz w:val="22"/>
          <w:u w:val="single"/>
        </w:rPr>
        <w:t xml:space="preserve">                    （招标人）：</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 xml:space="preserve">    我方已全面阅读和研究了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default" w:ascii="Times New Roman" w:hAnsi="Times New Roman" w:cs="Times New Roman"/>
          <w:bCs/>
          <w:color w:val="auto"/>
          <w:szCs w:val="21"/>
        </w:rPr>
        <w:t>(工程名称)</w:t>
      </w:r>
      <w:r>
        <w:rPr>
          <w:rFonts w:hint="default" w:ascii="Times New Roman" w:hAnsi="Times New Roman" w:cs="Times New Roman"/>
          <w:color w:val="auto"/>
          <w:szCs w:val="21"/>
        </w:rPr>
        <w:t>全部内容进行投标。最终报价为人民币</w:t>
      </w:r>
      <w:r>
        <w:rPr>
          <w:rFonts w:hint="default" w:ascii="Times New Roman" w:hAnsi="Times New Roman" w:cs="Times New Roman"/>
          <w:color w:val="auto"/>
          <w:szCs w:val="21"/>
          <w:u w:val="single"/>
        </w:rPr>
        <w:t xml:space="preserve">（大写）      </w:t>
      </w:r>
      <w:r>
        <w:rPr>
          <w:rFonts w:hint="default" w:ascii="Times New Roman" w:hAnsi="Times New Roman" w:cs="Times New Roman"/>
          <w:color w:val="auto"/>
          <w:szCs w:val="21"/>
        </w:rPr>
        <w:t>，品牌</w:t>
      </w:r>
      <w:r>
        <w:rPr>
          <w:rFonts w:hint="default" w:ascii="Times New Roman" w:hAnsi="Times New Roman" w:cs="Times New Roman"/>
          <w:color w:val="auto"/>
          <w:szCs w:val="21"/>
          <w:u w:val="single"/>
          <w:lang w:val="en-US" w:eastAsia="zh-CN"/>
        </w:rPr>
        <w:t xml:space="preserve">  /  </w:t>
      </w:r>
      <w:r>
        <w:rPr>
          <w:rFonts w:hint="default" w:ascii="Times New Roman" w:hAnsi="Times New Roman" w:cs="Times New Roman"/>
          <w:color w:val="auto"/>
          <w:szCs w:val="21"/>
        </w:rPr>
        <w:t>，产地</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u w:val="single"/>
          <w:lang w:val="en-US" w:eastAsia="zh-CN"/>
        </w:rPr>
        <w:t>/</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，交货期（工期）</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，质量</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标准。</w:t>
      </w:r>
    </w:p>
    <w:p>
      <w:pPr>
        <w:pStyle w:val="21"/>
        <w:spacing w:line="360" w:lineRule="auto"/>
        <w:ind w:firstLine="420" w:firstLineChars="20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我方将严格按照有关建设工程招标投标法规及招标文件的规定参加投标，并理解贵方不一定接受最低标价的投标，对定标结果也没有解释义务。如由我方中标，在接到你方发出的中标通知书起</w:t>
      </w:r>
      <w:r>
        <w:rPr>
          <w:rFonts w:hint="default" w:ascii="Times New Roman" w:hAnsi="Times New Roman" w:eastAsia="宋体" w:cs="Times New Roman"/>
          <w:color w:val="auto"/>
          <w:sz w:val="21"/>
          <w:szCs w:val="21"/>
          <w:lang w:val="en-US" w:eastAsia="zh-CN"/>
        </w:rPr>
        <w:t>15</w:t>
      </w:r>
      <w:r>
        <w:rPr>
          <w:rFonts w:hint="default" w:ascii="Times New Roman" w:hAnsi="Times New Roman" w:eastAsia="宋体" w:cs="Times New Roman"/>
          <w:color w:val="auto"/>
          <w:sz w:val="21"/>
          <w:szCs w:val="21"/>
        </w:rPr>
        <w:t>天内</w:t>
      </w:r>
      <w:r>
        <w:rPr>
          <w:rFonts w:hint="default" w:ascii="Times New Roman" w:hAnsi="Times New Roman" w:eastAsia="宋体" w:cs="Times New Roman"/>
          <w:color w:val="auto"/>
          <w:sz w:val="21"/>
          <w:szCs w:val="21"/>
        </w:rPr>
        <w:t>递交委托合同价2%的履约保证金，并按中标通知书、招标文件和本投标函的约定与你方签订委托合同，履行规定的一切责任和义务。</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我们同意从投标之日起</w:t>
      </w:r>
      <w:r>
        <w:rPr>
          <w:rFonts w:hint="default" w:ascii="Times New Roman" w:hAnsi="Times New Roman" w:cs="Times New Roman"/>
          <w:color w:val="auto"/>
          <w:szCs w:val="21"/>
        </w:rPr>
        <w:t>在</w:t>
      </w:r>
      <w:r>
        <w:rPr>
          <w:rFonts w:hint="default" w:ascii="Times New Roman" w:hAnsi="Times New Roman" w:cs="Times New Roman"/>
          <w:color w:val="auto"/>
          <w:szCs w:val="21"/>
          <w:u w:val="single"/>
          <w:lang w:val="en-US" w:eastAsia="zh-CN"/>
        </w:rPr>
        <w:t xml:space="preserve">    </w:t>
      </w:r>
      <w:r>
        <w:rPr>
          <w:rFonts w:hint="default" w:ascii="Times New Roman" w:hAnsi="Times New Roman" w:cs="Times New Roman"/>
          <w:color w:val="auto"/>
          <w:szCs w:val="21"/>
        </w:rPr>
        <w:t>天</w:t>
      </w:r>
      <w:r>
        <w:rPr>
          <w:rFonts w:hint="default" w:ascii="Times New Roman" w:hAnsi="Times New Roman" w:cs="Times New Roman"/>
          <w:color w:val="auto"/>
          <w:szCs w:val="21"/>
        </w:rPr>
        <w:t>的有效期内恪守本招标文件，在此期限期满之前的任何时间，本投标函全部条款内容对我方具有约束力。</w:t>
      </w:r>
    </w:p>
    <w:p>
      <w:pPr>
        <w:spacing w:line="360" w:lineRule="auto"/>
        <w:ind w:firstLine="420" w:firstLineChars="200"/>
        <w:rPr>
          <w:rFonts w:hint="default" w:ascii="Times New Roman" w:hAnsi="Times New Roman" w:cs="Times New Roman" w:eastAsiaTheme="minorEastAsia"/>
          <w:b/>
          <w:color w:val="auto"/>
          <w:szCs w:val="21"/>
        </w:rPr>
      </w:pPr>
      <w:r>
        <w:rPr>
          <w:rFonts w:hint="default" w:ascii="Times New Roman" w:hAnsi="Times New Roman" w:cs="Times New Roman"/>
          <w:color w:val="auto"/>
          <w:szCs w:val="21"/>
        </w:rPr>
        <w:t>在合同协议书正式签署生效之前，本投标函连同你方的中标通知书将构成我们双方之间共同遵守的文件，对双方具有约束力。</w:t>
      </w:r>
    </w:p>
    <w:p>
      <w:pPr>
        <w:spacing w:line="360" w:lineRule="auto"/>
        <w:ind w:left="480" w:firstLine="211"/>
        <w:rPr>
          <w:rFonts w:hint="default" w:ascii="Times New Roman" w:hAnsi="Times New Roman" w:cs="Times New Roman" w:eastAsiaTheme="minorEastAsia"/>
          <w:b/>
          <w:color w:val="auto"/>
          <w:szCs w:val="21"/>
        </w:rPr>
      </w:pPr>
    </w:p>
    <w:p>
      <w:pPr>
        <w:spacing w:line="360" w:lineRule="auto"/>
        <w:ind w:left="480" w:firstLine="211"/>
        <w:rPr>
          <w:rFonts w:hint="default" w:ascii="Times New Roman" w:hAnsi="Times New Roman" w:cs="Times New Roman" w:eastAsiaTheme="minorEastAsia"/>
          <w:b/>
          <w:color w:val="auto"/>
          <w:szCs w:val="21"/>
        </w:rPr>
      </w:pPr>
    </w:p>
    <w:p>
      <w:pPr>
        <w:spacing w:line="360" w:lineRule="auto"/>
        <w:ind w:firstLine="21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 xml:space="preserve">   投标单位（盖单位公章）：               法定代表或授权代表（签字或盖章）：</w:t>
      </w: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    联系人：                              </w:t>
      </w:r>
      <w:r>
        <w:rPr>
          <w:rFonts w:hint="eastAsia"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t xml:space="preserve"> 联系地址：</w:t>
      </w: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    电话：                                 </w:t>
      </w:r>
      <w:r>
        <w:rPr>
          <w:rFonts w:hint="eastAsia"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t>邮编：</w:t>
      </w:r>
    </w:p>
    <w:p>
      <w:pPr>
        <w:spacing w:line="360" w:lineRule="auto"/>
        <w:ind w:firstLine="210"/>
        <w:rPr>
          <w:rFonts w:hint="default" w:ascii="Times New Roman" w:hAnsi="Times New Roman" w:cs="Times New Roman" w:eastAsiaTheme="minorEastAsia"/>
          <w:color w:val="auto"/>
          <w:szCs w:val="21"/>
        </w:rPr>
      </w:pPr>
    </w:p>
    <w:p>
      <w:pPr>
        <w:spacing w:line="360" w:lineRule="auto"/>
        <w:ind w:firstLine="210"/>
        <w:jc w:val="center"/>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 xml:space="preserve">     年   月   日</w:t>
      </w:r>
    </w:p>
    <w:p>
      <w:pPr>
        <w:rPr>
          <w:rFonts w:hint="default" w:ascii="Times New Roman" w:hAnsi="Times New Roman" w:cs="Times New Roman"/>
          <w:color w:val="auto"/>
          <w:szCs w:val="21"/>
          <w:u w:val="single"/>
        </w:rPr>
      </w:pPr>
      <w:r>
        <w:rPr>
          <w:rFonts w:hint="default" w:ascii="Times New Roman" w:hAnsi="Times New Roman" w:cs="Times New Roman" w:eastAsiaTheme="minorEastAsia"/>
          <w:color w:val="auto"/>
          <w:sz w:val="24"/>
          <w:szCs w:val="24"/>
        </w:rPr>
        <w:br w:type="page"/>
      </w:r>
      <w:bookmarkStart w:id="452" w:name="_Toc9908"/>
      <w:bookmarkStart w:id="453" w:name="_Toc413527444"/>
      <w:bookmarkStart w:id="454" w:name="_Toc372212495"/>
      <w:bookmarkStart w:id="455" w:name="_Toc320271438"/>
      <w:bookmarkStart w:id="456" w:name="_Toc372212494"/>
      <w:bookmarkStart w:id="457" w:name="_Toc320271437"/>
    </w:p>
    <w:bookmarkEnd w:id="452"/>
    <w:p>
      <w:pPr>
        <w:pStyle w:val="4"/>
        <w:spacing w:before="120" w:after="120" w:line="400" w:lineRule="exact"/>
        <w:ind w:firstLine="280"/>
        <w:rPr>
          <w:rFonts w:hint="default" w:ascii="Times New Roman" w:hAnsi="Times New Roman" w:cs="Times New Roman" w:eastAsiaTheme="minorEastAsia"/>
          <w:b w:val="0"/>
          <w:bCs w:val="0"/>
          <w:color w:val="auto"/>
          <w:sz w:val="24"/>
          <w:szCs w:val="24"/>
        </w:rPr>
      </w:pPr>
      <w:bookmarkStart w:id="458" w:name="_Toc11551"/>
      <w:r>
        <w:rPr>
          <w:rFonts w:hint="default" w:ascii="Times New Roman" w:hAnsi="Times New Roman" w:cs="Times New Roman" w:eastAsiaTheme="minorEastAsia"/>
          <w:b w:val="0"/>
          <w:bCs w:val="0"/>
          <w:color w:val="auto"/>
          <w:sz w:val="24"/>
          <w:szCs w:val="24"/>
        </w:rPr>
        <w:t>法定代表人身份证明</w:t>
      </w:r>
      <w:bookmarkEnd w:id="453"/>
      <w:bookmarkEnd w:id="454"/>
      <w:bookmarkEnd w:id="455"/>
      <w:bookmarkEnd w:id="458"/>
    </w:p>
    <w:p>
      <w:pPr>
        <w:spacing w:line="360" w:lineRule="auto"/>
        <w:ind w:firstLine="280"/>
        <w:jc w:val="center"/>
        <w:rPr>
          <w:rFonts w:hint="default" w:ascii="Times New Roman" w:hAnsi="Times New Roman" w:cs="Times New Roman" w:eastAsiaTheme="minorEastAsia"/>
          <w:color w:val="auto"/>
          <w:kern w:val="44"/>
          <w:sz w:val="24"/>
          <w:szCs w:val="24"/>
        </w:rPr>
      </w:pPr>
    </w:p>
    <w:p>
      <w:pPr>
        <w:ind w:firstLine="210"/>
        <w:rPr>
          <w:rFonts w:hint="default" w:ascii="Times New Roman" w:hAnsi="Times New Roman" w:cs="Times New Roman" w:eastAsiaTheme="minorEastAsia"/>
          <w:color w:val="auto"/>
          <w:sz w:val="24"/>
          <w:szCs w:val="24"/>
        </w:rPr>
      </w:pP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投标人名称：</w:t>
      </w:r>
      <w:r>
        <w:rPr>
          <w:rFonts w:hint="default" w:ascii="Times New Roman" w:hAnsi="Times New Roman" w:cs="Times New Roman" w:eastAsiaTheme="minorEastAsia"/>
          <w:color w:val="auto"/>
          <w:sz w:val="24"/>
          <w:szCs w:val="24"/>
          <w:u w:val="single"/>
        </w:rPr>
        <w:t xml:space="preserve">                                   </w:t>
      </w:r>
      <w:r>
        <w:rPr>
          <w:rFonts w:hint="eastAsia" w:cs="Times New Roman" w:eastAsiaTheme="minorEastAsia"/>
          <w:color w:val="auto"/>
          <w:sz w:val="24"/>
          <w:szCs w:val="24"/>
          <w:u w:val="single"/>
          <w:lang w:val="en-US" w:eastAsia="zh-CN"/>
        </w:rPr>
        <w:t xml:space="preserve">                                          </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单位性质：</w:t>
      </w:r>
      <w:r>
        <w:rPr>
          <w:rFonts w:hint="default" w:ascii="Times New Roman" w:hAnsi="Times New Roman" w:cs="Times New Roman" w:eastAsiaTheme="minorEastAsia"/>
          <w:color w:val="auto"/>
          <w:sz w:val="24"/>
          <w:szCs w:val="24"/>
          <w:u w:val="single"/>
        </w:rPr>
        <w:t xml:space="preserve">                                        </w:t>
      </w:r>
      <w:r>
        <w:rPr>
          <w:rFonts w:hint="eastAsia" w:cs="Times New Roman" w:eastAsiaTheme="minorEastAsia"/>
          <w:color w:val="auto"/>
          <w:sz w:val="24"/>
          <w:szCs w:val="24"/>
          <w:u w:val="single"/>
          <w:lang w:val="en-US" w:eastAsia="zh-CN"/>
        </w:rPr>
        <w:t xml:space="preserve">                                            </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地址：</w:t>
      </w:r>
      <w:r>
        <w:rPr>
          <w:rFonts w:hint="default" w:ascii="Times New Roman" w:hAnsi="Times New Roman" w:cs="Times New Roman" w:eastAsiaTheme="minorEastAsia"/>
          <w:color w:val="auto"/>
          <w:sz w:val="24"/>
          <w:szCs w:val="24"/>
          <w:u w:val="single"/>
        </w:rPr>
        <w:t xml:space="preserve">                                                </w:t>
      </w:r>
      <w:r>
        <w:rPr>
          <w:rFonts w:hint="eastAsia" w:cs="Times New Roman" w:eastAsiaTheme="minorEastAsia"/>
          <w:color w:val="auto"/>
          <w:sz w:val="24"/>
          <w:szCs w:val="24"/>
          <w:u w:val="single"/>
          <w:lang w:val="en-US" w:eastAsia="zh-CN"/>
        </w:rPr>
        <w:t xml:space="preserve">                                                </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成立时间：   年   月   日</w:t>
      </w: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经营期限：</w:t>
      </w:r>
      <w:r>
        <w:rPr>
          <w:rFonts w:hint="default" w:ascii="Times New Roman" w:hAnsi="Times New Roman" w:cs="Times New Roman" w:eastAsiaTheme="minorEastAsia"/>
          <w:color w:val="auto"/>
          <w:sz w:val="24"/>
          <w:szCs w:val="24"/>
          <w:u w:val="single"/>
        </w:rPr>
        <w:t xml:space="preserve">                     </w:t>
      </w:r>
      <w:r>
        <w:rPr>
          <w:rFonts w:hint="eastAsia" w:cs="Times New Roman" w:eastAsiaTheme="minorEastAsia"/>
          <w:color w:val="auto"/>
          <w:sz w:val="24"/>
          <w:szCs w:val="24"/>
          <w:u w:val="single"/>
          <w:lang w:val="en-US" w:eastAsia="zh-CN"/>
        </w:rPr>
        <w:t xml:space="preserve">                                               </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姓名：          性别：       年龄：         职务：</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系 </w:t>
      </w:r>
      <w:r>
        <w:rPr>
          <w:rFonts w:hint="default" w:ascii="Times New Roman" w:hAnsi="Times New Roman" w:cs="Times New Roman" w:eastAsiaTheme="minorEastAsia"/>
          <w:color w:val="auto"/>
          <w:sz w:val="24"/>
          <w:szCs w:val="24"/>
          <w:u w:val="single"/>
        </w:rPr>
        <w:t xml:space="preserve">           </w:t>
      </w:r>
      <w:r>
        <w:rPr>
          <w:rFonts w:hint="eastAsia" w:cs="Times New Roman" w:eastAsiaTheme="minorEastAsia"/>
          <w:color w:val="auto"/>
          <w:sz w:val="24"/>
          <w:szCs w:val="24"/>
          <w:u w:val="single"/>
          <w:lang w:val="en-US" w:eastAsia="zh-CN"/>
        </w:rPr>
        <w:t xml:space="preserve">                                         </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（投标人名称）的法定代表人。</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特此证明。</w:t>
      </w:r>
    </w:p>
    <w:p>
      <w:pPr>
        <w:spacing w:line="480" w:lineRule="auto"/>
        <w:ind w:firstLine="480" w:firstLineChars="200"/>
        <w:rPr>
          <w:rFonts w:hint="default" w:ascii="Times New Roman" w:hAnsi="Times New Roman" w:cs="Times New Roman" w:eastAsiaTheme="minorEastAsia"/>
          <w:color w:val="auto"/>
          <w:sz w:val="24"/>
          <w:szCs w:val="24"/>
        </w:rPr>
      </w:pPr>
    </w:p>
    <w:p>
      <w:pPr>
        <w:spacing w:line="480" w:lineRule="auto"/>
        <w:ind w:firstLine="480" w:firstLineChars="200"/>
        <w:rPr>
          <w:rFonts w:hint="default" w:ascii="Times New Roman" w:hAnsi="Times New Roman" w:cs="Times New Roman" w:eastAsiaTheme="minorEastAsia"/>
          <w:color w:val="auto"/>
          <w:sz w:val="24"/>
          <w:szCs w:val="24"/>
        </w:rPr>
      </w:pP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                          投标人：</w:t>
      </w:r>
      <w:r>
        <w:rPr>
          <w:rFonts w:hint="default" w:ascii="Times New Roman" w:hAnsi="Times New Roman" w:cs="Times New Roman" w:eastAsiaTheme="minorEastAsia"/>
          <w:color w:val="auto"/>
          <w:sz w:val="24"/>
          <w:szCs w:val="24"/>
          <w:u w:val="single"/>
        </w:rPr>
        <w:t xml:space="preserve">         </w:t>
      </w:r>
      <w:r>
        <w:rPr>
          <w:rFonts w:hint="eastAsia" w:cs="Times New Roman" w:eastAsiaTheme="minorEastAsia"/>
          <w:color w:val="auto"/>
          <w:sz w:val="24"/>
          <w:szCs w:val="24"/>
          <w:u w:val="single"/>
          <w:lang w:val="en-US" w:eastAsia="zh-CN"/>
        </w:rPr>
        <w:t xml:space="preserve">                                    </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（盖单位公章）</w:t>
      </w:r>
    </w:p>
    <w:p>
      <w:pPr>
        <w:spacing w:line="480" w:lineRule="auto"/>
        <w:ind w:firstLine="4080" w:firstLineChars="17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年   月  日         </w:t>
      </w:r>
    </w:p>
    <w:p>
      <w:pPr>
        <w:ind w:firstLine="210"/>
        <w:rPr>
          <w:rFonts w:hint="default" w:ascii="Times New Roman" w:hAnsi="Times New Roman" w:cs="Times New Roman" w:eastAsiaTheme="minorEastAsia"/>
          <w:color w:val="auto"/>
          <w:sz w:val="24"/>
          <w:szCs w:val="24"/>
        </w:rPr>
      </w:pPr>
    </w:p>
    <w:tbl>
      <w:tblPr>
        <w:tblStyle w:val="38"/>
        <w:tblW w:w="8079" w:type="dxa"/>
        <w:tblInd w:w="534" w:type="dxa"/>
        <w:tblLayout w:type="fixed"/>
        <w:tblCellMar>
          <w:top w:w="0" w:type="dxa"/>
          <w:left w:w="108" w:type="dxa"/>
          <w:bottom w:w="0" w:type="dxa"/>
          <w:right w:w="108" w:type="dxa"/>
        </w:tblCellMar>
      </w:tblPr>
      <w:tblGrid>
        <w:gridCol w:w="8079"/>
      </w:tblGrid>
      <w:tr>
        <w:tblPrEx>
          <w:tblCellMar>
            <w:top w:w="0" w:type="dxa"/>
            <w:left w:w="108" w:type="dxa"/>
            <w:bottom w:w="0" w:type="dxa"/>
            <w:right w:w="108" w:type="dxa"/>
          </w:tblCellMar>
        </w:tblPrEx>
        <w:trPr>
          <w:trHeight w:val="3437" w:hRule="atLeast"/>
        </w:trPr>
        <w:tc>
          <w:tcPr>
            <w:tcW w:w="8079"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firstLine="21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法定代表人身份证复印件</w:t>
            </w: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tc>
      </w:tr>
    </w:tbl>
    <w:p>
      <w:pPr>
        <w:pStyle w:val="4"/>
        <w:spacing w:before="120" w:after="120" w:line="400" w:lineRule="exact"/>
        <w:ind w:firstLine="321"/>
        <w:jc w:val="left"/>
        <w:rPr>
          <w:rFonts w:hint="default" w:ascii="Times New Roman" w:hAnsi="Times New Roman" w:cs="Times New Roman" w:eastAsiaTheme="minorEastAsia"/>
          <w:b w:val="0"/>
          <w:bCs w:val="0"/>
          <w:color w:val="auto"/>
          <w:sz w:val="24"/>
          <w:szCs w:val="24"/>
        </w:rPr>
      </w:pPr>
      <w:r>
        <w:rPr>
          <w:rFonts w:hint="default" w:ascii="Times New Roman" w:hAnsi="Times New Roman" w:cs="Times New Roman" w:eastAsiaTheme="minorEastAsia"/>
          <w:color w:val="auto"/>
          <w:sz w:val="24"/>
          <w:szCs w:val="24"/>
        </w:rPr>
        <w:br w:type="page"/>
      </w:r>
      <w:bookmarkStart w:id="459" w:name="_Toc144974861"/>
      <w:bookmarkStart w:id="460" w:name="_Toc413527446"/>
      <w:bookmarkStart w:id="461" w:name="_Toc234515648"/>
      <w:bookmarkStart w:id="462" w:name="_Toc413527445"/>
      <w:bookmarkStart w:id="463" w:name="_Toc152045792"/>
      <w:bookmarkStart w:id="464" w:name="_Toc229646792"/>
      <w:bookmarkStart w:id="465" w:name="_Toc152042581"/>
    </w:p>
    <w:p>
      <w:pPr>
        <w:pStyle w:val="4"/>
        <w:spacing w:before="120" w:after="120" w:line="400" w:lineRule="exact"/>
        <w:ind w:firstLine="280"/>
        <w:rPr>
          <w:rFonts w:hint="default" w:ascii="Times New Roman" w:hAnsi="Times New Roman" w:cs="Times New Roman" w:eastAsiaTheme="minorEastAsia"/>
          <w:b w:val="0"/>
          <w:bCs w:val="0"/>
          <w:color w:val="auto"/>
          <w:sz w:val="24"/>
          <w:szCs w:val="24"/>
        </w:rPr>
      </w:pPr>
      <w:bookmarkStart w:id="466" w:name="_Toc16693"/>
      <w:r>
        <w:rPr>
          <w:rFonts w:hint="default" w:ascii="Times New Roman" w:hAnsi="Times New Roman" w:cs="Times New Roman" w:eastAsiaTheme="minorEastAsia"/>
          <w:b w:val="0"/>
          <w:bCs w:val="0"/>
          <w:color w:val="auto"/>
          <w:sz w:val="24"/>
          <w:szCs w:val="24"/>
        </w:rPr>
        <w:t>授权委托书</w:t>
      </w:r>
      <w:bookmarkEnd w:id="456"/>
      <w:bookmarkEnd w:id="457"/>
      <w:bookmarkEnd w:id="459"/>
      <w:bookmarkEnd w:id="460"/>
      <w:bookmarkEnd w:id="461"/>
      <w:bookmarkEnd w:id="462"/>
      <w:bookmarkEnd w:id="463"/>
      <w:bookmarkEnd w:id="464"/>
      <w:bookmarkEnd w:id="465"/>
      <w:bookmarkEnd w:id="466"/>
    </w:p>
    <w:p>
      <w:pPr>
        <w:spacing w:line="420" w:lineRule="exact"/>
        <w:ind w:firstLine="280"/>
        <w:rPr>
          <w:rFonts w:hint="default" w:ascii="Times New Roman" w:hAnsi="Times New Roman" w:cs="Times New Roman" w:eastAsiaTheme="minorEastAsia"/>
          <w:color w:val="auto"/>
          <w:kern w:val="44"/>
          <w:sz w:val="24"/>
          <w:szCs w:val="24"/>
        </w:rPr>
      </w:pPr>
    </w:p>
    <w:p>
      <w:pPr>
        <w:topLinePunct/>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本人</w:t>
      </w:r>
      <w:r>
        <w:rPr>
          <w:rFonts w:hint="default" w:ascii="Times New Roman" w:hAnsi="Times New Roman" w:cs="Times New Roman" w:eastAsiaTheme="minorEastAsia"/>
          <w:color w:val="auto"/>
          <w:szCs w:val="21"/>
          <w:u w:val="single"/>
        </w:rPr>
        <w:t xml:space="preserve">    </w:t>
      </w:r>
      <w:r>
        <w:rPr>
          <w:rFonts w:hint="eastAsia" w:cs="Times New Roman" w:eastAsiaTheme="minorEastAsia"/>
          <w:color w:val="auto"/>
          <w:szCs w:val="21"/>
          <w:u w:val="single"/>
          <w:lang w:val="en-US" w:eastAsia="zh-CN"/>
        </w:rPr>
        <w:t xml:space="preserve">     </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（姓名）系</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（投标人名称）的法定代表人，现委托</w:t>
      </w:r>
      <w:r>
        <w:rPr>
          <w:rFonts w:hint="default" w:ascii="Times New Roman" w:hAnsi="Times New Roman" w:cs="Times New Roman" w:eastAsiaTheme="minorEastAsia"/>
          <w:color w:val="auto"/>
          <w:szCs w:val="21"/>
          <w:u w:val="single"/>
        </w:rPr>
        <w:t xml:space="preserve">     </w:t>
      </w:r>
      <w:r>
        <w:rPr>
          <w:rFonts w:hint="eastAsia" w:cs="Times New Roman" w:eastAsiaTheme="minorEastAsia"/>
          <w:color w:val="auto"/>
          <w:szCs w:val="21"/>
          <w:u w:val="single"/>
          <w:lang w:val="en-US" w:eastAsia="zh-CN"/>
        </w:rPr>
        <w:t xml:space="preserve">           </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（姓名）为我方代理人。代理人根据授权，以我方名义签署、澄清、说明、补正、递交、撤回、修改</w:t>
      </w:r>
      <w:r>
        <w:rPr>
          <w:rFonts w:hint="default" w:ascii="Times New Roman" w:hAnsi="Times New Roman" w:cs="Times New Roman" w:eastAsiaTheme="minorEastAsia"/>
          <w:color w:val="auto"/>
          <w:szCs w:val="21"/>
          <w:u w:val="single"/>
          <w:lang w:val="en-US" w:eastAsia="zh-CN"/>
        </w:rPr>
        <w:t xml:space="preserve">     </w:t>
      </w:r>
      <w:r>
        <w:rPr>
          <w:rFonts w:hint="eastAsia" w:cs="Times New Roman" w:eastAsiaTheme="minorEastAsia"/>
          <w:color w:val="auto"/>
          <w:szCs w:val="21"/>
          <w:u w:val="single"/>
          <w:lang w:val="en-US" w:eastAsia="zh-CN"/>
        </w:rPr>
        <w:t xml:space="preserve">         </w:t>
      </w:r>
      <w:r>
        <w:rPr>
          <w:rFonts w:hint="default" w:ascii="Times New Roman" w:hAnsi="Times New Roman" w:cs="Times New Roman" w:eastAsiaTheme="minorEastAsia"/>
          <w:color w:val="auto"/>
          <w:szCs w:val="21"/>
        </w:rPr>
        <w:t>（项目名称）的投标文件、签订合同和处理有关事宜，其法律后果由我方承担。</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委托期限：。</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代理人无转委托权。</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附：法定代表人身份证明</w:t>
      </w:r>
    </w:p>
    <w:p>
      <w:pPr>
        <w:spacing w:line="360" w:lineRule="auto"/>
        <w:ind w:firstLine="200"/>
        <w:rPr>
          <w:rFonts w:hint="default" w:ascii="Times New Roman" w:hAnsi="Times New Roman" w:cs="Times New Roman" w:eastAsiaTheme="minorEastAsia"/>
          <w:color w:val="auto"/>
          <w:szCs w:val="21"/>
        </w:rPr>
      </w:pPr>
    </w:p>
    <w:p>
      <w:pPr>
        <w:spacing w:line="360" w:lineRule="auto"/>
        <w:ind w:firstLine="200"/>
        <w:rPr>
          <w:rFonts w:hint="default" w:ascii="Times New Roman" w:hAnsi="Times New Roman" w:cs="Times New Roman" w:eastAsiaTheme="minorEastAsia"/>
          <w:color w:val="auto"/>
          <w:sz w:val="20"/>
          <w:szCs w:val="20"/>
        </w:rPr>
      </w:pP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投标人：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法定代表人：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（签字或盖章）</w:t>
      </w:r>
    </w:p>
    <w:p>
      <w:pPr>
        <w:spacing w:line="360" w:lineRule="auto"/>
        <w:ind w:firstLine="20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身份证号码：</w:t>
      </w:r>
      <w:r>
        <w:rPr>
          <w:rFonts w:hint="default" w:ascii="Times New Roman" w:hAnsi="Times New Roman" w:cs="Times New Roman" w:eastAsiaTheme="minorEastAsia"/>
          <w:color w:val="auto"/>
          <w:szCs w:val="21"/>
          <w:u w:val="single"/>
        </w:rPr>
        <w:t xml:space="preserve">                     </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委托代理人：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 xml:space="preserve">（签字或盖章） </w:t>
      </w:r>
    </w:p>
    <w:p>
      <w:pPr>
        <w:spacing w:line="360" w:lineRule="auto"/>
        <w:ind w:firstLine="20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身份证号码：</w:t>
      </w:r>
      <w:r>
        <w:rPr>
          <w:rFonts w:hint="default" w:ascii="Times New Roman" w:hAnsi="Times New Roman" w:cs="Times New Roman" w:eastAsiaTheme="minorEastAsia"/>
          <w:color w:val="auto"/>
          <w:szCs w:val="21"/>
          <w:u w:val="single"/>
        </w:rPr>
        <w:t xml:space="preserve">                     </w:t>
      </w:r>
    </w:p>
    <w:p>
      <w:pPr>
        <w:spacing w:line="480" w:lineRule="auto"/>
        <w:ind w:firstLine="200"/>
        <w:rPr>
          <w:rFonts w:hint="default" w:ascii="Times New Roman" w:hAnsi="Times New Roman" w:cs="Times New Roman" w:eastAsiaTheme="minorEastAsia"/>
          <w:color w:val="auto"/>
          <w:szCs w:val="21"/>
        </w:rPr>
      </w:pPr>
    </w:p>
    <w:p>
      <w:pPr>
        <w:spacing w:line="480" w:lineRule="auto"/>
        <w:ind w:firstLine="2310" w:firstLineChars="11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p>
      <w:pPr>
        <w:spacing w:line="480" w:lineRule="auto"/>
        <w:ind w:firstLine="5565" w:firstLineChars="2650"/>
        <w:rPr>
          <w:rFonts w:hint="default" w:ascii="Times New Roman" w:hAnsi="Times New Roman" w:cs="Times New Roman" w:eastAsiaTheme="minorEastAsia"/>
          <w:color w:val="auto"/>
          <w:szCs w:val="21"/>
        </w:rPr>
      </w:pPr>
    </w:p>
    <w:p>
      <w:pPr>
        <w:ind w:firstLine="210"/>
        <w:rPr>
          <w:rFonts w:hint="default" w:ascii="Times New Roman" w:hAnsi="Times New Roman" w:cs="Times New Roman" w:eastAsiaTheme="minorEastAsia"/>
          <w:color w:val="auto"/>
          <w:szCs w:val="21"/>
        </w:rPr>
      </w:pPr>
    </w:p>
    <w:p>
      <w:pPr>
        <w:ind w:firstLine="210"/>
        <w:rPr>
          <w:rFonts w:hint="default" w:ascii="Times New Roman" w:hAnsi="Times New Roman" w:cs="Times New Roman" w:eastAsiaTheme="minorEastAsia"/>
          <w:color w:val="auto"/>
          <w:szCs w:val="21"/>
        </w:rPr>
      </w:pPr>
    </w:p>
    <w:tbl>
      <w:tblPr>
        <w:tblStyle w:val="38"/>
        <w:tblW w:w="8363" w:type="dxa"/>
        <w:tblInd w:w="392" w:type="dxa"/>
        <w:tblLayout w:type="fixed"/>
        <w:tblCellMar>
          <w:top w:w="0" w:type="dxa"/>
          <w:left w:w="108" w:type="dxa"/>
          <w:bottom w:w="0" w:type="dxa"/>
          <w:right w:w="108" w:type="dxa"/>
        </w:tblCellMar>
      </w:tblPr>
      <w:tblGrid>
        <w:gridCol w:w="8363"/>
      </w:tblGrid>
      <w:tr>
        <w:tblPrEx>
          <w:tblCellMar>
            <w:top w:w="0" w:type="dxa"/>
            <w:left w:w="108" w:type="dxa"/>
            <w:bottom w:w="0" w:type="dxa"/>
            <w:right w:w="108" w:type="dxa"/>
          </w:tblCellMar>
        </w:tblPrEx>
        <w:trPr>
          <w:trHeight w:val="3110" w:hRule="atLeast"/>
        </w:trPr>
        <w:tc>
          <w:tcPr>
            <w:tcW w:w="8363" w:type="dxa"/>
            <w:tcBorders>
              <w:top w:val="single" w:color="auto" w:sz="4" w:space="0"/>
              <w:left w:val="single" w:color="auto" w:sz="4" w:space="0"/>
              <w:bottom w:val="single" w:color="auto" w:sz="4" w:space="0"/>
              <w:right w:val="single" w:color="auto" w:sz="4" w:space="0"/>
            </w:tcBorders>
          </w:tcPr>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firstLine="21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委托代理人身份证复印件</w:t>
            </w: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tc>
      </w:tr>
    </w:tbl>
    <w:p>
      <w:pPr>
        <w:jc w:val="left"/>
        <w:rPr>
          <w:rFonts w:hint="default" w:ascii="Times New Roman" w:hAnsi="Times New Roman" w:cs="Times New Roman" w:eastAsiaTheme="minorEastAsia"/>
          <w:b/>
          <w:color w:val="auto"/>
          <w:sz w:val="24"/>
          <w:szCs w:val="24"/>
        </w:rPr>
      </w:pPr>
    </w:p>
    <w:p>
      <w:pPr>
        <w:spacing w:line="360" w:lineRule="auto"/>
        <w:ind w:firstLine="211"/>
        <w:jc w:val="left"/>
        <w:rPr>
          <w:rFonts w:hint="default" w:ascii="Times New Roman" w:hAnsi="Times New Roman" w:cs="Times New Roman" w:eastAsiaTheme="minorEastAsia"/>
          <w:b/>
          <w:color w:val="auto"/>
          <w:sz w:val="24"/>
          <w:szCs w:val="24"/>
        </w:rPr>
      </w:pPr>
    </w:p>
    <w:p>
      <w:pPr>
        <w:spacing w:line="360" w:lineRule="auto"/>
        <w:jc w:val="left"/>
        <w:rPr>
          <w:rFonts w:hint="default" w:ascii="Times New Roman" w:hAnsi="Times New Roman" w:cs="Times New Roman" w:eastAsiaTheme="minorEastAsia"/>
          <w:bCs/>
          <w:strike/>
          <w:color w:val="auto"/>
          <w:sz w:val="24"/>
          <w:szCs w:val="24"/>
        </w:rPr>
      </w:pPr>
    </w:p>
    <w:p>
      <w:pPr>
        <w:spacing w:line="360" w:lineRule="exact"/>
        <w:ind w:firstLine="420" w:firstLineChars="200"/>
        <w:rPr>
          <w:rFonts w:hint="default" w:ascii="Times New Roman" w:hAnsi="Times New Roman" w:cs="Times New Roman"/>
          <w:color w:val="auto"/>
          <w:szCs w:val="21"/>
        </w:rPr>
      </w:pPr>
    </w:p>
    <w:p>
      <w:pPr>
        <w:spacing w:line="360" w:lineRule="auto"/>
        <w:ind w:firstLine="211"/>
        <w:jc w:val="left"/>
        <w:rPr>
          <w:rFonts w:hint="default" w:ascii="Times New Roman" w:hAnsi="Times New Roman" w:cs="Times New Roman" w:eastAsiaTheme="minorEastAsia"/>
          <w:b/>
          <w:color w:val="auto"/>
          <w:sz w:val="24"/>
          <w:szCs w:val="24"/>
        </w:rPr>
        <w:sectPr>
          <w:footerReference r:id="rId8" w:type="default"/>
          <w:footerReference r:id="rId9" w:type="even"/>
          <w:pgSz w:w="11907" w:h="16840"/>
          <w:pgMar w:top="1440" w:right="1134" w:bottom="1440" w:left="1134" w:header="680" w:footer="680" w:gutter="0"/>
          <w:cols w:space="720" w:num="1"/>
          <w:docGrid w:linePitch="271" w:charSpace="0"/>
        </w:sectPr>
      </w:pPr>
    </w:p>
    <w:p>
      <w:pPr>
        <w:ind w:firstLine="321"/>
        <w:jc w:val="center"/>
        <w:rPr>
          <w:rFonts w:hint="default" w:ascii="Times New Roman" w:hAnsi="Times New Roman" w:cs="Times New Roman" w:eastAsiaTheme="minorEastAsia"/>
          <w:b/>
          <w:color w:val="auto"/>
          <w:spacing w:val="20"/>
          <w:sz w:val="28"/>
          <w:szCs w:val="28"/>
        </w:rPr>
      </w:pPr>
      <w:r>
        <w:rPr>
          <w:rFonts w:hint="default" w:ascii="Times New Roman" w:hAnsi="Times New Roman" w:cs="Times New Roman" w:eastAsiaTheme="minorEastAsia"/>
          <w:b/>
          <w:color w:val="auto"/>
          <w:spacing w:val="20"/>
          <w:sz w:val="28"/>
          <w:szCs w:val="28"/>
          <w:u w:val="single"/>
        </w:rPr>
        <w:t xml:space="preserve">                  </w:t>
      </w:r>
      <w:r>
        <w:rPr>
          <w:rFonts w:hint="default" w:ascii="Times New Roman" w:hAnsi="Times New Roman" w:cs="Times New Roman" w:eastAsiaTheme="minorEastAsia"/>
          <w:b/>
          <w:color w:val="auto"/>
          <w:spacing w:val="20"/>
          <w:sz w:val="28"/>
          <w:szCs w:val="28"/>
        </w:rPr>
        <w:t>投 标 报 价 表</w:t>
      </w:r>
    </w:p>
    <w:p>
      <w:pPr>
        <w:pStyle w:val="2"/>
        <w:rPr>
          <w:rFonts w:hint="default" w:ascii="Times New Roman" w:hAnsi="Times New Roman" w:cs="Times New Roman"/>
          <w:color w:val="auto"/>
        </w:rPr>
      </w:pPr>
    </w:p>
    <w:p>
      <w:pPr>
        <w:tabs>
          <w:tab w:val="left" w:pos="1800"/>
        </w:tabs>
        <w:ind w:firstLine="2880" w:firstLineChars="1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                                                                        </w:t>
      </w:r>
    </w:p>
    <w:tbl>
      <w:tblPr>
        <w:tblStyle w:val="38"/>
        <w:tblW w:w="14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1703"/>
        <w:gridCol w:w="1098"/>
        <w:gridCol w:w="886"/>
        <w:gridCol w:w="895"/>
        <w:gridCol w:w="1172"/>
        <w:gridCol w:w="1261"/>
        <w:gridCol w:w="1600"/>
        <w:gridCol w:w="1473"/>
        <w:gridCol w:w="986"/>
        <w:gridCol w:w="1408"/>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57"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w:t>
            </w:r>
          </w:p>
        </w:tc>
        <w:tc>
          <w:tcPr>
            <w:tcW w:w="1703"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w:t>
            </w:r>
          </w:p>
        </w:tc>
        <w:tc>
          <w:tcPr>
            <w:tcW w:w="1098"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3</w:t>
            </w:r>
          </w:p>
        </w:tc>
        <w:tc>
          <w:tcPr>
            <w:tcW w:w="886"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4</w:t>
            </w:r>
          </w:p>
        </w:tc>
        <w:tc>
          <w:tcPr>
            <w:tcW w:w="895"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5</w:t>
            </w:r>
          </w:p>
        </w:tc>
        <w:tc>
          <w:tcPr>
            <w:tcW w:w="1172"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6</w:t>
            </w:r>
          </w:p>
        </w:tc>
        <w:tc>
          <w:tcPr>
            <w:tcW w:w="1261"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7</w:t>
            </w:r>
          </w:p>
        </w:tc>
        <w:tc>
          <w:tcPr>
            <w:tcW w:w="1600"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8</w:t>
            </w:r>
          </w:p>
        </w:tc>
        <w:tc>
          <w:tcPr>
            <w:tcW w:w="1473"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9</w:t>
            </w:r>
          </w:p>
        </w:tc>
        <w:tc>
          <w:tcPr>
            <w:tcW w:w="986"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10</w:t>
            </w:r>
          </w:p>
        </w:tc>
        <w:tc>
          <w:tcPr>
            <w:tcW w:w="1408"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11</w:t>
            </w:r>
          </w:p>
        </w:tc>
        <w:tc>
          <w:tcPr>
            <w:tcW w:w="765"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12</w:t>
            </w:r>
          </w:p>
        </w:tc>
        <w:tc>
          <w:tcPr>
            <w:tcW w:w="1057"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57"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项号</w:t>
            </w:r>
          </w:p>
        </w:tc>
        <w:tc>
          <w:tcPr>
            <w:tcW w:w="1703"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货物名称</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型号规格</w:t>
            </w:r>
          </w:p>
        </w:tc>
        <w:tc>
          <w:tcPr>
            <w:tcW w:w="1098"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产地</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(品牌)</w:t>
            </w:r>
          </w:p>
        </w:tc>
        <w:tc>
          <w:tcPr>
            <w:tcW w:w="886"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单位</w:t>
            </w:r>
          </w:p>
        </w:tc>
        <w:tc>
          <w:tcPr>
            <w:tcW w:w="895"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数量</w:t>
            </w:r>
          </w:p>
        </w:tc>
        <w:tc>
          <w:tcPr>
            <w:tcW w:w="1172" w:type="dxa"/>
            <w:vAlign w:val="center"/>
          </w:tcPr>
          <w:p>
            <w:pPr>
              <w:tabs>
                <w:tab w:val="left" w:pos="1800"/>
              </w:tabs>
              <w:ind w:left="0" w:leftChars="-50" w:hanging="105" w:hangingChars="44"/>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出厂单价</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(含税)</w:t>
            </w:r>
          </w:p>
        </w:tc>
        <w:tc>
          <w:tcPr>
            <w:tcW w:w="1261" w:type="dxa"/>
            <w:vAlign w:val="center"/>
          </w:tcPr>
          <w:p>
            <w:pPr>
              <w:tabs>
                <w:tab w:val="left" w:pos="1800"/>
              </w:tabs>
              <w:ind w:left="1" w:leftChars="-51" w:hanging="108" w:hangingChars="45"/>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运杂、及保险费</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(含税)</w:t>
            </w:r>
          </w:p>
        </w:tc>
        <w:tc>
          <w:tcPr>
            <w:tcW w:w="1600"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特殊工具费</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备品备件费(含税)</w:t>
            </w:r>
          </w:p>
        </w:tc>
        <w:tc>
          <w:tcPr>
            <w:tcW w:w="1473"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相关服务费</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(含税)</w:t>
            </w:r>
          </w:p>
        </w:tc>
        <w:tc>
          <w:tcPr>
            <w:tcW w:w="986"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其他</w:t>
            </w:r>
          </w:p>
          <w:p>
            <w:pPr>
              <w:widowControl/>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(含税)</w:t>
            </w:r>
          </w:p>
        </w:tc>
        <w:tc>
          <w:tcPr>
            <w:tcW w:w="1408"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综合单价</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(含税) </w:t>
            </w:r>
          </w:p>
        </w:tc>
        <w:tc>
          <w:tcPr>
            <w:tcW w:w="765"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总价</w:t>
            </w:r>
          </w:p>
        </w:tc>
        <w:tc>
          <w:tcPr>
            <w:tcW w:w="1057" w:type="dxa"/>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57"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3" w:type="dxa"/>
            <w:vAlign w:val="center"/>
          </w:tcPr>
          <w:p>
            <w:pPr>
              <w:tabs>
                <w:tab w:val="left" w:pos="1800"/>
              </w:tabs>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一、</w:t>
            </w:r>
            <w:r>
              <w:rPr>
                <w:rFonts w:hint="default" w:ascii="Times New Roman" w:hAnsi="Times New Roman" w:cs="Times New Roman"/>
                <w:b/>
                <w:bCs/>
                <w:color w:val="auto"/>
                <w:szCs w:val="21"/>
              </w:rPr>
              <w:t>手术室吊塔配置清单</w:t>
            </w:r>
          </w:p>
        </w:tc>
        <w:tc>
          <w:tcPr>
            <w:tcW w:w="109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88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895"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172"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261"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600"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73"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986" w:type="dxa"/>
            <w:vAlign w:val="center"/>
          </w:tcPr>
          <w:p>
            <w:pPr>
              <w:widowControl/>
              <w:jc w:val="left"/>
              <w:rPr>
                <w:rFonts w:hint="default" w:ascii="Times New Roman" w:hAnsi="Times New Roman" w:cs="Times New Roman" w:eastAsiaTheme="minorEastAsia"/>
                <w:color w:val="auto"/>
                <w:sz w:val="24"/>
                <w:szCs w:val="24"/>
              </w:rPr>
            </w:pPr>
          </w:p>
        </w:tc>
        <w:tc>
          <w:tcPr>
            <w:tcW w:w="140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765" w:type="dxa"/>
          </w:tcPr>
          <w:p>
            <w:pPr>
              <w:tabs>
                <w:tab w:val="left" w:pos="1800"/>
              </w:tabs>
              <w:jc w:val="left"/>
              <w:rPr>
                <w:rFonts w:hint="default" w:ascii="Times New Roman" w:hAnsi="Times New Roman" w:cs="Times New Roman" w:eastAsiaTheme="minorEastAsia"/>
                <w:color w:val="auto"/>
                <w:sz w:val="24"/>
                <w:szCs w:val="24"/>
              </w:rPr>
            </w:pPr>
          </w:p>
        </w:tc>
        <w:tc>
          <w:tcPr>
            <w:tcW w:w="1057"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57"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3" w:type="dxa"/>
            <w:vAlign w:val="center"/>
          </w:tcPr>
          <w:p>
            <w:pPr>
              <w:tabs>
                <w:tab w:val="left" w:pos="1800"/>
              </w:tabs>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以下按清单内容填写</w:t>
            </w:r>
          </w:p>
        </w:tc>
        <w:tc>
          <w:tcPr>
            <w:tcW w:w="109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88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895"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172"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261"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600"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73"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986"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0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765" w:type="dxa"/>
          </w:tcPr>
          <w:p>
            <w:pPr>
              <w:tabs>
                <w:tab w:val="left" w:pos="1800"/>
              </w:tabs>
              <w:jc w:val="left"/>
              <w:rPr>
                <w:rFonts w:hint="default" w:ascii="Times New Roman" w:hAnsi="Times New Roman" w:cs="Times New Roman" w:eastAsiaTheme="minorEastAsia"/>
                <w:color w:val="auto"/>
                <w:sz w:val="24"/>
                <w:szCs w:val="24"/>
              </w:rPr>
            </w:pPr>
          </w:p>
        </w:tc>
        <w:tc>
          <w:tcPr>
            <w:tcW w:w="1057"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7"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3" w:type="dxa"/>
            <w:vAlign w:val="center"/>
          </w:tcPr>
          <w:p>
            <w:pPr>
              <w:tabs>
                <w:tab w:val="left" w:pos="1800"/>
              </w:tabs>
              <w:rPr>
                <w:rFonts w:hint="default" w:ascii="Times New Roman" w:hAnsi="Times New Roman" w:cs="Times New Roman" w:eastAsiaTheme="minorEastAsia"/>
                <w:color w:val="auto"/>
                <w:szCs w:val="21"/>
              </w:rPr>
            </w:pPr>
            <w:r>
              <w:rPr>
                <w:rFonts w:hint="default" w:ascii="Times New Roman" w:hAnsi="Times New Roman" w:cs="Times New Roman"/>
                <w:b/>
                <w:bCs/>
                <w:color w:val="auto"/>
                <w:szCs w:val="21"/>
              </w:rPr>
              <w:t>二、其他清单</w:t>
            </w:r>
          </w:p>
        </w:tc>
        <w:tc>
          <w:tcPr>
            <w:tcW w:w="109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88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895"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172"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261"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600"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73"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986"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0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765" w:type="dxa"/>
          </w:tcPr>
          <w:p>
            <w:pPr>
              <w:tabs>
                <w:tab w:val="left" w:pos="1800"/>
              </w:tabs>
              <w:jc w:val="left"/>
              <w:rPr>
                <w:rFonts w:hint="default" w:ascii="Times New Roman" w:hAnsi="Times New Roman" w:cs="Times New Roman" w:eastAsiaTheme="minorEastAsia"/>
                <w:color w:val="auto"/>
                <w:sz w:val="24"/>
                <w:szCs w:val="24"/>
              </w:rPr>
            </w:pPr>
          </w:p>
        </w:tc>
        <w:tc>
          <w:tcPr>
            <w:tcW w:w="1057"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7"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3" w:type="dxa"/>
            <w:vAlign w:val="center"/>
          </w:tcPr>
          <w:p>
            <w:pPr>
              <w:tabs>
                <w:tab w:val="left" w:pos="1800"/>
              </w:tabs>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以下内容由投标单位自行填写</w:t>
            </w:r>
          </w:p>
        </w:tc>
        <w:tc>
          <w:tcPr>
            <w:tcW w:w="109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886"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895"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172"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261"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600"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73"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986"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1408" w:type="dxa"/>
            <w:vAlign w:val="center"/>
          </w:tcPr>
          <w:p>
            <w:pPr>
              <w:tabs>
                <w:tab w:val="left" w:pos="1800"/>
              </w:tabs>
              <w:jc w:val="left"/>
              <w:rPr>
                <w:rFonts w:hint="default" w:ascii="Times New Roman" w:hAnsi="Times New Roman" w:cs="Times New Roman" w:eastAsiaTheme="minorEastAsia"/>
                <w:color w:val="auto"/>
                <w:sz w:val="24"/>
                <w:szCs w:val="24"/>
              </w:rPr>
            </w:pPr>
          </w:p>
        </w:tc>
        <w:tc>
          <w:tcPr>
            <w:tcW w:w="765" w:type="dxa"/>
          </w:tcPr>
          <w:p>
            <w:pPr>
              <w:tabs>
                <w:tab w:val="left" w:pos="1800"/>
              </w:tabs>
              <w:jc w:val="left"/>
              <w:rPr>
                <w:rFonts w:hint="default" w:ascii="Times New Roman" w:hAnsi="Times New Roman" w:cs="Times New Roman" w:eastAsiaTheme="minorEastAsia"/>
                <w:color w:val="auto"/>
                <w:sz w:val="24"/>
                <w:szCs w:val="24"/>
              </w:rPr>
            </w:pPr>
          </w:p>
        </w:tc>
        <w:tc>
          <w:tcPr>
            <w:tcW w:w="1057"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7"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3" w:type="dxa"/>
            <w:vAlign w:val="center"/>
          </w:tcPr>
          <w:p>
            <w:pPr>
              <w:tabs>
                <w:tab w:val="left" w:pos="1800"/>
              </w:tabs>
              <w:rPr>
                <w:rFonts w:hint="default" w:ascii="Times New Roman" w:hAnsi="Times New Roman" w:cs="Times New Roman" w:eastAsiaTheme="minorEastAsia"/>
                <w:color w:val="auto"/>
                <w:szCs w:val="21"/>
              </w:rPr>
            </w:pPr>
            <w:r>
              <w:rPr>
                <w:rFonts w:hint="default" w:ascii="Times New Roman" w:hAnsi="Times New Roman" w:cs="Times New Roman"/>
                <w:bCs/>
                <w:color w:val="auto"/>
                <w:szCs w:val="21"/>
                <w:shd w:val="clear" w:color="auto" w:fill="auto"/>
              </w:rPr>
              <w:t>穿越所有楼地面、墙面的管线所用金属套管费用</w:t>
            </w:r>
          </w:p>
        </w:tc>
        <w:tc>
          <w:tcPr>
            <w:tcW w:w="10779" w:type="dxa"/>
            <w:gridSpan w:val="9"/>
            <w:vAlign w:val="center"/>
          </w:tcPr>
          <w:p>
            <w:pPr>
              <w:tabs>
                <w:tab w:val="left" w:pos="1800"/>
              </w:tabs>
              <w:jc w:val="left"/>
              <w:rPr>
                <w:rFonts w:hint="default" w:ascii="Times New Roman" w:hAnsi="Times New Roman" w:cs="Times New Roman" w:eastAsiaTheme="minorEastAsia"/>
                <w:color w:val="auto"/>
                <w:sz w:val="24"/>
                <w:szCs w:val="24"/>
              </w:rPr>
            </w:pPr>
          </w:p>
        </w:tc>
        <w:tc>
          <w:tcPr>
            <w:tcW w:w="765" w:type="dxa"/>
          </w:tcPr>
          <w:p>
            <w:pPr>
              <w:tabs>
                <w:tab w:val="left" w:pos="1800"/>
              </w:tabs>
              <w:jc w:val="left"/>
              <w:rPr>
                <w:rFonts w:hint="default" w:ascii="Times New Roman" w:hAnsi="Times New Roman" w:cs="Times New Roman" w:eastAsiaTheme="minorEastAsia"/>
                <w:color w:val="auto"/>
                <w:sz w:val="24"/>
                <w:szCs w:val="24"/>
              </w:rPr>
            </w:pPr>
          </w:p>
        </w:tc>
        <w:tc>
          <w:tcPr>
            <w:tcW w:w="1057"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7"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3" w:type="dxa"/>
            <w:vAlign w:val="center"/>
          </w:tcPr>
          <w:p>
            <w:pPr>
              <w:tabs>
                <w:tab w:val="left" w:pos="1800"/>
              </w:tabs>
              <w:rPr>
                <w:rFonts w:hint="default" w:ascii="Times New Roman" w:hAnsi="Times New Roman" w:cs="Times New Roman" w:eastAsiaTheme="minorEastAsia"/>
                <w:b/>
                <w:color w:val="auto"/>
                <w:szCs w:val="21"/>
              </w:rPr>
            </w:pPr>
            <w:r>
              <w:rPr>
                <w:rStyle w:val="51"/>
                <w:rFonts w:hint="default" w:ascii="Times New Roman" w:hAnsi="Times New Roman" w:cs="Times New Roman"/>
                <w:color w:val="auto"/>
              </w:rPr>
              <w:t>2年质保期内驻场人员费用</w:t>
            </w:r>
          </w:p>
        </w:tc>
        <w:tc>
          <w:tcPr>
            <w:tcW w:w="10779" w:type="dxa"/>
            <w:gridSpan w:val="9"/>
            <w:vAlign w:val="center"/>
          </w:tcPr>
          <w:p>
            <w:pPr>
              <w:tabs>
                <w:tab w:val="left" w:pos="1800"/>
              </w:tabs>
              <w:jc w:val="left"/>
              <w:rPr>
                <w:rFonts w:hint="default" w:ascii="Times New Roman" w:hAnsi="Times New Roman" w:cs="Times New Roman" w:eastAsiaTheme="minorEastAsia"/>
                <w:color w:val="auto"/>
                <w:sz w:val="24"/>
                <w:szCs w:val="24"/>
              </w:rPr>
            </w:pPr>
          </w:p>
        </w:tc>
        <w:tc>
          <w:tcPr>
            <w:tcW w:w="765" w:type="dxa"/>
          </w:tcPr>
          <w:p>
            <w:pPr>
              <w:tabs>
                <w:tab w:val="left" w:pos="1800"/>
              </w:tabs>
              <w:jc w:val="left"/>
              <w:rPr>
                <w:rFonts w:hint="default" w:ascii="Times New Roman" w:hAnsi="Times New Roman" w:cs="Times New Roman" w:eastAsiaTheme="minorEastAsia"/>
                <w:color w:val="auto"/>
                <w:sz w:val="24"/>
                <w:szCs w:val="24"/>
              </w:rPr>
            </w:pPr>
          </w:p>
        </w:tc>
        <w:tc>
          <w:tcPr>
            <w:tcW w:w="1057"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7"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3" w:type="dxa"/>
            <w:vAlign w:val="center"/>
          </w:tcPr>
          <w:p>
            <w:pPr>
              <w:tabs>
                <w:tab w:val="left" w:pos="1800"/>
              </w:tabs>
              <w:rPr>
                <w:rFonts w:hint="default" w:ascii="Times New Roman" w:hAnsi="Times New Roman" w:cs="Times New Roman" w:eastAsiaTheme="minorEastAsia"/>
                <w:b/>
                <w:color w:val="auto"/>
                <w:szCs w:val="21"/>
              </w:rPr>
            </w:pPr>
            <w:r>
              <w:rPr>
                <w:rStyle w:val="51"/>
                <w:rFonts w:hint="default" w:ascii="Times New Roman" w:hAnsi="Times New Roman" w:cs="Times New Roman"/>
                <w:color w:val="auto"/>
              </w:rPr>
              <w:t>质保优惠期内驻场人员费用</w:t>
            </w:r>
          </w:p>
        </w:tc>
        <w:tc>
          <w:tcPr>
            <w:tcW w:w="10779" w:type="dxa"/>
            <w:gridSpan w:val="9"/>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优惠期</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年×</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人</w:t>
            </w:r>
          </w:p>
        </w:tc>
        <w:tc>
          <w:tcPr>
            <w:tcW w:w="765" w:type="dxa"/>
          </w:tcPr>
          <w:p>
            <w:pPr>
              <w:tabs>
                <w:tab w:val="left" w:pos="1800"/>
              </w:tabs>
              <w:jc w:val="left"/>
              <w:rPr>
                <w:rFonts w:hint="default" w:ascii="Times New Roman" w:hAnsi="Times New Roman" w:cs="Times New Roman" w:eastAsiaTheme="minorEastAsia"/>
                <w:color w:val="auto"/>
                <w:sz w:val="24"/>
                <w:szCs w:val="24"/>
              </w:rPr>
            </w:pPr>
          </w:p>
        </w:tc>
        <w:tc>
          <w:tcPr>
            <w:tcW w:w="1057"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7"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3" w:type="dxa"/>
            <w:vAlign w:val="center"/>
          </w:tcPr>
          <w:p>
            <w:pPr>
              <w:tabs>
                <w:tab w:val="left" w:pos="1800"/>
              </w:tabs>
              <w:rPr>
                <w:rStyle w:val="51"/>
                <w:rFonts w:hint="default" w:ascii="Times New Roman" w:hAnsi="Times New Roman" w:cs="Times New Roman"/>
                <w:color w:val="auto"/>
              </w:rPr>
            </w:pPr>
            <w:r>
              <w:rPr>
                <w:rStyle w:val="51"/>
                <w:rFonts w:hint="default" w:ascii="Times New Roman" w:hAnsi="Times New Roman" w:cs="Times New Roman"/>
                <w:color w:val="auto"/>
              </w:rPr>
              <w:t>投标人提供的材料、辅助材料、专用工具及备品备件（易损件）</w:t>
            </w:r>
          </w:p>
        </w:tc>
        <w:tc>
          <w:tcPr>
            <w:tcW w:w="10779" w:type="dxa"/>
            <w:gridSpan w:val="9"/>
            <w:vAlign w:val="center"/>
          </w:tcPr>
          <w:p>
            <w:pPr>
              <w:tabs>
                <w:tab w:val="left" w:pos="1800"/>
              </w:tabs>
              <w:jc w:val="center"/>
              <w:rPr>
                <w:rFonts w:hint="default" w:ascii="Times New Roman" w:hAnsi="Times New Roman" w:cs="Times New Roman" w:eastAsiaTheme="minorEastAsia"/>
                <w:color w:val="auto"/>
                <w:szCs w:val="21"/>
              </w:rPr>
            </w:pPr>
          </w:p>
        </w:tc>
        <w:tc>
          <w:tcPr>
            <w:tcW w:w="765" w:type="dxa"/>
          </w:tcPr>
          <w:p>
            <w:pPr>
              <w:tabs>
                <w:tab w:val="left" w:pos="1800"/>
              </w:tabs>
              <w:jc w:val="left"/>
              <w:rPr>
                <w:rFonts w:hint="default" w:ascii="Times New Roman" w:hAnsi="Times New Roman" w:cs="Times New Roman" w:eastAsiaTheme="minorEastAsia"/>
                <w:color w:val="auto"/>
                <w:sz w:val="24"/>
                <w:szCs w:val="24"/>
              </w:rPr>
            </w:pPr>
          </w:p>
        </w:tc>
        <w:tc>
          <w:tcPr>
            <w:tcW w:w="1057"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7"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3" w:type="dxa"/>
            <w:vAlign w:val="center"/>
          </w:tcPr>
          <w:p>
            <w:pPr>
              <w:tabs>
                <w:tab w:val="left" w:pos="1800"/>
              </w:tabs>
              <w:jc w:val="center"/>
              <w:rPr>
                <w:rFonts w:hint="default" w:ascii="Times New Roman" w:hAnsi="Times New Roman" w:cs="Times New Roman" w:eastAsiaTheme="minorEastAsia"/>
                <w:b/>
                <w:color w:val="auto"/>
                <w:szCs w:val="21"/>
              </w:rPr>
            </w:pPr>
            <w:r>
              <w:rPr>
                <w:rFonts w:hint="default" w:ascii="Times New Roman" w:hAnsi="Times New Roman" w:cs="Times New Roman" w:eastAsiaTheme="minorEastAsia"/>
                <w:b/>
                <w:color w:val="auto"/>
                <w:szCs w:val="21"/>
              </w:rPr>
              <w:t>（1）小  计</w:t>
            </w:r>
          </w:p>
        </w:tc>
        <w:tc>
          <w:tcPr>
            <w:tcW w:w="10779" w:type="dxa"/>
            <w:gridSpan w:val="9"/>
            <w:vAlign w:val="center"/>
          </w:tcPr>
          <w:p>
            <w:pPr>
              <w:tabs>
                <w:tab w:val="left" w:pos="1800"/>
              </w:tabs>
              <w:jc w:val="left"/>
              <w:rPr>
                <w:rFonts w:hint="default" w:ascii="Times New Roman" w:hAnsi="Times New Roman" w:cs="Times New Roman" w:eastAsiaTheme="minorEastAsia"/>
                <w:color w:val="auto"/>
                <w:sz w:val="24"/>
                <w:szCs w:val="24"/>
              </w:rPr>
            </w:pPr>
          </w:p>
        </w:tc>
        <w:tc>
          <w:tcPr>
            <w:tcW w:w="765" w:type="dxa"/>
          </w:tcPr>
          <w:p>
            <w:pPr>
              <w:tabs>
                <w:tab w:val="left" w:pos="1800"/>
              </w:tabs>
              <w:jc w:val="left"/>
              <w:rPr>
                <w:rFonts w:hint="default" w:ascii="Times New Roman" w:hAnsi="Times New Roman" w:cs="Times New Roman" w:eastAsiaTheme="minorEastAsia"/>
                <w:color w:val="auto"/>
                <w:sz w:val="24"/>
                <w:szCs w:val="24"/>
              </w:rPr>
            </w:pPr>
          </w:p>
        </w:tc>
        <w:tc>
          <w:tcPr>
            <w:tcW w:w="1057"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7"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3" w:type="dxa"/>
            <w:vAlign w:val="center"/>
          </w:tcPr>
          <w:p>
            <w:pPr>
              <w:tabs>
                <w:tab w:val="left" w:pos="1800"/>
              </w:tabs>
              <w:rPr>
                <w:rFonts w:hint="default" w:ascii="Times New Roman" w:hAnsi="Times New Roman" w:cs="Times New Roman" w:eastAsiaTheme="minorEastAsia"/>
                <w:color w:val="auto"/>
                <w:szCs w:val="21"/>
              </w:rPr>
            </w:pPr>
            <w:r>
              <w:rPr>
                <w:rStyle w:val="51"/>
                <w:rFonts w:hint="default" w:ascii="Times New Roman" w:hAnsi="Times New Roman" w:cs="Times New Roman" w:eastAsiaTheme="minorEastAsia"/>
                <w:color w:val="auto"/>
              </w:rPr>
              <w:t>（2）现场必须发生费用</w:t>
            </w:r>
          </w:p>
        </w:tc>
        <w:tc>
          <w:tcPr>
            <w:tcW w:w="10779" w:type="dxa"/>
            <w:gridSpan w:val="9"/>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w:t>
            </w:r>
          </w:p>
        </w:tc>
        <w:tc>
          <w:tcPr>
            <w:tcW w:w="765" w:type="dxa"/>
          </w:tcPr>
          <w:p>
            <w:pPr>
              <w:tabs>
                <w:tab w:val="left" w:pos="1800"/>
              </w:tabs>
              <w:jc w:val="left"/>
              <w:rPr>
                <w:rFonts w:hint="default" w:ascii="Times New Roman" w:hAnsi="Times New Roman" w:cs="Times New Roman" w:eastAsiaTheme="minorEastAsia"/>
                <w:color w:val="auto"/>
                <w:sz w:val="24"/>
                <w:szCs w:val="24"/>
              </w:rPr>
            </w:pPr>
          </w:p>
        </w:tc>
        <w:tc>
          <w:tcPr>
            <w:tcW w:w="1057" w:type="dxa"/>
          </w:tcPr>
          <w:p>
            <w:pPr>
              <w:tabs>
                <w:tab w:val="left" w:pos="1800"/>
              </w:tabs>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Cs w:val="21"/>
              </w:rPr>
              <w:t>填报费率不得低于4%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57" w:type="dxa"/>
            <w:vAlign w:val="center"/>
          </w:tcPr>
          <w:p>
            <w:pPr>
              <w:tabs>
                <w:tab w:val="left" w:pos="1800"/>
              </w:tabs>
              <w:jc w:val="center"/>
              <w:rPr>
                <w:rFonts w:hint="default" w:ascii="Times New Roman" w:hAnsi="Times New Roman" w:cs="Times New Roman" w:eastAsiaTheme="minorEastAsia"/>
                <w:color w:val="auto"/>
                <w:sz w:val="24"/>
                <w:szCs w:val="24"/>
              </w:rPr>
            </w:pPr>
          </w:p>
        </w:tc>
        <w:tc>
          <w:tcPr>
            <w:tcW w:w="1703" w:type="dxa"/>
            <w:vAlign w:val="center"/>
          </w:tcPr>
          <w:p>
            <w:pPr>
              <w:tabs>
                <w:tab w:val="left" w:pos="1800"/>
              </w:tabs>
              <w:rPr>
                <w:rStyle w:val="51"/>
                <w:rFonts w:hint="default" w:ascii="Times New Roman" w:hAnsi="Times New Roman" w:cs="Times New Roman"/>
                <w:color w:val="auto"/>
              </w:rPr>
            </w:pPr>
            <w:r>
              <w:rPr>
                <w:rStyle w:val="51"/>
                <w:rFonts w:hint="default" w:ascii="Times New Roman" w:hAnsi="Times New Roman" w:cs="Times New Roman"/>
                <w:color w:val="auto"/>
              </w:rPr>
              <w:t>不可预见费</w:t>
            </w:r>
          </w:p>
        </w:tc>
        <w:tc>
          <w:tcPr>
            <w:tcW w:w="10779" w:type="dxa"/>
            <w:gridSpan w:val="9"/>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[（1）+（2）]× 3 %</w:t>
            </w:r>
          </w:p>
        </w:tc>
        <w:tc>
          <w:tcPr>
            <w:tcW w:w="765" w:type="dxa"/>
          </w:tcPr>
          <w:p>
            <w:pPr>
              <w:tabs>
                <w:tab w:val="left" w:pos="1800"/>
              </w:tabs>
              <w:jc w:val="left"/>
              <w:rPr>
                <w:rFonts w:hint="default" w:ascii="Times New Roman" w:hAnsi="Times New Roman" w:cs="Times New Roman" w:eastAsiaTheme="minorEastAsia"/>
                <w:color w:val="auto"/>
                <w:sz w:val="24"/>
                <w:szCs w:val="24"/>
              </w:rPr>
            </w:pPr>
          </w:p>
        </w:tc>
        <w:tc>
          <w:tcPr>
            <w:tcW w:w="1057" w:type="dxa"/>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3258" w:type="dxa"/>
            <w:gridSpan w:val="3"/>
            <w:vAlign w:val="center"/>
          </w:tcPr>
          <w:p>
            <w:pPr>
              <w:tabs>
                <w:tab w:val="left" w:pos="1800"/>
              </w:tabs>
              <w:jc w:val="left"/>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投标总价合计</w:t>
            </w:r>
          </w:p>
        </w:tc>
        <w:tc>
          <w:tcPr>
            <w:tcW w:w="10446" w:type="dxa"/>
            <w:gridSpan w:val="9"/>
            <w:vAlign w:val="center"/>
          </w:tcPr>
          <w:p>
            <w:pPr>
              <w:tabs>
                <w:tab w:val="left" w:pos="1800"/>
              </w:tabs>
              <w:jc w:val="left"/>
              <w:rPr>
                <w:rFonts w:hint="default" w:ascii="Times New Roman" w:hAnsi="Times New Roman" w:cs="Times New Roman" w:eastAsiaTheme="minorEastAsia"/>
                <w:b/>
                <w:color w:val="auto"/>
                <w:sz w:val="24"/>
                <w:szCs w:val="24"/>
                <w:u w:val="single"/>
              </w:rPr>
            </w:pPr>
            <w:r>
              <w:rPr>
                <w:rFonts w:hint="default" w:ascii="Times New Roman" w:hAnsi="Times New Roman" w:cs="Times New Roman" w:eastAsiaTheme="minorEastAsia"/>
                <w:b/>
                <w:color w:val="auto"/>
                <w:sz w:val="24"/>
                <w:szCs w:val="24"/>
              </w:rPr>
              <w:t>大写:</w:t>
            </w:r>
            <w:r>
              <w:rPr>
                <w:rFonts w:hint="default" w:ascii="Times New Roman" w:hAnsi="Times New Roman" w:cs="Times New Roman" w:eastAsiaTheme="minorEastAsia"/>
                <w:b/>
                <w:color w:val="auto"/>
                <w:sz w:val="24"/>
                <w:szCs w:val="24"/>
                <w:u w:val="single"/>
              </w:rPr>
              <w:t xml:space="preserve">                  </w:t>
            </w:r>
          </w:p>
          <w:p>
            <w:pPr>
              <w:pStyle w:val="2"/>
              <w:rPr>
                <w:rFonts w:hint="default" w:ascii="Times New Roman" w:hAnsi="Times New Roman" w:cs="Times New Roman"/>
                <w:color w:val="auto"/>
              </w:rPr>
            </w:pPr>
          </w:p>
          <w:p>
            <w:pPr>
              <w:tabs>
                <w:tab w:val="left" w:pos="1800"/>
              </w:tabs>
              <w:jc w:val="left"/>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小写：</w:t>
            </w:r>
            <w:r>
              <w:rPr>
                <w:rFonts w:hint="default" w:ascii="Times New Roman" w:hAnsi="Times New Roman" w:cs="Times New Roman" w:eastAsiaTheme="minorEastAsia"/>
                <w:color w:val="auto"/>
                <w:sz w:val="20"/>
                <w:szCs w:val="20"/>
                <w:u w:val="single"/>
              </w:rPr>
              <w:t xml:space="preserve">                     </w:t>
            </w:r>
          </w:p>
        </w:tc>
        <w:tc>
          <w:tcPr>
            <w:tcW w:w="1057" w:type="dxa"/>
            <w:vAlign w:val="center"/>
          </w:tcPr>
          <w:p>
            <w:pPr>
              <w:widowControl/>
              <w:spacing w:line="240" w:lineRule="exact"/>
              <w:jc w:val="left"/>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color w:val="auto"/>
                <w:szCs w:val="21"/>
              </w:rPr>
              <w:t>报价最多精确到小数点后两位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8" w:type="dxa"/>
            <w:gridSpan w:val="3"/>
            <w:vAlign w:val="center"/>
          </w:tcPr>
          <w:p>
            <w:pPr>
              <w:tabs>
                <w:tab w:val="left" w:pos="1800"/>
              </w:tabs>
              <w:jc w:val="left"/>
              <w:rPr>
                <w:rFonts w:hint="default" w:ascii="Times New Roman" w:hAnsi="Times New Roman" w:cs="Times New Roman" w:eastAsiaTheme="minorEastAsia"/>
                <w:b/>
                <w:color w:val="auto"/>
                <w:sz w:val="24"/>
                <w:szCs w:val="24"/>
                <w:u w:val="single"/>
              </w:rPr>
            </w:pPr>
            <w:r>
              <w:rPr>
                <w:rFonts w:hint="default" w:ascii="Times New Roman" w:hAnsi="Times New Roman" w:cs="Times New Roman" w:eastAsiaTheme="minorEastAsia"/>
                <w:b/>
                <w:color w:val="auto"/>
                <w:sz w:val="24"/>
                <w:szCs w:val="24"/>
              </w:rPr>
              <w:t>质保期后的维保费用</w:t>
            </w:r>
          </w:p>
        </w:tc>
        <w:tc>
          <w:tcPr>
            <w:tcW w:w="11503" w:type="dxa"/>
            <w:gridSpan w:val="10"/>
            <w:vAlign w:val="center"/>
          </w:tcPr>
          <w:p>
            <w:pPr>
              <w:tabs>
                <w:tab w:val="left" w:pos="1800"/>
              </w:tabs>
              <w:jc w:val="left"/>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color w:val="auto"/>
                <w:sz w:val="20"/>
                <w:szCs w:val="20"/>
                <w:u w:val="single"/>
              </w:rPr>
              <w:t xml:space="preserve">                     </w:t>
            </w:r>
            <w:r>
              <w:rPr>
                <w:rFonts w:hint="default" w:ascii="Times New Roman" w:hAnsi="Times New Roman" w:cs="Times New Roman" w:eastAsiaTheme="minorEastAsia"/>
                <w:b/>
                <w:color w:val="auto"/>
                <w:sz w:val="24"/>
                <w:szCs w:val="24"/>
              </w:rPr>
              <w:t>元/年（不计入投标报价）</w:t>
            </w:r>
          </w:p>
        </w:tc>
      </w:tr>
    </w:tbl>
    <w:p>
      <w:pPr>
        <w:keepNext/>
        <w:keepLines/>
        <w:spacing w:line="360" w:lineRule="atLeast"/>
        <w:ind w:firstLine="420" w:firstLineChars="200"/>
        <w:jc w:val="left"/>
        <w:rPr>
          <w:rFonts w:hint="default" w:ascii="Times New Roman" w:hAnsi="Times New Roman" w:cs="Times New Roman" w:eastAsiaTheme="minorEastAsia"/>
          <w:strike/>
          <w:color w:val="auto"/>
          <w:szCs w:val="21"/>
        </w:rPr>
      </w:pPr>
      <w:r>
        <w:rPr>
          <w:rFonts w:hint="default" w:ascii="Times New Roman" w:hAnsi="Times New Roman" w:cs="Times New Roman" w:eastAsiaTheme="minorEastAsia"/>
          <w:color w:val="auto"/>
          <w:szCs w:val="21"/>
        </w:rPr>
        <w:t>注：1、投标报价要求详见投标人须知前附表第3.2.4条款。</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2、第7栏指制造厂运至交货地点全部货物运杂费和保险费，第10栏其它费用包括投标分项报价表中除本表6-9外的所有费用。</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3、</w:t>
      </w:r>
      <w:r>
        <w:rPr>
          <w:rFonts w:hint="default" w:ascii="Times New Roman" w:hAnsi="Times New Roman" w:cs="Times New Roman"/>
          <w:color w:val="auto"/>
          <w:sz w:val="21"/>
          <w:szCs w:val="21"/>
          <w:lang w:val="en-US"/>
        </w:rPr>
        <w:t>第11栏综合单价=6+7+8+9</w:t>
      </w:r>
      <w:r>
        <w:rPr>
          <w:rFonts w:hint="default" w:ascii="Times New Roman" w:hAnsi="Times New Roman" w:cs="Times New Roman"/>
          <w:color w:val="auto"/>
          <w:sz w:val="21"/>
          <w:szCs w:val="21"/>
          <w:lang w:val="en-US" w:eastAsia="zh-CN"/>
        </w:rPr>
        <w:t>+10</w:t>
      </w:r>
      <w:r>
        <w:rPr>
          <w:rFonts w:hint="default" w:ascii="Times New Roman" w:hAnsi="Times New Roman" w:cs="Times New Roman"/>
          <w:color w:val="auto"/>
          <w:sz w:val="21"/>
          <w:szCs w:val="21"/>
          <w:lang w:val="en-US"/>
        </w:rPr>
        <w:t>。</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4、第12栏合价=5×11项。</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5、投标总价合计为总价的合计，应与投标函的投标总价一致。</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6、投标报价表中含价栏目，若无报价的须填“含”、“无”等字样，若出现空白，招标人视为已含在投标报价中。</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7、如交货货物数量调整时，综合单价不作调整。</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8、其他清单是投标单位认为图纸、清单不明确或缺项的内容，以及招标文件要求包含在投标总价中的所有内容的体现。如未填报则视为投标优惠。</w:t>
      </w:r>
    </w:p>
    <w:p>
      <w:pPr>
        <w:pStyle w:val="55"/>
        <w:spacing w:line="360" w:lineRule="exact"/>
        <w:ind w:firstLine="420"/>
        <w:rPr>
          <w:rFonts w:hint="default" w:ascii="Times New Roman" w:hAnsi="Times New Roman" w:cs="Times New Roman"/>
          <w:color w:val="auto"/>
          <w:sz w:val="20"/>
          <w:szCs w:val="20"/>
          <w:lang w:val="en-US"/>
        </w:rPr>
      </w:pPr>
      <w:r>
        <w:rPr>
          <w:rFonts w:hint="default" w:ascii="Times New Roman" w:hAnsi="Times New Roman" w:cs="Times New Roman"/>
          <w:color w:val="auto"/>
          <w:sz w:val="21"/>
          <w:szCs w:val="21"/>
          <w:lang w:val="en-US"/>
        </w:rPr>
        <w:t>9、</w:t>
      </w:r>
      <w:r>
        <w:rPr>
          <w:rStyle w:val="51"/>
          <w:rFonts w:hint="default" w:ascii="Times New Roman" w:hAnsi="Times New Roman" w:cs="Times New Roman"/>
          <w:color w:val="auto"/>
        </w:rPr>
        <w:t>不可预见费为招标范围之外或招标人、中医院有特殊功能要求增加的费用。</w:t>
      </w:r>
    </w:p>
    <w:p>
      <w:pPr>
        <w:pStyle w:val="55"/>
        <w:spacing w:line="360" w:lineRule="exact"/>
        <w:ind w:firstLine="420"/>
        <w:rPr>
          <w:rFonts w:hint="default" w:ascii="Times New Roman" w:hAnsi="Times New Roman" w:cs="Times New Roman"/>
          <w:color w:val="auto"/>
          <w:sz w:val="21"/>
          <w:szCs w:val="21"/>
          <w:lang w:val="en-US"/>
        </w:rPr>
      </w:pPr>
      <w:r>
        <w:rPr>
          <w:rStyle w:val="51"/>
          <w:rFonts w:hint="default" w:ascii="Times New Roman" w:hAnsi="Times New Roman" w:cs="Times New Roman"/>
          <w:color w:val="auto"/>
          <w:lang w:val="en-US"/>
        </w:rPr>
        <w:t>10、</w:t>
      </w:r>
      <w:r>
        <w:rPr>
          <w:rFonts w:hint="default" w:ascii="Times New Roman" w:hAnsi="Times New Roman" w:cs="Times New Roman"/>
          <w:color w:val="auto"/>
          <w:sz w:val="21"/>
          <w:szCs w:val="21"/>
          <w:lang w:val="en-US"/>
        </w:rPr>
        <w:t>表格行数不够，投标人可自行扩展。</w:t>
      </w:r>
    </w:p>
    <w:p>
      <w:pPr>
        <w:snapToGrid w:val="0"/>
        <w:spacing w:line="360" w:lineRule="exact"/>
        <w:ind w:left="420"/>
        <w:rPr>
          <w:rFonts w:hint="default" w:ascii="Times New Roman" w:hAnsi="Times New Roman" w:cs="Times New Roman"/>
          <w:color w:val="auto"/>
          <w:szCs w:val="21"/>
        </w:rPr>
      </w:pPr>
    </w:p>
    <w:p>
      <w:pPr>
        <w:pStyle w:val="55"/>
        <w:spacing w:line="360" w:lineRule="exact"/>
        <w:ind w:firstLine="400"/>
        <w:rPr>
          <w:rFonts w:hint="default" w:ascii="Times New Roman" w:hAnsi="Times New Roman" w:cs="Times New Roman"/>
          <w:color w:val="auto"/>
          <w:sz w:val="20"/>
          <w:szCs w:val="20"/>
          <w:lang w:val="en-US"/>
        </w:rPr>
      </w:pPr>
    </w:p>
    <w:p>
      <w:pPr>
        <w:pStyle w:val="36"/>
        <w:spacing w:line="360" w:lineRule="exact"/>
        <w:ind w:firstLine="0" w:firstLineChars="0"/>
        <w:rPr>
          <w:rFonts w:hint="default" w:ascii="Times New Roman" w:hAnsi="Times New Roman" w:cs="Times New Roman"/>
          <w:color w:val="auto"/>
          <w:szCs w:val="21"/>
        </w:rPr>
      </w:pPr>
      <w:r>
        <w:rPr>
          <w:rFonts w:hint="default" w:ascii="Times New Roman" w:hAnsi="Times New Roman" w:cs="Times New Roman"/>
          <w:color w:val="auto"/>
          <w:sz w:val="21"/>
          <w:szCs w:val="21"/>
        </w:rPr>
        <w:t>投标人：</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（盖单位公章）</w:t>
      </w:r>
    </w:p>
    <w:p>
      <w:pPr>
        <w:spacing w:line="360" w:lineRule="exact"/>
        <w:rPr>
          <w:rFonts w:hint="default" w:ascii="Times New Roman" w:hAnsi="Times New Roman" w:cs="Times New Roman"/>
          <w:color w:val="auto"/>
        </w:rPr>
      </w:pPr>
      <w:r>
        <w:rPr>
          <w:rFonts w:hint="default" w:ascii="Times New Roman" w:hAnsi="Times New Roman" w:cs="Times New Roman"/>
          <w:color w:val="auto"/>
          <w:szCs w:val="21"/>
        </w:rPr>
        <w:t>法定代表人或其委托代理人：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（签字或盖章 ） </w:t>
      </w:r>
    </w:p>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日期：    年    月    日</w:t>
      </w:r>
    </w:p>
    <w:p>
      <w:pPr>
        <w:rPr>
          <w:rFonts w:hint="default" w:ascii="Times New Roman" w:hAnsi="Times New Roman" w:cs="Times New Roman"/>
          <w:color w:val="auto"/>
          <w:szCs w:val="21"/>
          <w:u w:val="single"/>
        </w:rPr>
      </w:pPr>
    </w:p>
    <w:sectPr>
      <w:pgSz w:w="16838" w:h="11906" w:orient="landscape"/>
      <w:pgMar w:top="1134" w:right="1440" w:bottom="1134" w:left="144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80F3C52" w:usb2="00000016" w:usb3="00000000" w:csb0="0004001F" w:csb1="00000000"/>
  </w:font>
  <w:font w:name="???|CS?o｡ﾀ?">
    <w:altName w:val="MS Mincho"/>
    <w:panose1 w:val="00000000000000000000"/>
    <w:charset w:val="80"/>
    <w:family w:val="modern"/>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 w:name="等线">
    <w:altName w:val="宋体"/>
    <w:panose1 w:val="00000000000000000000"/>
    <w:charset w:val="86"/>
    <w:family w:val="auto"/>
    <w:pitch w:val="default"/>
    <w:sig w:usb0="00000000" w:usb1="00000000" w:usb2="00000016" w:usb3="00000000" w:csb0="0004000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Lucida Sans">
    <w:panose1 w:val="020B0602030504020204"/>
    <w:charset w:val="00"/>
    <w:family w:val="swiss"/>
    <w:pitch w:val="default"/>
    <w:sig w:usb0="00000003" w:usb1="00000000" w:usb2="00000000" w:usb3="00000000" w:csb0="20000001" w:csb1="00000000"/>
  </w:font>
  <w:font w:name="Wingdings 2">
    <w:panose1 w:val="05020102010507070707"/>
    <w:charset w:val="00"/>
    <w:family w:val="auto"/>
    <w:pitch w:val="default"/>
    <w:sig w:usb0="00000000" w:usb1="00000000" w:usb2="00000000" w:usb3="00000000" w:csb0="80000000"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24"/>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52</w:t>
    </w:r>
    <w:r>
      <w:fldChar w:fldCharType="end"/>
    </w:r>
  </w:p>
  <w:p>
    <w:pPr>
      <w:pStyle w:val="24"/>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outside" w:y="1"/>
      <w:rPr>
        <w:rStyle w:val="42"/>
      </w:rPr>
    </w:pPr>
    <w:r>
      <w:fldChar w:fldCharType="begin"/>
    </w:r>
    <w:r>
      <w:rPr>
        <w:rStyle w:val="42"/>
      </w:rPr>
      <w:instrText xml:space="preserve">PAGE  </w:instrText>
    </w:r>
    <w:r>
      <w:fldChar w:fldCharType="separate"/>
    </w:r>
    <w:r>
      <w:rPr>
        <w:rStyle w:val="42"/>
      </w:rPr>
      <w:t>16</w:t>
    </w:r>
    <w:r>
      <w:fldChar w:fldCharType="end"/>
    </w:r>
  </w:p>
  <w:p>
    <w:pPr>
      <w:pStyle w:val="24"/>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63</w:t>
    </w:r>
    <w:r>
      <w:fldChar w:fldCharType="end"/>
    </w:r>
  </w:p>
  <w:p>
    <w:pPr>
      <w:pStyle w:val="24"/>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3</w:t>
    </w:r>
    <w:r>
      <w:fldChar w:fldCharType="end"/>
    </w:r>
  </w:p>
  <w:p>
    <w:pPr>
      <w:pStyle w:val="24"/>
      <w:ind w:firstLine="18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64</w:t>
    </w:r>
    <w:r>
      <w:fldChar w:fldCharType="end"/>
    </w:r>
  </w:p>
  <w:p>
    <w:pPr>
      <w:pStyle w:val="24"/>
      <w:ind w:right="360" w:firstLine="180"/>
      <w:jc w:val="center"/>
    </w:pPr>
  </w:p>
  <w:p>
    <w:pPr>
      <w:pStyle w:val="24"/>
      <w:ind w:right="360" w:firstLine="180"/>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3</w:t>
    </w:r>
    <w:r>
      <w:fldChar w:fldCharType="end"/>
    </w:r>
  </w:p>
  <w:p>
    <w:pPr>
      <w:pStyle w:val="24"/>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1A4EA"/>
    <w:multiLevelType w:val="singleLevel"/>
    <w:tmpl w:val="81F1A4EA"/>
    <w:lvl w:ilvl="0" w:tentative="0">
      <w:start w:val="1"/>
      <w:numFmt w:val="decimal"/>
      <w:suff w:val="nothing"/>
      <w:lvlText w:val="（%1）"/>
      <w:lvlJc w:val="left"/>
    </w:lvl>
  </w:abstractNum>
  <w:abstractNum w:abstractNumId="1">
    <w:nsid w:val="9D609D4B"/>
    <w:multiLevelType w:val="singleLevel"/>
    <w:tmpl w:val="9D609D4B"/>
    <w:lvl w:ilvl="0" w:tentative="0">
      <w:start w:val="1"/>
      <w:numFmt w:val="chineseCounting"/>
      <w:pStyle w:val="10"/>
      <w:suff w:val="nothing"/>
      <w:lvlText w:val="%1、"/>
      <w:lvlJc w:val="left"/>
      <w:rPr>
        <w:rFonts w:hint="eastAsia"/>
      </w:rPr>
    </w:lvl>
  </w:abstractNum>
  <w:abstractNum w:abstractNumId="2">
    <w:nsid w:val="ADC21E24"/>
    <w:multiLevelType w:val="singleLevel"/>
    <w:tmpl w:val="ADC21E24"/>
    <w:lvl w:ilvl="0" w:tentative="0">
      <w:start w:val="20"/>
      <w:numFmt w:val="decimal"/>
      <w:suff w:val="nothing"/>
      <w:lvlText w:val="%1、"/>
      <w:lvlJc w:val="left"/>
      <w:pPr>
        <w:ind w:left="80"/>
      </w:pPr>
    </w:lvl>
  </w:abstractNum>
  <w:abstractNum w:abstractNumId="3">
    <w:nsid w:val="C7B895C9"/>
    <w:multiLevelType w:val="singleLevel"/>
    <w:tmpl w:val="C7B895C9"/>
    <w:lvl w:ilvl="0" w:tentative="0">
      <w:start w:val="6"/>
      <w:numFmt w:val="decimal"/>
      <w:suff w:val="nothing"/>
      <w:lvlText w:val="%1、"/>
      <w:lvlJc w:val="left"/>
    </w:lvl>
  </w:abstractNum>
  <w:abstractNum w:abstractNumId="4">
    <w:nsid w:val="D4ABCED3"/>
    <w:multiLevelType w:val="singleLevel"/>
    <w:tmpl w:val="D4ABCED3"/>
    <w:lvl w:ilvl="0" w:tentative="0">
      <w:start w:val="2"/>
      <w:numFmt w:val="decimal"/>
      <w:lvlText w:val="%1."/>
      <w:lvlJc w:val="left"/>
      <w:pPr>
        <w:tabs>
          <w:tab w:val="left" w:pos="312"/>
        </w:tabs>
      </w:pPr>
    </w:lvl>
  </w:abstractNum>
  <w:abstractNum w:abstractNumId="5">
    <w:nsid w:val="00000010"/>
    <w:multiLevelType w:val="multilevel"/>
    <w:tmpl w:val="00000010"/>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bullet"/>
      <w:lvlText w:val=""/>
      <w:lvlJc w:val="left"/>
      <w:pPr>
        <w:tabs>
          <w:tab w:val="left" w:pos="1620"/>
        </w:tabs>
        <w:ind w:left="1620" w:hanging="420"/>
      </w:pPr>
      <w:rPr>
        <w:rFonts w:hint="default" w:ascii="Wingdings" w:hAnsi="Wingdings"/>
      </w:rPr>
    </w:lvl>
    <w:lvl w:ilvl="3" w:tentative="0">
      <w:start w:val="1"/>
      <w:numFmt w:val="bullet"/>
      <w:lvlText w:val=""/>
      <w:lvlJc w:val="left"/>
      <w:pPr>
        <w:tabs>
          <w:tab w:val="left" w:pos="2040"/>
        </w:tabs>
        <w:ind w:left="2040" w:hanging="420"/>
      </w:pPr>
      <w:rPr>
        <w:rFonts w:hint="default" w:ascii="Wingdings" w:hAnsi="Wingdings"/>
      </w:rPr>
    </w:lvl>
    <w:lvl w:ilvl="4" w:tentative="0">
      <w:start w:val="1"/>
      <w:numFmt w:val="bullet"/>
      <w:lvlText w:val=""/>
      <w:lvlJc w:val="left"/>
      <w:pPr>
        <w:tabs>
          <w:tab w:val="left" w:pos="2460"/>
        </w:tabs>
        <w:ind w:left="2460" w:hanging="420"/>
      </w:pPr>
      <w:rPr>
        <w:rFonts w:hint="default" w:ascii="Wingdings" w:hAnsi="Wingdings"/>
      </w:rPr>
    </w:lvl>
    <w:lvl w:ilvl="5" w:tentative="0">
      <w:start w:val="1"/>
      <w:numFmt w:val="bullet"/>
      <w:lvlText w:val=""/>
      <w:lvlJc w:val="left"/>
      <w:pPr>
        <w:tabs>
          <w:tab w:val="left" w:pos="2880"/>
        </w:tabs>
        <w:ind w:left="2880" w:hanging="420"/>
      </w:pPr>
      <w:rPr>
        <w:rFonts w:hint="default" w:ascii="Wingdings" w:hAnsi="Wingdings"/>
      </w:rPr>
    </w:lvl>
    <w:lvl w:ilvl="6" w:tentative="0">
      <w:start w:val="1"/>
      <w:numFmt w:val="bullet"/>
      <w:lvlText w:val=""/>
      <w:lvlJc w:val="left"/>
      <w:pPr>
        <w:tabs>
          <w:tab w:val="left" w:pos="3300"/>
        </w:tabs>
        <w:ind w:left="3300" w:hanging="420"/>
      </w:pPr>
      <w:rPr>
        <w:rFonts w:hint="default" w:ascii="Wingdings" w:hAnsi="Wingdings"/>
      </w:rPr>
    </w:lvl>
    <w:lvl w:ilvl="7" w:tentative="0">
      <w:start w:val="1"/>
      <w:numFmt w:val="bullet"/>
      <w:lvlText w:val=""/>
      <w:lvlJc w:val="left"/>
      <w:pPr>
        <w:tabs>
          <w:tab w:val="left" w:pos="3720"/>
        </w:tabs>
        <w:ind w:left="3720" w:hanging="420"/>
      </w:pPr>
      <w:rPr>
        <w:rFonts w:hint="default" w:ascii="Wingdings" w:hAnsi="Wingdings"/>
      </w:rPr>
    </w:lvl>
    <w:lvl w:ilvl="8" w:tentative="0">
      <w:start w:val="1"/>
      <w:numFmt w:val="bullet"/>
      <w:lvlText w:val=""/>
      <w:lvlJc w:val="left"/>
      <w:pPr>
        <w:tabs>
          <w:tab w:val="left" w:pos="4140"/>
        </w:tabs>
        <w:ind w:left="4140" w:hanging="420"/>
      </w:pPr>
      <w:rPr>
        <w:rFonts w:hint="default" w:ascii="Wingdings" w:hAnsi="Wingdings"/>
      </w:rPr>
    </w:lvl>
  </w:abstractNum>
  <w:abstractNum w:abstractNumId="6">
    <w:nsid w:val="20B4F43E"/>
    <w:multiLevelType w:val="singleLevel"/>
    <w:tmpl w:val="20B4F43E"/>
    <w:lvl w:ilvl="0" w:tentative="0">
      <w:start w:val="3"/>
      <w:numFmt w:val="decimal"/>
      <w:pStyle w:val="16"/>
      <w:lvlText w:val="%1."/>
      <w:lvlJc w:val="left"/>
      <w:pPr>
        <w:tabs>
          <w:tab w:val="left" w:pos="312"/>
        </w:tabs>
        <w:ind w:left="-34"/>
      </w:pPr>
      <w:rPr>
        <w:rFonts w:hint="default" w:ascii="宋体" w:hAnsi="宋体" w:eastAsia="宋体" w:cs="宋体"/>
        <w:sz w:val="21"/>
        <w:szCs w:val="21"/>
      </w:rPr>
    </w:lvl>
  </w:abstractNum>
  <w:abstractNum w:abstractNumId="7">
    <w:nsid w:val="634704D1"/>
    <w:multiLevelType w:val="singleLevel"/>
    <w:tmpl w:val="634704D1"/>
    <w:lvl w:ilvl="0" w:tentative="0">
      <w:start w:val="2"/>
      <w:numFmt w:val="decimal"/>
      <w:suff w:val="nothing"/>
      <w:lvlText w:val="（%1）"/>
      <w:lvlJc w:val="left"/>
    </w:lvl>
  </w:abstractNum>
  <w:num w:numId="1">
    <w:abstractNumId w:val="1"/>
  </w:num>
  <w:num w:numId="2">
    <w:abstractNumId w:val="6"/>
  </w:num>
  <w:num w:numId="3">
    <w:abstractNumId w:val="3"/>
  </w:num>
  <w:num w:numId="4">
    <w:abstractNumId w:val="7"/>
  </w:num>
  <w:num w:numId="5">
    <w:abstractNumId w:val="0"/>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100"/>
  <w:displayHorizontalDrawingGridEvery w:val="1"/>
  <w:displayVerticalDrawingGridEvery w:val="1"/>
  <w:noPunctuationKerning w:val="1"/>
  <w:characterSpacingControl w:val="doNotCompress"/>
  <w:hdrShapeDefaults>
    <o:shapelayout v:ext="edit">
      <o:idmap v:ext="edit" data="3,4"/>
    </o:shapelayout>
  </w:hdrShapeDefaults>
  <w:compat>
    <w:spaceForUL/>
    <w:ulTrailSpace/>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042C7"/>
    <w:rsid w:val="0000441C"/>
    <w:rsid w:val="00011ECD"/>
    <w:rsid w:val="00014709"/>
    <w:rsid w:val="00043366"/>
    <w:rsid w:val="00047871"/>
    <w:rsid w:val="00050402"/>
    <w:rsid w:val="0005342A"/>
    <w:rsid w:val="00063D7E"/>
    <w:rsid w:val="00076221"/>
    <w:rsid w:val="0009108D"/>
    <w:rsid w:val="00092F51"/>
    <w:rsid w:val="000B18F0"/>
    <w:rsid w:val="000B48E9"/>
    <w:rsid w:val="000B6D87"/>
    <w:rsid w:val="000C00B2"/>
    <w:rsid w:val="000C13E8"/>
    <w:rsid w:val="000C1E55"/>
    <w:rsid w:val="000C4B6B"/>
    <w:rsid w:val="000D249F"/>
    <w:rsid w:val="000D27FF"/>
    <w:rsid w:val="000D7D78"/>
    <w:rsid w:val="000F1046"/>
    <w:rsid w:val="000F135C"/>
    <w:rsid w:val="000F2092"/>
    <w:rsid w:val="000F474E"/>
    <w:rsid w:val="000F5F93"/>
    <w:rsid w:val="000F63D6"/>
    <w:rsid w:val="00102ED9"/>
    <w:rsid w:val="001061D0"/>
    <w:rsid w:val="001132C6"/>
    <w:rsid w:val="00122B67"/>
    <w:rsid w:val="001343D6"/>
    <w:rsid w:val="001403CD"/>
    <w:rsid w:val="00141554"/>
    <w:rsid w:val="00141CBC"/>
    <w:rsid w:val="001431D1"/>
    <w:rsid w:val="00144CF8"/>
    <w:rsid w:val="00151E85"/>
    <w:rsid w:val="00154CF3"/>
    <w:rsid w:val="00157B73"/>
    <w:rsid w:val="001632CC"/>
    <w:rsid w:val="0016672F"/>
    <w:rsid w:val="00171641"/>
    <w:rsid w:val="00172A1E"/>
    <w:rsid w:val="001800FD"/>
    <w:rsid w:val="001835D7"/>
    <w:rsid w:val="00186798"/>
    <w:rsid w:val="001A7C36"/>
    <w:rsid w:val="001B1DE3"/>
    <w:rsid w:val="001B31E7"/>
    <w:rsid w:val="001B351F"/>
    <w:rsid w:val="001B3A70"/>
    <w:rsid w:val="001C0CB2"/>
    <w:rsid w:val="001D094E"/>
    <w:rsid w:val="001D5398"/>
    <w:rsid w:val="001D6D1E"/>
    <w:rsid w:val="001E7B8E"/>
    <w:rsid w:val="0020796C"/>
    <w:rsid w:val="0022461C"/>
    <w:rsid w:val="00227D4F"/>
    <w:rsid w:val="002320DE"/>
    <w:rsid w:val="00237AE1"/>
    <w:rsid w:val="00250A6F"/>
    <w:rsid w:val="00253FA9"/>
    <w:rsid w:val="0026665C"/>
    <w:rsid w:val="0026717C"/>
    <w:rsid w:val="0028770C"/>
    <w:rsid w:val="0029137D"/>
    <w:rsid w:val="002926D1"/>
    <w:rsid w:val="002969EF"/>
    <w:rsid w:val="00297019"/>
    <w:rsid w:val="002A198E"/>
    <w:rsid w:val="002A360D"/>
    <w:rsid w:val="002A6320"/>
    <w:rsid w:val="002B3BFD"/>
    <w:rsid w:val="002B53DD"/>
    <w:rsid w:val="002D2FAB"/>
    <w:rsid w:val="002D54E1"/>
    <w:rsid w:val="002D6333"/>
    <w:rsid w:val="002E42CB"/>
    <w:rsid w:val="002F5C26"/>
    <w:rsid w:val="003034B4"/>
    <w:rsid w:val="00310EB5"/>
    <w:rsid w:val="0031181C"/>
    <w:rsid w:val="0031418E"/>
    <w:rsid w:val="0031744D"/>
    <w:rsid w:val="003200DD"/>
    <w:rsid w:val="00320D23"/>
    <w:rsid w:val="0032166C"/>
    <w:rsid w:val="00322C22"/>
    <w:rsid w:val="0033166E"/>
    <w:rsid w:val="003336FA"/>
    <w:rsid w:val="0033426E"/>
    <w:rsid w:val="00337C06"/>
    <w:rsid w:val="00343F53"/>
    <w:rsid w:val="00347E38"/>
    <w:rsid w:val="00351C88"/>
    <w:rsid w:val="00354279"/>
    <w:rsid w:val="00357D1A"/>
    <w:rsid w:val="00360210"/>
    <w:rsid w:val="00364492"/>
    <w:rsid w:val="00364B60"/>
    <w:rsid w:val="00380E0D"/>
    <w:rsid w:val="0038261A"/>
    <w:rsid w:val="00383C23"/>
    <w:rsid w:val="0038457F"/>
    <w:rsid w:val="00385320"/>
    <w:rsid w:val="0038670F"/>
    <w:rsid w:val="003953E5"/>
    <w:rsid w:val="003A08A6"/>
    <w:rsid w:val="003A2B8D"/>
    <w:rsid w:val="003A3F67"/>
    <w:rsid w:val="003A4A77"/>
    <w:rsid w:val="003B75C1"/>
    <w:rsid w:val="003B786A"/>
    <w:rsid w:val="003D2A99"/>
    <w:rsid w:val="003E239C"/>
    <w:rsid w:val="003F2ED6"/>
    <w:rsid w:val="0040064D"/>
    <w:rsid w:val="00412BA6"/>
    <w:rsid w:val="004133AE"/>
    <w:rsid w:val="004158DA"/>
    <w:rsid w:val="004219A8"/>
    <w:rsid w:val="004368A8"/>
    <w:rsid w:val="00440F9B"/>
    <w:rsid w:val="00441D97"/>
    <w:rsid w:val="00453FBC"/>
    <w:rsid w:val="00454987"/>
    <w:rsid w:val="00461581"/>
    <w:rsid w:val="00463EFD"/>
    <w:rsid w:val="004841B8"/>
    <w:rsid w:val="0049476D"/>
    <w:rsid w:val="004A0F00"/>
    <w:rsid w:val="004A2C55"/>
    <w:rsid w:val="004A2F75"/>
    <w:rsid w:val="004A2F9D"/>
    <w:rsid w:val="004A368E"/>
    <w:rsid w:val="004A56AE"/>
    <w:rsid w:val="004B23F1"/>
    <w:rsid w:val="004B643B"/>
    <w:rsid w:val="004C29B1"/>
    <w:rsid w:val="004C311C"/>
    <w:rsid w:val="004C6A25"/>
    <w:rsid w:val="004D4C09"/>
    <w:rsid w:val="004F51EE"/>
    <w:rsid w:val="00503539"/>
    <w:rsid w:val="00504E5F"/>
    <w:rsid w:val="005122FD"/>
    <w:rsid w:val="00515729"/>
    <w:rsid w:val="005242AA"/>
    <w:rsid w:val="00527255"/>
    <w:rsid w:val="00531609"/>
    <w:rsid w:val="005335BA"/>
    <w:rsid w:val="0053496E"/>
    <w:rsid w:val="005433B5"/>
    <w:rsid w:val="00545715"/>
    <w:rsid w:val="00552381"/>
    <w:rsid w:val="00555F70"/>
    <w:rsid w:val="00560883"/>
    <w:rsid w:val="005724F0"/>
    <w:rsid w:val="0057666F"/>
    <w:rsid w:val="005805E4"/>
    <w:rsid w:val="005867C8"/>
    <w:rsid w:val="00590149"/>
    <w:rsid w:val="00593BD3"/>
    <w:rsid w:val="00596BB3"/>
    <w:rsid w:val="005A6130"/>
    <w:rsid w:val="005A7877"/>
    <w:rsid w:val="005A7F64"/>
    <w:rsid w:val="005B1368"/>
    <w:rsid w:val="005C222C"/>
    <w:rsid w:val="005C5294"/>
    <w:rsid w:val="005C6D26"/>
    <w:rsid w:val="005D15CB"/>
    <w:rsid w:val="005F0F7A"/>
    <w:rsid w:val="005F10F8"/>
    <w:rsid w:val="005F194D"/>
    <w:rsid w:val="00606763"/>
    <w:rsid w:val="006101F8"/>
    <w:rsid w:val="006103BD"/>
    <w:rsid w:val="00611A58"/>
    <w:rsid w:val="00612FC2"/>
    <w:rsid w:val="00613815"/>
    <w:rsid w:val="00617D0E"/>
    <w:rsid w:val="0063276A"/>
    <w:rsid w:val="00637BD9"/>
    <w:rsid w:val="00640F01"/>
    <w:rsid w:val="00642511"/>
    <w:rsid w:val="006464E2"/>
    <w:rsid w:val="006604E8"/>
    <w:rsid w:val="00662032"/>
    <w:rsid w:val="00665289"/>
    <w:rsid w:val="006758C4"/>
    <w:rsid w:val="00691EA3"/>
    <w:rsid w:val="00692E08"/>
    <w:rsid w:val="006A47E8"/>
    <w:rsid w:val="006A5BF3"/>
    <w:rsid w:val="006A716E"/>
    <w:rsid w:val="006B0AC4"/>
    <w:rsid w:val="006B57FE"/>
    <w:rsid w:val="006C028F"/>
    <w:rsid w:val="006C357A"/>
    <w:rsid w:val="006C5F64"/>
    <w:rsid w:val="006E4D0F"/>
    <w:rsid w:val="006F3512"/>
    <w:rsid w:val="006F43E5"/>
    <w:rsid w:val="006F582F"/>
    <w:rsid w:val="00707BA2"/>
    <w:rsid w:val="007150EB"/>
    <w:rsid w:val="0071561A"/>
    <w:rsid w:val="007168C6"/>
    <w:rsid w:val="00716ECE"/>
    <w:rsid w:val="00724630"/>
    <w:rsid w:val="007275B0"/>
    <w:rsid w:val="00731042"/>
    <w:rsid w:val="00745AFA"/>
    <w:rsid w:val="00747591"/>
    <w:rsid w:val="0074797D"/>
    <w:rsid w:val="00757E33"/>
    <w:rsid w:val="00772F5A"/>
    <w:rsid w:val="00773F33"/>
    <w:rsid w:val="007743CF"/>
    <w:rsid w:val="00781212"/>
    <w:rsid w:val="00792EE0"/>
    <w:rsid w:val="00793036"/>
    <w:rsid w:val="007B08DA"/>
    <w:rsid w:val="007C605D"/>
    <w:rsid w:val="007C674A"/>
    <w:rsid w:val="007D2D80"/>
    <w:rsid w:val="007D779E"/>
    <w:rsid w:val="007F2242"/>
    <w:rsid w:val="0080046E"/>
    <w:rsid w:val="008010DC"/>
    <w:rsid w:val="00802517"/>
    <w:rsid w:val="0080422C"/>
    <w:rsid w:val="00810C1B"/>
    <w:rsid w:val="008202BD"/>
    <w:rsid w:val="00821463"/>
    <w:rsid w:val="00832D0C"/>
    <w:rsid w:val="00833E0B"/>
    <w:rsid w:val="0084105F"/>
    <w:rsid w:val="0084391D"/>
    <w:rsid w:val="00850F37"/>
    <w:rsid w:val="00852A98"/>
    <w:rsid w:val="00853178"/>
    <w:rsid w:val="00870846"/>
    <w:rsid w:val="00871DA3"/>
    <w:rsid w:val="00872669"/>
    <w:rsid w:val="00873467"/>
    <w:rsid w:val="00874A0D"/>
    <w:rsid w:val="008771A9"/>
    <w:rsid w:val="0087797D"/>
    <w:rsid w:val="00877D83"/>
    <w:rsid w:val="00890384"/>
    <w:rsid w:val="00893455"/>
    <w:rsid w:val="008939BE"/>
    <w:rsid w:val="008966FC"/>
    <w:rsid w:val="008A4A0A"/>
    <w:rsid w:val="008B1375"/>
    <w:rsid w:val="008E1EA6"/>
    <w:rsid w:val="008F2838"/>
    <w:rsid w:val="00920284"/>
    <w:rsid w:val="0092029E"/>
    <w:rsid w:val="00931B75"/>
    <w:rsid w:val="00941337"/>
    <w:rsid w:val="009475ED"/>
    <w:rsid w:val="009618E5"/>
    <w:rsid w:val="0096333D"/>
    <w:rsid w:val="00963C2F"/>
    <w:rsid w:val="00964C73"/>
    <w:rsid w:val="00975D23"/>
    <w:rsid w:val="00977D02"/>
    <w:rsid w:val="00984E24"/>
    <w:rsid w:val="00995FE3"/>
    <w:rsid w:val="00997E08"/>
    <w:rsid w:val="009A0A6E"/>
    <w:rsid w:val="009A49E9"/>
    <w:rsid w:val="009B1D96"/>
    <w:rsid w:val="009B38B3"/>
    <w:rsid w:val="009B5F3E"/>
    <w:rsid w:val="009C4658"/>
    <w:rsid w:val="009C4DC8"/>
    <w:rsid w:val="009E0045"/>
    <w:rsid w:val="009E0215"/>
    <w:rsid w:val="009E4E44"/>
    <w:rsid w:val="009E74E8"/>
    <w:rsid w:val="009F169E"/>
    <w:rsid w:val="009F2921"/>
    <w:rsid w:val="00A051EE"/>
    <w:rsid w:val="00A0688A"/>
    <w:rsid w:val="00A12C93"/>
    <w:rsid w:val="00A179E3"/>
    <w:rsid w:val="00A20975"/>
    <w:rsid w:val="00A3516C"/>
    <w:rsid w:val="00A62269"/>
    <w:rsid w:val="00A62D7D"/>
    <w:rsid w:val="00A62FC2"/>
    <w:rsid w:val="00A6740C"/>
    <w:rsid w:val="00A70E22"/>
    <w:rsid w:val="00A80C07"/>
    <w:rsid w:val="00A82606"/>
    <w:rsid w:val="00A947E0"/>
    <w:rsid w:val="00AA077A"/>
    <w:rsid w:val="00AA3738"/>
    <w:rsid w:val="00AB0C1E"/>
    <w:rsid w:val="00AB6752"/>
    <w:rsid w:val="00AC123C"/>
    <w:rsid w:val="00AC4394"/>
    <w:rsid w:val="00AC672C"/>
    <w:rsid w:val="00AE2AE1"/>
    <w:rsid w:val="00AF4D53"/>
    <w:rsid w:val="00AF681C"/>
    <w:rsid w:val="00AF6927"/>
    <w:rsid w:val="00AF7D8D"/>
    <w:rsid w:val="00B07DA6"/>
    <w:rsid w:val="00B11CD4"/>
    <w:rsid w:val="00B12A30"/>
    <w:rsid w:val="00B14330"/>
    <w:rsid w:val="00B16145"/>
    <w:rsid w:val="00B16381"/>
    <w:rsid w:val="00B16EA5"/>
    <w:rsid w:val="00B20B96"/>
    <w:rsid w:val="00B24A10"/>
    <w:rsid w:val="00B316B3"/>
    <w:rsid w:val="00B35343"/>
    <w:rsid w:val="00B36B9F"/>
    <w:rsid w:val="00B55293"/>
    <w:rsid w:val="00B60620"/>
    <w:rsid w:val="00B60CF5"/>
    <w:rsid w:val="00B6647F"/>
    <w:rsid w:val="00B670BF"/>
    <w:rsid w:val="00B82173"/>
    <w:rsid w:val="00B840A6"/>
    <w:rsid w:val="00B916E1"/>
    <w:rsid w:val="00B91C0B"/>
    <w:rsid w:val="00BA71C4"/>
    <w:rsid w:val="00BC202D"/>
    <w:rsid w:val="00BD491F"/>
    <w:rsid w:val="00BE0B72"/>
    <w:rsid w:val="00BE4DA1"/>
    <w:rsid w:val="00BF0F70"/>
    <w:rsid w:val="00BF2544"/>
    <w:rsid w:val="00BF5802"/>
    <w:rsid w:val="00BF7A4B"/>
    <w:rsid w:val="00C17EA8"/>
    <w:rsid w:val="00C3201D"/>
    <w:rsid w:val="00C3308E"/>
    <w:rsid w:val="00C40C30"/>
    <w:rsid w:val="00C54E0F"/>
    <w:rsid w:val="00C560B9"/>
    <w:rsid w:val="00C60D0A"/>
    <w:rsid w:val="00C61AC9"/>
    <w:rsid w:val="00C84A58"/>
    <w:rsid w:val="00C85785"/>
    <w:rsid w:val="00CA2BFC"/>
    <w:rsid w:val="00CB3F5C"/>
    <w:rsid w:val="00CB711F"/>
    <w:rsid w:val="00CC42EF"/>
    <w:rsid w:val="00CD42FA"/>
    <w:rsid w:val="00CD586F"/>
    <w:rsid w:val="00CE0118"/>
    <w:rsid w:val="00CE710D"/>
    <w:rsid w:val="00CE7D36"/>
    <w:rsid w:val="00CF7685"/>
    <w:rsid w:val="00D04981"/>
    <w:rsid w:val="00D0654C"/>
    <w:rsid w:val="00D2563E"/>
    <w:rsid w:val="00D27D65"/>
    <w:rsid w:val="00D344B3"/>
    <w:rsid w:val="00D44CB4"/>
    <w:rsid w:val="00D47674"/>
    <w:rsid w:val="00D50438"/>
    <w:rsid w:val="00D52B57"/>
    <w:rsid w:val="00D5396F"/>
    <w:rsid w:val="00D629C4"/>
    <w:rsid w:val="00D62AEC"/>
    <w:rsid w:val="00D64132"/>
    <w:rsid w:val="00D64325"/>
    <w:rsid w:val="00D657B2"/>
    <w:rsid w:val="00D67AA7"/>
    <w:rsid w:val="00D81BE2"/>
    <w:rsid w:val="00D8267D"/>
    <w:rsid w:val="00D82A7D"/>
    <w:rsid w:val="00D94428"/>
    <w:rsid w:val="00D94D68"/>
    <w:rsid w:val="00D964BE"/>
    <w:rsid w:val="00DD1D41"/>
    <w:rsid w:val="00DD5670"/>
    <w:rsid w:val="00DE6F10"/>
    <w:rsid w:val="00DF3E56"/>
    <w:rsid w:val="00DF3E74"/>
    <w:rsid w:val="00DF525B"/>
    <w:rsid w:val="00E104FB"/>
    <w:rsid w:val="00E114E2"/>
    <w:rsid w:val="00E15281"/>
    <w:rsid w:val="00E1681C"/>
    <w:rsid w:val="00E21C24"/>
    <w:rsid w:val="00E22701"/>
    <w:rsid w:val="00E22B1C"/>
    <w:rsid w:val="00E324C1"/>
    <w:rsid w:val="00E33ADF"/>
    <w:rsid w:val="00E418B9"/>
    <w:rsid w:val="00E45A57"/>
    <w:rsid w:val="00E45A7D"/>
    <w:rsid w:val="00E57386"/>
    <w:rsid w:val="00E6100D"/>
    <w:rsid w:val="00E67B7F"/>
    <w:rsid w:val="00E70AEE"/>
    <w:rsid w:val="00E81341"/>
    <w:rsid w:val="00E86CC5"/>
    <w:rsid w:val="00E9398F"/>
    <w:rsid w:val="00E964FB"/>
    <w:rsid w:val="00EA14FF"/>
    <w:rsid w:val="00EA7B11"/>
    <w:rsid w:val="00EB62D1"/>
    <w:rsid w:val="00EB6742"/>
    <w:rsid w:val="00EC2831"/>
    <w:rsid w:val="00EC4116"/>
    <w:rsid w:val="00ED6A40"/>
    <w:rsid w:val="00EE1852"/>
    <w:rsid w:val="00EF34C0"/>
    <w:rsid w:val="00EF595E"/>
    <w:rsid w:val="00F17A72"/>
    <w:rsid w:val="00F23F82"/>
    <w:rsid w:val="00F24B50"/>
    <w:rsid w:val="00F334A7"/>
    <w:rsid w:val="00F33613"/>
    <w:rsid w:val="00F36064"/>
    <w:rsid w:val="00F571A5"/>
    <w:rsid w:val="00F71B19"/>
    <w:rsid w:val="00F85F3B"/>
    <w:rsid w:val="00F92967"/>
    <w:rsid w:val="00FB197F"/>
    <w:rsid w:val="00FB50D9"/>
    <w:rsid w:val="00FB7E55"/>
    <w:rsid w:val="00FC0D12"/>
    <w:rsid w:val="00FD02BA"/>
    <w:rsid w:val="00FD0B97"/>
    <w:rsid w:val="00FD19B1"/>
    <w:rsid w:val="00FD28CE"/>
    <w:rsid w:val="00FD42B1"/>
    <w:rsid w:val="00FE21DA"/>
    <w:rsid w:val="00FF3C06"/>
    <w:rsid w:val="00FF4AFA"/>
    <w:rsid w:val="00FF696A"/>
    <w:rsid w:val="017B4D40"/>
    <w:rsid w:val="019F128A"/>
    <w:rsid w:val="01F7586A"/>
    <w:rsid w:val="025B2C03"/>
    <w:rsid w:val="02C2621C"/>
    <w:rsid w:val="02D642DB"/>
    <w:rsid w:val="03A04854"/>
    <w:rsid w:val="042F2D99"/>
    <w:rsid w:val="04A2161B"/>
    <w:rsid w:val="04E50089"/>
    <w:rsid w:val="0521008D"/>
    <w:rsid w:val="057115C5"/>
    <w:rsid w:val="069B1A69"/>
    <w:rsid w:val="07E01420"/>
    <w:rsid w:val="07EC28A5"/>
    <w:rsid w:val="08681B3C"/>
    <w:rsid w:val="08C455A7"/>
    <w:rsid w:val="097225BD"/>
    <w:rsid w:val="099361CD"/>
    <w:rsid w:val="09BB653C"/>
    <w:rsid w:val="0A17516A"/>
    <w:rsid w:val="0A2436DD"/>
    <w:rsid w:val="0A6D0BC1"/>
    <w:rsid w:val="0A6F2DDF"/>
    <w:rsid w:val="0A9414BC"/>
    <w:rsid w:val="0AD95861"/>
    <w:rsid w:val="0B042481"/>
    <w:rsid w:val="0B667B77"/>
    <w:rsid w:val="0B936E03"/>
    <w:rsid w:val="0BD802A6"/>
    <w:rsid w:val="0C2F0F17"/>
    <w:rsid w:val="0C620A55"/>
    <w:rsid w:val="0C6F07B0"/>
    <w:rsid w:val="0D156588"/>
    <w:rsid w:val="0E594DB4"/>
    <w:rsid w:val="0E5A6B34"/>
    <w:rsid w:val="0E65327A"/>
    <w:rsid w:val="0E9960EA"/>
    <w:rsid w:val="0E9C1764"/>
    <w:rsid w:val="0EA872A2"/>
    <w:rsid w:val="0F1D14DB"/>
    <w:rsid w:val="0F210F57"/>
    <w:rsid w:val="10075E08"/>
    <w:rsid w:val="10966690"/>
    <w:rsid w:val="10D842E1"/>
    <w:rsid w:val="11200E0E"/>
    <w:rsid w:val="115C0A93"/>
    <w:rsid w:val="116C0539"/>
    <w:rsid w:val="118E3102"/>
    <w:rsid w:val="11DA79F1"/>
    <w:rsid w:val="1207618B"/>
    <w:rsid w:val="1231797F"/>
    <w:rsid w:val="126E08E5"/>
    <w:rsid w:val="12B87C38"/>
    <w:rsid w:val="137815E8"/>
    <w:rsid w:val="13BB15B9"/>
    <w:rsid w:val="13E024F7"/>
    <w:rsid w:val="142524E7"/>
    <w:rsid w:val="154C118F"/>
    <w:rsid w:val="15C0055F"/>
    <w:rsid w:val="161A5B51"/>
    <w:rsid w:val="16A930AD"/>
    <w:rsid w:val="178F3686"/>
    <w:rsid w:val="180E1B29"/>
    <w:rsid w:val="1823439B"/>
    <w:rsid w:val="18631F81"/>
    <w:rsid w:val="18B206A5"/>
    <w:rsid w:val="18D271AF"/>
    <w:rsid w:val="19291A20"/>
    <w:rsid w:val="19815DB4"/>
    <w:rsid w:val="19C370FB"/>
    <w:rsid w:val="1A7B3B44"/>
    <w:rsid w:val="1A9C5DDD"/>
    <w:rsid w:val="1AA926FC"/>
    <w:rsid w:val="1AE41B2C"/>
    <w:rsid w:val="1C25136D"/>
    <w:rsid w:val="1C5650C0"/>
    <w:rsid w:val="1D075220"/>
    <w:rsid w:val="1D597EE5"/>
    <w:rsid w:val="1DB305AA"/>
    <w:rsid w:val="1E6D152D"/>
    <w:rsid w:val="1F222924"/>
    <w:rsid w:val="1F4544B4"/>
    <w:rsid w:val="1FA35771"/>
    <w:rsid w:val="20426CFD"/>
    <w:rsid w:val="20533F4A"/>
    <w:rsid w:val="20A4172F"/>
    <w:rsid w:val="20D165E0"/>
    <w:rsid w:val="21790732"/>
    <w:rsid w:val="21904F2D"/>
    <w:rsid w:val="21C727E1"/>
    <w:rsid w:val="226F5711"/>
    <w:rsid w:val="234B14B9"/>
    <w:rsid w:val="23E20EED"/>
    <w:rsid w:val="23FD212F"/>
    <w:rsid w:val="24C63B80"/>
    <w:rsid w:val="25111399"/>
    <w:rsid w:val="251D5245"/>
    <w:rsid w:val="25673626"/>
    <w:rsid w:val="26686CEF"/>
    <w:rsid w:val="26A91B01"/>
    <w:rsid w:val="27DC55D7"/>
    <w:rsid w:val="27F84584"/>
    <w:rsid w:val="2811153F"/>
    <w:rsid w:val="289135FD"/>
    <w:rsid w:val="28A82D5B"/>
    <w:rsid w:val="292F2406"/>
    <w:rsid w:val="29394ABE"/>
    <w:rsid w:val="294916A2"/>
    <w:rsid w:val="297E1B4D"/>
    <w:rsid w:val="2A4414CF"/>
    <w:rsid w:val="2A6C706D"/>
    <w:rsid w:val="2A937931"/>
    <w:rsid w:val="2AFE1262"/>
    <w:rsid w:val="2B00526F"/>
    <w:rsid w:val="2B1F1C39"/>
    <w:rsid w:val="2B3F58A7"/>
    <w:rsid w:val="2C4F1FE4"/>
    <w:rsid w:val="2C5E53FF"/>
    <w:rsid w:val="2DAE34B9"/>
    <w:rsid w:val="2DE77365"/>
    <w:rsid w:val="2E0216AC"/>
    <w:rsid w:val="2E247524"/>
    <w:rsid w:val="2E2B6136"/>
    <w:rsid w:val="2E69320E"/>
    <w:rsid w:val="2E700DD6"/>
    <w:rsid w:val="2E741DD6"/>
    <w:rsid w:val="2E7A6958"/>
    <w:rsid w:val="2EB11D5E"/>
    <w:rsid w:val="2EE722A9"/>
    <w:rsid w:val="2F4250B0"/>
    <w:rsid w:val="2FD35586"/>
    <w:rsid w:val="2FEE0176"/>
    <w:rsid w:val="30181573"/>
    <w:rsid w:val="306A75C3"/>
    <w:rsid w:val="30B1575E"/>
    <w:rsid w:val="31146847"/>
    <w:rsid w:val="31662556"/>
    <w:rsid w:val="319A66D0"/>
    <w:rsid w:val="31F17147"/>
    <w:rsid w:val="32397FF3"/>
    <w:rsid w:val="325A0E05"/>
    <w:rsid w:val="327358CC"/>
    <w:rsid w:val="32936AA7"/>
    <w:rsid w:val="33B17220"/>
    <w:rsid w:val="33B42114"/>
    <w:rsid w:val="33B719C4"/>
    <w:rsid w:val="33C032CF"/>
    <w:rsid w:val="358815E0"/>
    <w:rsid w:val="358F6DAA"/>
    <w:rsid w:val="35C77D9C"/>
    <w:rsid w:val="35E27AD1"/>
    <w:rsid w:val="360D102C"/>
    <w:rsid w:val="363429C0"/>
    <w:rsid w:val="37863B68"/>
    <w:rsid w:val="38973FE4"/>
    <w:rsid w:val="39523DE1"/>
    <w:rsid w:val="3A3B6E7C"/>
    <w:rsid w:val="3A76452D"/>
    <w:rsid w:val="3AA86B88"/>
    <w:rsid w:val="3AF90CBF"/>
    <w:rsid w:val="3BB77F64"/>
    <w:rsid w:val="3CBB6BB2"/>
    <w:rsid w:val="3D065BAD"/>
    <w:rsid w:val="3DD332D2"/>
    <w:rsid w:val="3E1068C3"/>
    <w:rsid w:val="3E506E48"/>
    <w:rsid w:val="3F4F59CD"/>
    <w:rsid w:val="3FC719B7"/>
    <w:rsid w:val="3FFC4B0C"/>
    <w:rsid w:val="402B46EA"/>
    <w:rsid w:val="40D70CA4"/>
    <w:rsid w:val="41F20501"/>
    <w:rsid w:val="428253C0"/>
    <w:rsid w:val="43A766C9"/>
    <w:rsid w:val="43EB0E95"/>
    <w:rsid w:val="440324A0"/>
    <w:rsid w:val="442B300F"/>
    <w:rsid w:val="443365B6"/>
    <w:rsid w:val="44364A2A"/>
    <w:rsid w:val="44995CF7"/>
    <w:rsid w:val="44B07C37"/>
    <w:rsid w:val="44FA3266"/>
    <w:rsid w:val="46E461D2"/>
    <w:rsid w:val="47081642"/>
    <w:rsid w:val="4710543A"/>
    <w:rsid w:val="471C35D3"/>
    <w:rsid w:val="473A2265"/>
    <w:rsid w:val="473C0C50"/>
    <w:rsid w:val="476A452D"/>
    <w:rsid w:val="47827CE8"/>
    <w:rsid w:val="47936E84"/>
    <w:rsid w:val="48B50D89"/>
    <w:rsid w:val="491E3CCB"/>
    <w:rsid w:val="493836DA"/>
    <w:rsid w:val="49926AD3"/>
    <w:rsid w:val="49ED6952"/>
    <w:rsid w:val="4AA130AF"/>
    <w:rsid w:val="4B7242B8"/>
    <w:rsid w:val="4C132D02"/>
    <w:rsid w:val="4C94692B"/>
    <w:rsid w:val="4CDE05D6"/>
    <w:rsid w:val="4CF1441C"/>
    <w:rsid w:val="4D751D04"/>
    <w:rsid w:val="4DD917CE"/>
    <w:rsid w:val="4E4C74A7"/>
    <w:rsid w:val="4F3B3E0A"/>
    <w:rsid w:val="4FCC53D0"/>
    <w:rsid w:val="51057895"/>
    <w:rsid w:val="513070F9"/>
    <w:rsid w:val="51455C9A"/>
    <w:rsid w:val="51585983"/>
    <w:rsid w:val="524453D1"/>
    <w:rsid w:val="538F5739"/>
    <w:rsid w:val="54274E6D"/>
    <w:rsid w:val="54866B54"/>
    <w:rsid w:val="550B434B"/>
    <w:rsid w:val="551368A0"/>
    <w:rsid w:val="55137D3B"/>
    <w:rsid w:val="553C2C5E"/>
    <w:rsid w:val="567F1EA1"/>
    <w:rsid w:val="56E97DF7"/>
    <w:rsid w:val="57422CC3"/>
    <w:rsid w:val="576D6BA8"/>
    <w:rsid w:val="57B33B59"/>
    <w:rsid w:val="57D97FF1"/>
    <w:rsid w:val="585C2844"/>
    <w:rsid w:val="58894810"/>
    <w:rsid w:val="58A6629F"/>
    <w:rsid w:val="58C20E22"/>
    <w:rsid w:val="58D83DCA"/>
    <w:rsid w:val="59032368"/>
    <w:rsid w:val="59993CB5"/>
    <w:rsid w:val="59D7322F"/>
    <w:rsid w:val="5A627A39"/>
    <w:rsid w:val="5A7E3AD5"/>
    <w:rsid w:val="5A8A4A8E"/>
    <w:rsid w:val="5B443AAA"/>
    <w:rsid w:val="5B76038F"/>
    <w:rsid w:val="5BAD1BC8"/>
    <w:rsid w:val="5BC35917"/>
    <w:rsid w:val="5C0D1289"/>
    <w:rsid w:val="5C0F2D54"/>
    <w:rsid w:val="5C2B2C64"/>
    <w:rsid w:val="5C6E39CD"/>
    <w:rsid w:val="5D7B314A"/>
    <w:rsid w:val="5D865AA2"/>
    <w:rsid w:val="5DAF6046"/>
    <w:rsid w:val="5E5F08B7"/>
    <w:rsid w:val="5E704FC8"/>
    <w:rsid w:val="5E896C55"/>
    <w:rsid w:val="5EBB148A"/>
    <w:rsid w:val="5FCD6D7A"/>
    <w:rsid w:val="5FEC6A29"/>
    <w:rsid w:val="5FF97043"/>
    <w:rsid w:val="60AC508B"/>
    <w:rsid w:val="61B45F88"/>
    <w:rsid w:val="620053C1"/>
    <w:rsid w:val="620E7C5F"/>
    <w:rsid w:val="62270ADF"/>
    <w:rsid w:val="638043CD"/>
    <w:rsid w:val="63B109AF"/>
    <w:rsid w:val="64EE0F15"/>
    <w:rsid w:val="65CA29C5"/>
    <w:rsid w:val="65D7377D"/>
    <w:rsid w:val="65E956CF"/>
    <w:rsid w:val="66B050D3"/>
    <w:rsid w:val="670B6EF9"/>
    <w:rsid w:val="671036AF"/>
    <w:rsid w:val="673B20F9"/>
    <w:rsid w:val="67577DF7"/>
    <w:rsid w:val="67A64A03"/>
    <w:rsid w:val="684D71CF"/>
    <w:rsid w:val="68DB4AEF"/>
    <w:rsid w:val="6977786C"/>
    <w:rsid w:val="698117BF"/>
    <w:rsid w:val="69965724"/>
    <w:rsid w:val="69A57FB1"/>
    <w:rsid w:val="6A2B313E"/>
    <w:rsid w:val="6A3A1848"/>
    <w:rsid w:val="6A4467AA"/>
    <w:rsid w:val="6A452224"/>
    <w:rsid w:val="6A6C17DD"/>
    <w:rsid w:val="6A8336A2"/>
    <w:rsid w:val="6D227697"/>
    <w:rsid w:val="6D331832"/>
    <w:rsid w:val="6D3535AA"/>
    <w:rsid w:val="6D3951DB"/>
    <w:rsid w:val="6D49716C"/>
    <w:rsid w:val="6D651FE6"/>
    <w:rsid w:val="6D771154"/>
    <w:rsid w:val="6D8E031D"/>
    <w:rsid w:val="6E014C22"/>
    <w:rsid w:val="6E1231BC"/>
    <w:rsid w:val="6E1845CD"/>
    <w:rsid w:val="6ED91546"/>
    <w:rsid w:val="6F3F420A"/>
    <w:rsid w:val="6F6748D6"/>
    <w:rsid w:val="70624CFC"/>
    <w:rsid w:val="707725B8"/>
    <w:rsid w:val="70C435D1"/>
    <w:rsid w:val="70CF039C"/>
    <w:rsid w:val="711B0C7B"/>
    <w:rsid w:val="71791E23"/>
    <w:rsid w:val="71CB75A4"/>
    <w:rsid w:val="72283F7B"/>
    <w:rsid w:val="724205BB"/>
    <w:rsid w:val="725E15F7"/>
    <w:rsid w:val="72AB48E6"/>
    <w:rsid w:val="72B159A4"/>
    <w:rsid w:val="73817DBF"/>
    <w:rsid w:val="73DA32E4"/>
    <w:rsid w:val="74217E6E"/>
    <w:rsid w:val="74755C01"/>
    <w:rsid w:val="74A905A6"/>
    <w:rsid w:val="74AD5CC5"/>
    <w:rsid w:val="75016933"/>
    <w:rsid w:val="750C7B1C"/>
    <w:rsid w:val="75A2482B"/>
    <w:rsid w:val="75D46CCF"/>
    <w:rsid w:val="763E18BE"/>
    <w:rsid w:val="77154207"/>
    <w:rsid w:val="77654CBC"/>
    <w:rsid w:val="77B466DA"/>
    <w:rsid w:val="77F9134D"/>
    <w:rsid w:val="78FB1F18"/>
    <w:rsid w:val="79471A24"/>
    <w:rsid w:val="795646A9"/>
    <w:rsid w:val="798D5337"/>
    <w:rsid w:val="7A5614A2"/>
    <w:rsid w:val="7A9862F5"/>
    <w:rsid w:val="7ABB0D0D"/>
    <w:rsid w:val="7AEC4473"/>
    <w:rsid w:val="7B092148"/>
    <w:rsid w:val="7BBF555D"/>
    <w:rsid w:val="7BEF445B"/>
    <w:rsid w:val="7D365589"/>
    <w:rsid w:val="7DBC149B"/>
    <w:rsid w:val="7E40319D"/>
    <w:rsid w:val="7E9C05BC"/>
    <w:rsid w:val="7E9D6200"/>
    <w:rsid w:val="7F0B7D73"/>
    <w:rsid w:val="7F226A74"/>
    <w:rsid w:val="7F262F3B"/>
    <w:rsid w:val="7F326B39"/>
    <w:rsid w:val="7F3575F6"/>
    <w:rsid w:val="7F372864"/>
    <w:rsid w:val="7F87456B"/>
    <w:rsid w:val="7FEC5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4">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5">
    <w:name w:val="heading 2"/>
    <w:basedOn w:val="1"/>
    <w:next w:val="1"/>
    <w:link w:val="112"/>
    <w:qFormat/>
    <w:uiPriority w:val="0"/>
    <w:pPr>
      <w:keepNext/>
      <w:keepLines/>
      <w:spacing w:line="360" w:lineRule="auto"/>
      <w:outlineLvl w:val="1"/>
    </w:pPr>
    <w:rPr>
      <w:rFonts w:ascii="Arial" w:hAnsi="Arial"/>
      <w:b/>
      <w:bCs/>
      <w:sz w:val="24"/>
      <w:szCs w:val="32"/>
    </w:rPr>
  </w:style>
  <w:style w:type="paragraph" w:styleId="6">
    <w:name w:val="heading 3"/>
    <w:basedOn w:val="1"/>
    <w:next w:val="1"/>
    <w:qFormat/>
    <w:uiPriority w:val="0"/>
    <w:pPr>
      <w:keepNext/>
      <w:keepLines/>
      <w:spacing w:line="360" w:lineRule="auto"/>
      <w:ind w:firstLine="200" w:firstLineChars="200"/>
      <w:outlineLvl w:val="2"/>
    </w:pPr>
    <w:rPr>
      <w:b/>
      <w:bCs/>
      <w:szCs w:val="32"/>
    </w:rPr>
  </w:style>
  <w:style w:type="paragraph" w:styleId="7">
    <w:name w:val="heading 4"/>
    <w:basedOn w:val="1"/>
    <w:next w:val="1"/>
    <w:link w:val="6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34"/>
    <w:qFormat/>
    <w:uiPriority w:val="0"/>
    <w:rPr>
      <w:sz w:val="24"/>
      <w:szCs w:val="24"/>
    </w:rPr>
  </w:style>
  <w:style w:type="paragraph" w:styleId="3">
    <w:name w:val="toc 2"/>
    <w:basedOn w:val="1"/>
    <w:next w:val="1"/>
    <w:qFormat/>
    <w:uiPriority w:val="0"/>
    <w:pPr>
      <w:ind w:left="210"/>
    </w:pPr>
    <w:rPr>
      <w:rFonts w:ascii="Calibri" w:hAnsi="Calibri"/>
      <w:smallCaps/>
    </w:rPr>
  </w:style>
  <w:style w:type="paragraph" w:styleId="8">
    <w:name w:val="toc 7"/>
    <w:next w:val="1"/>
    <w:qFormat/>
    <w:uiPriority w:val="0"/>
    <w:pPr>
      <w:ind w:left="1260"/>
    </w:pPr>
    <w:rPr>
      <w:rFonts w:ascii="Calibri" w:hAnsi="Calibri" w:eastAsia="宋体" w:cs="Times New Roman"/>
      <w:sz w:val="18"/>
      <w:szCs w:val="18"/>
      <w:lang w:val="en-US" w:eastAsia="zh-CN" w:bidi="ar-SA"/>
    </w:rPr>
  </w:style>
  <w:style w:type="paragraph" w:styleId="9">
    <w:name w:val="List Number 2"/>
    <w:basedOn w:val="1"/>
    <w:qFormat/>
    <w:uiPriority w:val="0"/>
    <w:pPr>
      <w:widowControl/>
      <w:tabs>
        <w:tab w:val="left" w:pos="1697"/>
      </w:tabs>
      <w:spacing w:afterLines="50"/>
      <w:ind w:left="1697" w:hanging="420"/>
      <w:jc w:val="left"/>
    </w:pPr>
    <w:rPr>
      <w:sz w:val="24"/>
      <w:szCs w:val="20"/>
    </w:rPr>
  </w:style>
  <w:style w:type="paragraph" w:styleId="10">
    <w:name w:val="List Number"/>
    <w:basedOn w:val="1"/>
    <w:qFormat/>
    <w:uiPriority w:val="0"/>
    <w:pPr>
      <w:widowControl/>
      <w:numPr>
        <w:ilvl w:val="0"/>
        <w:numId w:val="1"/>
      </w:numPr>
      <w:tabs>
        <w:tab w:val="left" w:pos="0"/>
        <w:tab w:val="left" w:pos="454"/>
      </w:tabs>
      <w:spacing w:afterLines="50"/>
      <w:ind w:left="454" w:hanging="284"/>
      <w:jc w:val="left"/>
    </w:pPr>
    <w:rPr>
      <w:rFonts w:ascii="Calibri" w:hAnsi="Calibri"/>
      <w:sz w:val="24"/>
      <w:szCs w:val="20"/>
    </w:rPr>
  </w:style>
  <w:style w:type="paragraph" w:styleId="11">
    <w:name w:val="Normal Indent"/>
    <w:basedOn w:val="1"/>
    <w:qFormat/>
    <w:uiPriority w:val="0"/>
    <w:pPr>
      <w:ind w:firstLine="420" w:firstLineChars="200"/>
    </w:pPr>
  </w:style>
  <w:style w:type="paragraph" w:styleId="12">
    <w:name w:val="caption"/>
    <w:next w:val="1"/>
    <w:qFormat/>
    <w:uiPriority w:val="0"/>
    <w:pPr>
      <w:widowControl w:val="0"/>
      <w:spacing w:before="152" w:after="160"/>
      <w:jc w:val="both"/>
    </w:pPr>
    <w:rPr>
      <w:rFonts w:ascii="Arial" w:hAnsi="Arial" w:eastAsia="黑体" w:cs="Times New Roman"/>
      <w:kern w:val="2"/>
      <w:lang w:val="en-US" w:eastAsia="zh-CN" w:bidi="ar-SA"/>
    </w:rPr>
  </w:style>
  <w:style w:type="paragraph" w:styleId="13">
    <w:name w:val="annotation text"/>
    <w:basedOn w:val="1"/>
    <w:link w:val="116"/>
    <w:qFormat/>
    <w:uiPriority w:val="0"/>
    <w:pPr>
      <w:jc w:val="left"/>
    </w:pPr>
  </w:style>
  <w:style w:type="paragraph" w:styleId="14">
    <w:name w:val="Body Text 3"/>
    <w:link w:val="118"/>
    <w:qFormat/>
    <w:uiPriority w:val="0"/>
    <w:pPr>
      <w:widowControl w:val="0"/>
      <w:snapToGrid w:val="0"/>
      <w:spacing w:before="50" w:after="50"/>
      <w:jc w:val="both"/>
    </w:pPr>
    <w:rPr>
      <w:rFonts w:ascii="Calibri" w:hAnsi="Calibri" w:eastAsia="仿宋_GB2312" w:cs="Times New Roman"/>
      <w:b/>
      <w:bCs/>
      <w:kern w:val="2"/>
      <w:sz w:val="24"/>
      <w:lang w:val="en-US" w:eastAsia="zh-CN" w:bidi="ar-SA"/>
    </w:rPr>
  </w:style>
  <w:style w:type="paragraph" w:styleId="15">
    <w:name w:val="Body Text Indent"/>
    <w:basedOn w:val="1"/>
    <w:link w:val="113"/>
    <w:qFormat/>
    <w:uiPriority w:val="0"/>
    <w:pPr>
      <w:spacing w:after="120"/>
      <w:ind w:left="420" w:leftChars="200"/>
    </w:pPr>
  </w:style>
  <w:style w:type="paragraph" w:styleId="16">
    <w:name w:val="List Number 3"/>
    <w:basedOn w:val="1"/>
    <w:qFormat/>
    <w:uiPriority w:val="0"/>
    <w:pPr>
      <w:numPr>
        <w:ilvl w:val="0"/>
        <w:numId w:val="2"/>
      </w:numPr>
      <w:tabs>
        <w:tab w:val="left" w:pos="1200"/>
      </w:tabs>
    </w:pPr>
    <w:rPr>
      <w:rFonts w:ascii="Calibri" w:hAnsi="Calibri"/>
      <w:kern w:val="2"/>
      <w:szCs w:val="20"/>
    </w:rPr>
  </w:style>
  <w:style w:type="paragraph" w:styleId="17">
    <w:name w:val="toc 5"/>
    <w:next w:val="1"/>
    <w:qFormat/>
    <w:uiPriority w:val="0"/>
    <w:pPr>
      <w:ind w:left="840"/>
    </w:pPr>
    <w:rPr>
      <w:rFonts w:ascii="Calibri" w:hAnsi="Calibri" w:eastAsia="宋体" w:cs="Times New Roman"/>
      <w:sz w:val="18"/>
      <w:szCs w:val="18"/>
      <w:lang w:val="en-US" w:eastAsia="zh-CN" w:bidi="ar-SA"/>
    </w:rPr>
  </w:style>
  <w:style w:type="paragraph" w:styleId="18">
    <w:name w:val="toc 3"/>
    <w:next w:val="1"/>
    <w:qFormat/>
    <w:uiPriority w:val="0"/>
    <w:pPr>
      <w:ind w:left="420"/>
    </w:pPr>
    <w:rPr>
      <w:rFonts w:ascii="Calibri" w:hAnsi="Calibri" w:eastAsia="宋体" w:cs="Times New Roman"/>
      <w:i/>
      <w:iCs/>
      <w:lang w:val="en-US" w:eastAsia="zh-CN" w:bidi="ar-SA"/>
    </w:rPr>
  </w:style>
  <w:style w:type="paragraph" w:styleId="19">
    <w:name w:val="Plain Text"/>
    <w:basedOn w:val="1"/>
    <w:link w:val="135"/>
    <w:qFormat/>
    <w:uiPriority w:val="0"/>
    <w:rPr>
      <w:rFonts w:ascii="宋体" w:hAnsi="Courier New" w:cs="Courier New"/>
      <w:szCs w:val="21"/>
    </w:rPr>
  </w:style>
  <w:style w:type="paragraph" w:styleId="20">
    <w:name w:val="toc 8"/>
    <w:next w:val="1"/>
    <w:qFormat/>
    <w:uiPriority w:val="0"/>
    <w:pPr>
      <w:ind w:left="1470"/>
    </w:pPr>
    <w:rPr>
      <w:rFonts w:ascii="Calibri" w:hAnsi="Calibri" w:eastAsia="宋体" w:cs="Times New Roman"/>
      <w:sz w:val="18"/>
      <w:szCs w:val="18"/>
      <w:lang w:val="en-US" w:eastAsia="zh-CN" w:bidi="ar-SA"/>
    </w:rPr>
  </w:style>
  <w:style w:type="paragraph" w:styleId="21">
    <w:name w:val="Date"/>
    <w:basedOn w:val="1"/>
    <w:next w:val="1"/>
    <w:link w:val="94"/>
    <w:qFormat/>
    <w:uiPriority w:val="0"/>
    <w:rPr>
      <w:rFonts w:eastAsia="仿宋_GB2312"/>
      <w:sz w:val="28"/>
      <w:szCs w:val="20"/>
    </w:rPr>
  </w:style>
  <w:style w:type="paragraph" w:styleId="22">
    <w:name w:val="Body Text Indent 2"/>
    <w:basedOn w:val="1"/>
    <w:link w:val="115"/>
    <w:qFormat/>
    <w:uiPriority w:val="99"/>
    <w:pPr>
      <w:ind w:firstLine="560" w:firstLineChars="200"/>
    </w:pPr>
    <w:rPr>
      <w:rFonts w:ascii="仿宋_GB2312" w:hAnsi="Calibri" w:eastAsia="仿宋_GB2312"/>
      <w:bCs/>
      <w:kern w:val="2"/>
      <w:sz w:val="28"/>
      <w:szCs w:val="44"/>
    </w:rPr>
  </w:style>
  <w:style w:type="paragraph" w:styleId="23">
    <w:name w:val="Balloon Text"/>
    <w:basedOn w:val="1"/>
    <w:link w:val="120"/>
    <w:qFormat/>
    <w:uiPriority w:val="0"/>
    <w:rPr>
      <w:kern w:val="2"/>
      <w:sz w:val="18"/>
      <w:szCs w:val="18"/>
    </w:rPr>
  </w:style>
  <w:style w:type="paragraph" w:styleId="24">
    <w:name w:val="footer"/>
    <w:basedOn w:val="1"/>
    <w:link w:val="97"/>
    <w:qFormat/>
    <w:uiPriority w:val="0"/>
    <w:pPr>
      <w:tabs>
        <w:tab w:val="center" w:pos="4153"/>
        <w:tab w:val="right" w:pos="8306"/>
      </w:tabs>
      <w:snapToGrid w:val="0"/>
      <w:jc w:val="left"/>
    </w:pPr>
    <w:rPr>
      <w:sz w:val="18"/>
      <w:szCs w:val="18"/>
    </w:rPr>
  </w:style>
  <w:style w:type="paragraph" w:styleId="25">
    <w:name w:val="header"/>
    <w:basedOn w:val="1"/>
    <w:link w:val="67"/>
    <w:qFormat/>
    <w:uiPriority w:val="0"/>
    <w:pPr>
      <w:pBdr>
        <w:bottom w:val="single" w:color="auto" w:sz="6" w:space="1"/>
      </w:pBdr>
      <w:tabs>
        <w:tab w:val="center" w:pos="4153"/>
        <w:tab w:val="right" w:pos="8306"/>
      </w:tabs>
      <w:snapToGrid w:val="0"/>
      <w:jc w:val="center"/>
    </w:pPr>
    <w:rPr>
      <w:sz w:val="18"/>
      <w:szCs w:val="18"/>
    </w:rPr>
  </w:style>
  <w:style w:type="paragraph" w:styleId="26">
    <w:name w:val="toc 1"/>
    <w:next w:val="1"/>
    <w:qFormat/>
    <w:uiPriority w:val="0"/>
    <w:pPr>
      <w:spacing w:beforeLines="38" w:afterLines="38"/>
    </w:pPr>
    <w:rPr>
      <w:rFonts w:ascii="Calibri" w:hAnsi="Calibri" w:eastAsia="宋体" w:cs="Times New Roman"/>
      <w:b/>
      <w:bCs/>
      <w:lang w:val="en-US" w:eastAsia="zh-CN" w:bidi="ar-SA"/>
    </w:rPr>
  </w:style>
  <w:style w:type="paragraph" w:styleId="27">
    <w:name w:val="toc 4"/>
    <w:next w:val="1"/>
    <w:qFormat/>
    <w:uiPriority w:val="0"/>
    <w:pPr>
      <w:ind w:left="630"/>
    </w:pPr>
    <w:rPr>
      <w:rFonts w:ascii="Calibri" w:hAnsi="Calibri" w:eastAsia="宋体" w:cs="Times New Roman"/>
      <w:sz w:val="18"/>
      <w:szCs w:val="18"/>
      <w:lang w:val="en-US" w:eastAsia="zh-CN" w:bidi="ar-SA"/>
    </w:rPr>
  </w:style>
  <w:style w:type="paragraph" w:styleId="28">
    <w:name w:val="toc 6"/>
    <w:next w:val="1"/>
    <w:qFormat/>
    <w:uiPriority w:val="0"/>
    <w:pPr>
      <w:ind w:left="1050"/>
    </w:pPr>
    <w:rPr>
      <w:rFonts w:ascii="Calibri" w:hAnsi="Calibri" w:eastAsia="宋体" w:cs="Times New Roman"/>
      <w:sz w:val="18"/>
      <w:szCs w:val="18"/>
      <w:lang w:val="en-US" w:eastAsia="zh-CN" w:bidi="ar-SA"/>
    </w:rPr>
  </w:style>
  <w:style w:type="paragraph" w:styleId="29">
    <w:name w:val="Body Text Indent 3"/>
    <w:basedOn w:val="1"/>
    <w:link w:val="86"/>
    <w:qFormat/>
    <w:uiPriority w:val="0"/>
    <w:pPr>
      <w:spacing w:after="120"/>
      <w:ind w:left="420" w:leftChars="200"/>
    </w:pPr>
    <w:rPr>
      <w:sz w:val="16"/>
      <w:szCs w:val="16"/>
    </w:rPr>
  </w:style>
  <w:style w:type="paragraph" w:styleId="30">
    <w:name w:val="toc 9"/>
    <w:next w:val="1"/>
    <w:qFormat/>
    <w:uiPriority w:val="0"/>
    <w:pPr>
      <w:ind w:left="1680"/>
    </w:pPr>
    <w:rPr>
      <w:rFonts w:ascii="Calibri" w:hAnsi="Calibri" w:eastAsia="宋体" w:cs="Times New Roman"/>
      <w:sz w:val="18"/>
      <w:szCs w:val="18"/>
      <w:lang w:val="en-US" w:eastAsia="zh-CN" w:bidi="ar-SA"/>
    </w:rPr>
  </w:style>
  <w:style w:type="paragraph" w:styleId="31">
    <w:name w:val="Body Text 2"/>
    <w:basedOn w:val="1"/>
    <w:next w:val="2"/>
    <w:qFormat/>
    <w:uiPriority w:val="0"/>
    <w:pPr>
      <w:spacing w:line="480" w:lineRule="auto"/>
    </w:pPr>
  </w:style>
  <w:style w:type="paragraph" w:styleId="32">
    <w:name w:val="HTML Preformatted"/>
    <w:basedOn w:val="1"/>
    <w:link w:val="119"/>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vanish/>
      <w:sz w:val="24"/>
      <w:szCs w:val="24"/>
    </w:rPr>
  </w:style>
  <w:style w:type="paragraph" w:styleId="33">
    <w:name w:val="Normal (Web)"/>
    <w:basedOn w:val="1"/>
    <w:qFormat/>
    <w:uiPriority w:val="0"/>
    <w:pPr>
      <w:widowControl/>
      <w:spacing w:before="100" w:beforeAutospacing="1" w:after="100" w:afterAutospacing="1"/>
      <w:jc w:val="left"/>
    </w:pPr>
    <w:rPr>
      <w:sz w:val="24"/>
    </w:rPr>
  </w:style>
  <w:style w:type="paragraph" w:styleId="34">
    <w:name w:val="Title"/>
    <w:basedOn w:val="1"/>
    <w:next w:val="1"/>
    <w:qFormat/>
    <w:uiPriority w:val="10"/>
    <w:pPr>
      <w:adjustRightInd w:val="0"/>
      <w:spacing w:before="240" w:after="60" w:line="420" w:lineRule="atLeast"/>
      <w:jc w:val="center"/>
      <w:textAlignment w:val="baseline"/>
      <w:outlineLvl w:val="0"/>
    </w:pPr>
    <w:rPr>
      <w:rFonts w:ascii="Arial" w:hAnsi="Arial"/>
      <w:b/>
      <w:sz w:val="32"/>
      <w:szCs w:val="20"/>
    </w:rPr>
  </w:style>
  <w:style w:type="paragraph" w:styleId="35">
    <w:name w:val="annotation subject"/>
    <w:basedOn w:val="13"/>
    <w:next w:val="13"/>
    <w:link w:val="117"/>
    <w:qFormat/>
    <w:uiPriority w:val="0"/>
    <w:rPr>
      <w:rFonts w:ascii="Calibri" w:hAnsi="Calibri"/>
      <w:b/>
      <w:kern w:val="2"/>
      <w:szCs w:val="20"/>
    </w:rPr>
  </w:style>
  <w:style w:type="paragraph" w:styleId="36">
    <w:name w:val="Body Text First Indent"/>
    <w:basedOn w:val="2"/>
    <w:next w:val="1"/>
    <w:qFormat/>
    <w:uiPriority w:val="0"/>
    <w:pPr>
      <w:ind w:firstLine="420" w:firstLineChars="100"/>
    </w:pPr>
    <w:rPr>
      <w:sz w:val="34"/>
      <w:szCs w:val="20"/>
    </w:rPr>
  </w:style>
  <w:style w:type="paragraph" w:styleId="37">
    <w:name w:val="Body Text First Indent 2"/>
    <w:basedOn w:val="15"/>
    <w:link w:val="114"/>
    <w:qFormat/>
    <w:uiPriority w:val="0"/>
    <w:pPr>
      <w:ind w:left="0" w:leftChars="0" w:firstLine="960" w:firstLineChars="200"/>
    </w:pPr>
    <w:rPr>
      <w:rFonts w:ascii="Calibri" w:hAnsi="Calibri" w:eastAsia="楷体"/>
      <w:kern w:val="2"/>
      <w:szCs w:val="24"/>
    </w:rPr>
  </w:style>
  <w:style w:type="table" w:styleId="39">
    <w:name w:val="Table Grid"/>
    <w:basedOn w:val="38"/>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qFormat/>
    <w:uiPriority w:val="0"/>
    <w:rPr>
      <w:rFonts w:cs="Times New Roman"/>
      <w:b/>
      <w:bCs/>
    </w:rPr>
  </w:style>
  <w:style w:type="character" w:styleId="42">
    <w:name w:val="page number"/>
    <w:basedOn w:val="40"/>
    <w:qFormat/>
    <w:uiPriority w:val="0"/>
  </w:style>
  <w:style w:type="character" w:styleId="43">
    <w:name w:val="FollowedHyperlink"/>
    <w:basedOn w:val="40"/>
    <w:qFormat/>
    <w:uiPriority w:val="0"/>
    <w:rPr>
      <w:color w:val="3F88BF"/>
      <w:u w:val="none"/>
    </w:rPr>
  </w:style>
  <w:style w:type="character" w:styleId="44">
    <w:name w:val="Emphasis"/>
    <w:basedOn w:val="40"/>
    <w:qFormat/>
    <w:uiPriority w:val="0"/>
  </w:style>
  <w:style w:type="character" w:styleId="45">
    <w:name w:val="HTML Definition"/>
    <w:basedOn w:val="40"/>
    <w:qFormat/>
    <w:uiPriority w:val="0"/>
  </w:style>
  <w:style w:type="character" w:styleId="46">
    <w:name w:val="HTML Typewriter"/>
    <w:basedOn w:val="40"/>
    <w:uiPriority w:val="0"/>
    <w:rPr>
      <w:rFonts w:hint="default" w:ascii="monospace" w:hAnsi="monospace" w:eastAsia="monospace" w:cs="monospace"/>
      <w:sz w:val="20"/>
      <w:bdr w:val="single" w:color="BDBEC1" w:sz="6" w:space="0"/>
      <w:shd w:val="clear" w:fill="FFFFFF"/>
    </w:rPr>
  </w:style>
  <w:style w:type="character" w:styleId="47">
    <w:name w:val="HTML Acronym"/>
    <w:basedOn w:val="40"/>
    <w:uiPriority w:val="0"/>
  </w:style>
  <w:style w:type="character" w:styleId="48">
    <w:name w:val="HTML Variable"/>
    <w:basedOn w:val="40"/>
    <w:qFormat/>
    <w:uiPriority w:val="0"/>
  </w:style>
  <w:style w:type="character" w:styleId="49">
    <w:name w:val="Hyperlink"/>
    <w:basedOn w:val="40"/>
    <w:qFormat/>
    <w:uiPriority w:val="0"/>
    <w:rPr>
      <w:color w:val="0000FF" w:themeColor="hyperlink"/>
      <w:u w:val="single"/>
    </w:rPr>
  </w:style>
  <w:style w:type="character" w:styleId="50">
    <w:name w:val="HTML Code"/>
    <w:basedOn w:val="40"/>
    <w:qFormat/>
    <w:uiPriority w:val="0"/>
    <w:rPr>
      <w:rFonts w:hint="eastAsia" w:ascii="微软雅黑" w:hAnsi="微软雅黑" w:eastAsia="微软雅黑" w:cs="微软雅黑"/>
      <w:sz w:val="20"/>
    </w:rPr>
  </w:style>
  <w:style w:type="character" w:styleId="51">
    <w:name w:val="annotation reference"/>
    <w:basedOn w:val="40"/>
    <w:qFormat/>
    <w:uiPriority w:val="0"/>
    <w:rPr>
      <w:sz w:val="21"/>
      <w:szCs w:val="21"/>
    </w:rPr>
  </w:style>
  <w:style w:type="character" w:styleId="52">
    <w:name w:val="HTML Cite"/>
    <w:basedOn w:val="40"/>
    <w:qFormat/>
    <w:uiPriority w:val="0"/>
  </w:style>
  <w:style w:type="character" w:styleId="53">
    <w:name w:val="HTML Keyboard"/>
    <w:basedOn w:val="40"/>
    <w:qFormat/>
    <w:uiPriority w:val="0"/>
    <w:rPr>
      <w:rFonts w:hint="eastAsia" w:ascii="微软雅黑" w:hAnsi="微软雅黑" w:eastAsia="微软雅黑" w:cs="微软雅黑"/>
      <w:color w:val="3F88BF"/>
      <w:sz w:val="20"/>
      <w:u w:val="none"/>
    </w:rPr>
  </w:style>
  <w:style w:type="character" w:styleId="54">
    <w:name w:val="HTML Sample"/>
    <w:basedOn w:val="40"/>
    <w:qFormat/>
    <w:uiPriority w:val="0"/>
    <w:rPr>
      <w:rFonts w:hint="eastAsia" w:ascii="微软雅黑" w:hAnsi="微软雅黑" w:eastAsia="微软雅黑" w:cs="微软雅黑"/>
    </w:rPr>
  </w:style>
  <w:style w:type="paragraph" w:customStyle="1" w:styleId="55">
    <w:name w:val="首行缩进"/>
    <w:basedOn w:val="1"/>
    <w:qFormat/>
    <w:uiPriority w:val="99"/>
    <w:pPr>
      <w:spacing w:line="360" w:lineRule="auto"/>
      <w:ind w:firstLine="480" w:firstLineChars="200"/>
    </w:pPr>
    <w:rPr>
      <w:sz w:val="24"/>
      <w:lang w:val="zh-CN"/>
    </w:rPr>
  </w:style>
  <w:style w:type="paragraph" w:customStyle="1" w:styleId="56">
    <w:name w:val="样式 标题 2 + Times New Roman 四号 非加粗 段前: 5 磅 段后: 0 磅 行距: 固定值 20..."/>
    <w:basedOn w:val="5"/>
    <w:qFormat/>
    <w:uiPriority w:val="0"/>
    <w:pPr>
      <w:spacing w:before="100" w:line="400" w:lineRule="exact"/>
    </w:pPr>
    <w:rPr>
      <w:rFonts w:ascii="Times New Roman" w:hAnsi="Times New Roman" w:eastAsia="黑体" w:cs="宋体"/>
      <w:b w:val="0"/>
      <w:bCs w:val="0"/>
      <w:sz w:val="28"/>
      <w:szCs w:val="20"/>
    </w:rPr>
  </w:style>
  <w:style w:type="paragraph" w:customStyle="1" w:styleId="57">
    <w:name w:val="样式 标题 3 + (中文) 黑体 小四 非加粗 段前: 7.8 磅 段后: 0 磅 行距: 固定值 20 磅"/>
    <w:basedOn w:val="6"/>
    <w:qFormat/>
    <w:uiPriority w:val="0"/>
    <w:pPr>
      <w:spacing w:line="400" w:lineRule="exact"/>
      <w:ind w:firstLine="0" w:firstLineChars="0"/>
    </w:pPr>
    <w:rPr>
      <w:rFonts w:eastAsia="黑体" w:cs="宋体"/>
      <w:b w:val="0"/>
      <w:bCs w:val="0"/>
      <w:sz w:val="24"/>
      <w:szCs w:val="20"/>
    </w:rPr>
  </w:style>
  <w:style w:type="character" w:customStyle="1" w:styleId="58">
    <w:name w:val="zbggmain style9"/>
    <w:basedOn w:val="40"/>
    <w:qFormat/>
    <w:uiPriority w:val="0"/>
  </w:style>
  <w:style w:type="paragraph" w:customStyle="1" w:styleId="59">
    <w:name w:val="p0"/>
    <w:basedOn w:val="1"/>
    <w:qFormat/>
    <w:uiPriority w:val="99"/>
    <w:pPr>
      <w:widowControl/>
      <w:spacing w:before="100" w:beforeAutospacing="1" w:after="100" w:afterAutospacing="1"/>
      <w:jc w:val="left"/>
    </w:pPr>
    <w:rPr>
      <w:rFonts w:ascii="宋体" w:hAnsi="宋体" w:cs="宋体"/>
      <w:sz w:val="24"/>
    </w:rPr>
  </w:style>
  <w:style w:type="paragraph" w:styleId="60">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61">
    <w:name w:val="List Paragraph"/>
    <w:basedOn w:val="1"/>
    <w:qFormat/>
    <w:uiPriority w:val="99"/>
    <w:pPr>
      <w:ind w:firstLine="420" w:firstLineChars="200"/>
    </w:pPr>
  </w:style>
  <w:style w:type="character" w:customStyle="1" w:styleId="62">
    <w:name w:val="answer-title"/>
    <w:basedOn w:val="40"/>
    <w:qFormat/>
    <w:uiPriority w:val="0"/>
  </w:style>
  <w:style w:type="character" w:customStyle="1" w:styleId="63">
    <w:name w:val="num"/>
    <w:basedOn w:val="40"/>
    <w:qFormat/>
    <w:uiPriority w:val="0"/>
    <w:rPr>
      <w:b/>
      <w:color w:val="FF7800"/>
    </w:rPr>
  </w:style>
  <w:style w:type="character" w:customStyle="1" w:styleId="64">
    <w:name w:val="release-day"/>
    <w:basedOn w:val="40"/>
    <w:qFormat/>
    <w:uiPriority w:val="0"/>
    <w:rPr>
      <w:bdr w:val="single" w:color="BDEBB0" w:sz="6" w:space="0"/>
      <w:shd w:val="clear" w:color="auto" w:fill="F5FFF1"/>
    </w:rPr>
  </w:style>
  <w:style w:type="character" w:customStyle="1" w:styleId="65">
    <w:name w:val="num4"/>
    <w:basedOn w:val="40"/>
    <w:qFormat/>
    <w:uiPriority w:val="0"/>
    <w:rPr>
      <w:b/>
      <w:color w:val="FF7800"/>
    </w:rPr>
  </w:style>
  <w:style w:type="character" w:customStyle="1" w:styleId="66">
    <w:name w:val="answer-title8"/>
    <w:basedOn w:val="40"/>
    <w:qFormat/>
    <w:uiPriority w:val="0"/>
  </w:style>
  <w:style w:type="character" w:customStyle="1" w:styleId="67">
    <w:name w:val="页眉 Char"/>
    <w:basedOn w:val="40"/>
    <w:link w:val="25"/>
    <w:qFormat/>
    <w:uiPriority w:val="0"/>
    <w:rPr>
      <w:sz w:val="18"/>
      <w:szCs w:val="18"/>
    </w:rPr>
  </w:style>
  <w:style w:type="paragraph" w:customStyle="1" w:styleId="68">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69">
    <w:name w:val="标题 4 Char"/>
    <w:basedOn w:val="40"/>
    <w:link w:val="7"/>
    <w:semiHidden/>
    <w:qFormat/>
    <w:uiPriority w:val="0"/>
    <w:rPr>
      <w:rFonts w:asciiTheme="majorHAnsi" w:hAnsiTheme="majorHAnsi" w:eastAsiaTheme="majorEastAsia" w:cstheme="majorBidi"/>
      <w:b/>
      <w:bCs/>
      <w:sz w:val="28"/>
      <w:szCs w:val="28"/>
    </w:rPr>
  </w:style>
  <w:style w:type="paragraph" w:customStyle="1" w:styleId="70">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1">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2">
    <w:name w:val="Table Paragraph"/>
    <w:basedOn w:val="1"/>
    <w:qFormat/>
    <w:uiPriority w:val="1"/>
  </w:style>
  <w:style w:type="paragraph" w:customStyle="1" w:styleId="73">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74">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75">
    <w:name w:val="正文2"/>
    <w:basedOn w:val="1"/>
    <w:qFormat/>
    <w:uiPriority w:val="0"/>
    <w:pPr>
      <w:spacing w:before="156" w:line="360" w:lineRule="auto"/>
      <w:ind w:firstLine="510" w:firstLineChars="200"/>
    </w:pPr>
    <w:rPr>
      <w:sz w:val="24"/>
      <w:szCs w:val="20"/>
    </w:rPr>
  </w:style>
  <w:style w:type="paragraph" w:customStyle="1" w:styleId="76">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77">
    <w:name w:val="font41"/>
    <w:qFormat/>
    <w:uiPriority w:val="0"/>
    <w:rPr>
      <w:rFonts w:hint="eastAsia" w:ascii="等线" w:hAnsi="等线" w:eastAsia="等线" w:cs="等线"/>
      <w:b/>
      <w:color w:val="000000"/>
      <w:sz w:val="22"/>
      <w:szCs w:val="22"/>
      <w:u w:val="none"/>
    </w:rPr>
  </w:style>
  <w:style w:type="character" w:customStyle="1" w:styleId="78">
    <w:name w:val="font61"/>
    <w:qFormat/>
    <w:uiPriority w:val="0"/>
    <w:rPr>
      <w:rFonts w:hint="default" w:ascii="Times New Roman" w:hAnsi="Times New Roman" w:cs="Times New Roman"/>
      <w:b/>
      <w:color w:val="000000"/>
      <w:sz w:val="22"/>
      <w:szCs w:val="22"/>
      <w:u w:val="none"/>
    </w:rPr>
  </w:style>
  <w:style w:type="character" w:customStyle="1" w:styleId="79">
    <w:name w:val="font31"/>
    <w:qFormat/>
    <w:uiPriority w:val="0"/>
    <w:rPr>
      <w:rFonts w:hint="eastAsia" w:ascii="宋体" w:hAnsi="宋体" w:eastAsia="宋体" w:cs="宋体"/>
      <w:color w:val="FF0000"/>
      <w:sz w:val="22"/>
      <w:szCs w:val="22"/>
      <w:u w:val="none"/>
    </w:rPr>
  </w:style>
  <w:style w:type="character" w:customStyle="1" w:styleId="80">
    <w:name w:val="font01"/>
    <w:basedOn w:val="40"/>
    <w:qFormat/>
    <w:uiPriority w:val="0"/>
    <w:rPr>
      <w:rFonts w:hint="eastAsia" w:ascii="宋体" w:hAnsi="宋体" w:eastAsia="宋体" w:cs="宋体"/>
      <w:color w:val="000000"/>
      <w:sz w:val="18"/>
      <w:szCs w:val="18"/>
      <w:u w:val="none"/>
    </w:rPr>
  </w:style>
  <w:style w:type="character" w:customStyle="1" w:styleId="81">
    <w:name w:val="font11"/>
    <w:qFormat/>
    <w:uiPriority w:val="0"/>
    <w:rPr>
      <w:rFonts w:hint="eastAsia" w:ascii="宋体" w:hAnsi="宋体" w:eastAsia="宋体" w:cs="宋体"/>
      <w:color w:val="000000"/>
      <w:sz w:val="18"/>
      <w:szCs w:val="18"/>
      <w:u w:val="none"/>
    </w:rPr>
  </w:style>
  <w:style w:type="character" w:customStyle="1" w:styleId="82">
    <w:name w:val="font51"/>
    <w:qFormat/>
    <w:uiPriority w:val="0"/>
    <w:rPr>
      <w:rFonts w:hint="default" w:ascii="Times New Roman" w:hAnsi="Times New Roman" w:cs="Times New Roman"/>
      <w:b/>
      <w:color w:val="000000"/>
      <w:sz w:val="21"/>
      <w:szCs w:val="21"/>
      <w:u w:val="none"/>
    </w:rPr>
  </w:style>
  <w:style w:type="character" w:customStyle="1" w:styleId="83">
    <w:name w:val="font21"/>
    <w:basedOn w:val="40"/>
    <w:qFormat/>
    <w:uiPriority w:val="0"/>
    <w:rPr>
      <w:rFonts w:hint="eastAsia" w:ascii="宋体" w:hAnsi="宋体" w:eastAsia="宋体" w:cs="宋体"/>
      <w:b/>
      <w:color w:val="000000"/>
      <w:sz w:val="21"/>
      <w:szCs w:val="21"/>
      <w:u w:val="none"/>
    </w:rPr>
  </w:style>
  <w:style w:type="paragraph" w:customStyle="1" w:styleId="84">
    <w:name w:val="正文3"/>
    <w:qFormat/>
    <w:uiPriority w:val="0"/>
    <w:pPr>
      <w:jc w:val="both"/>
    </w:pPr>
    <w:rPr>
      <w:rFonts w:ascii="Times New Roman" w:hAnsi="Times New Roman" w:eastAsia="宋体" w:cs="Times New Roman"/>
      <w:kern w:val="2"/>
      <w:sz w:val="21"/>
      <w:szCs w:val="21"/>
      <w:lang w:val="en-US" w:eastAsia="zh-CN" w:bidi="ar-SA"/>
    </w:rPr>
  </w:style>
  <w:style w:type="paragraph" w:customStyle="1" w:styleId="85">
    <w:name w:val="标准正文"/>
    <w:basedOn w:val="1"/>
    <w:qFormat/>
    <w:uiPriority w:val="0"/>
    <w:pPr>
      <w:spacing w:afterLines="50"/>
      <w:ind w:firstLine="200" w:firstLineChars="200"/>
    </w:pPr>
    <w:rPr>
      <w:sz w:val="24"/>
      <w:szCs w:val="21"/>
    </w:rPr>
  </w:style>
  <w:style w:type="character" w:customStyle="1" w:styleId="86">
    <w:name w:val="正文文本缩进 3 Char"/>
    <w:basedOn w:val="40"/>
    <w:link w:val="29"/>
    <w:qFormat/>
    <w:uiPriority w:val="0"/>
    <w:rPr>
      <w:sz w:val="16"/>
      <w:szCs w:val="16"/>
    </w:rPr>
  </w:style>
  <w:style w:type="paragraph" w:customStyle="1" w:styleId="8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8">
    <w:name w:val="NormalCharacter"/>
    <w:qFormat/>
    <w:uiPriority w:val="0"/>
  </w:style>
  <w:style w:type="table" w:customStyle="1" w:styleId="89">
    <w:name w:val="TableNormal"/>
    <w:qFormat/>
    <w:uiPriority w:val="0"/>
    <w:rPr>
      <w:rFonts w:cstheme="minorBidi"/>
    </w:rPr>
    <w:tblPr>
      <w:tblCellMar>
        <w:top w:w="0" w:type="dxa"/>
        <w:left w:w="0" w:type="dxa"/>
        <w:bottom w:w="0" w:type="dxa"/>
        <w:right w:w="0" w:type="dxa"/>
      </w:tblCellMar>
    </w:tblPr>
  </w:style>
  <w:style w:type="paragraph" w:customStyle="1" w:styleId="90">
    <w:name w:val="AnnotationText"/>
    <w:basedOn w:val="1"/>
    <w:link w:val="91"/>
    <w:qFormat/>
    <w:uiPriority w:val="0"/>
    <w:pPr>
      <w:widowControl/>
      <w:jc w:val="left"/>
      <w:textAlignment w:val="baseline"/>
    </w:pPr>
    <w:rPr>
      <w:rFonts w:ascii="仿宋_GB2312" w:eastAsia="仿宋_GB2312" w:cstheme="minorBidi"/>
      <w:kern w:val="2"/>
      <w:sz w:val="28"/>
      <w:szCs w:val="32"/>
    </w:rPr>
  </w:style>
  <w:style w:type="character" w:customStyle="1" w:styleId="91">
    <w:name w:val="UserStyle_0"/>
    <w:link w:val="90"/>
    <w:qFormat/>
    <w:uiPriority w:val="0"/>
    <w:rPr>
      <w:rFonts w:ascii="仿宋_GB2312" w:eastAsia="仿宋_GB2312" w:cstheme="minorBidi"/>
      <w:kern w:val="2"/>
      <w:sz w:val="28"/>
      <w:szCs w:val="32"/>
    </w:rPr>
  </w:style>
  <w:style w:type="paragraph" w:customStyle="1" w:styleId="92">
    <w:name w:val="PlainText"/>
    <w:basedOn w:val="1"/>
    <w:link w:val="93"/>
    <w:qFormat/>
    <w:uiPriority w:val="0"/>
    <w:pPr>
      <w:widowControl/>
      <w:textAlignment w:val="baseline"/>
    </w:pPr>
    <w:rPr>
      <w:rFonts w:ascii="宋体" w:hAnsi="Courier New" w:cstheme="minorBidi"/>
      <w:kern w:val="2"/>
      <w:szCs w:val="21"/>
    </w:rPr>
  </w:style>
  <w:style w:type="character" w:customStyle="1" w:styleId="93">
    <w:name w:val="UserStyle_1"/>
    <w:link w:val="92"/>
    <w:qFormat/>
    <w:uiPriority w:val="0"/>
    <w:rPr>
      <w:rFonts w:ascii="宋体" w:hAnsi="Courier New" w:cstheme="minorBidi"/>
      <w:kern w:val="2"/>
      <w:sz w:val="21"/>
      <w:szCs w:val="21"/>
    </w:rPr>
  </w:style>
  <w:style w:type="character" w:customStyle="1" w:styleId="94">
    <w:name w:val="日期 Char"/>
    <w:link w:val="21"/>
    <w:qFormat/>
    <w:uiPriority w:val="0"/>
    <w:rPr>
      <w:rFonts w:eastAsia="仿宋_GB2312"/>
      <w:sz w:val="28"/>
    </w:rPr>
  </w:style>
  <w:style w:type="paragraph" w:customStyle="1" w:styleId="95">
    <w:name w:val="Acetate"/>
    <w:basedOn w:val="1"/>
    <w:link w:val="96"/>
    <w:qFormat/>
    <w:uiPriority w:val="0"/>
    <w:pPr>
      <w:widowControl/>
      <w:textAlignment w:val="baseline"/>
    </w:pPr>
    <w:rPr>
      <w:rFonts w:ascii="仿宋_GB2312" w:eastAsia="仿宋_GB2312" w:cstheme="minorBidi"/>
      <w:kern w:val="2"/>
      <w:sz w:val="18"/>
      <w:szCs w:val="18"/>
    </w:rPr>
  </w:style>
  <w:style w:type="character" w:customStyle="1" w:styleId="96">
    <w:name w:val="UserStyle_3"/>
    <w:link w:val="95"/>
    <w:qFormat/>
    <w:uiPriority w:val="0"/>
    <w:rPr>
      <w:rFonts w:ascii="仿宋_GB2312" w:eastAsia="仿宋_GB2312" w:cstheme="minorBidi"/>
      <w:kern w:val="2"/>
      <w:sz w:val="18"/>
      <w:szCs w:val="18"/>
    </w:rPr>
  </w:style>
  <w:style w:type="character" w:customStyle="1" w:styleId="97">
    <w:name w:val="页脚 Char"/>
    <w:link w:val="24"/>
    <w:qFormat/>
    <w:locked/>
    <w:uiPriority w:val="0"/>
    <w:rPr>
      <w:sz w:val="18"/>
      <w:szCs w:val="18"/>
    </w:rPr>
  </w:style>
  <w:style w:type="paragraph" w:customStyle="1" w:styleId="98">
    <w:name w:val="HtmlNormal"/>
    <w:basedOn w:val="1"/>
    <w:qFormat/>
    <w:uiPriority w:val="0"/>
    <w:pPr>
      <w:widowControl/>
      <w:spacing w:before="167" w:after="167"/>
      <w:ind w:left="167" w:right="167"/>
      <w:jc w:val="left"/>
      <w:textAlignment w:val="baseline"/>
    </w:pPr>
    <w:rPr>
      <w:rFonts w:ascii="宋体" w:hAnsi="宋体" w:cstheme="minorBidi"/>
      <w:sz w:val="24"/>
      <w:szCs w:val="24"/>
    </w:rPr>
  </w:style>
  <w:style w:type="paragraph" w:customStyle="1" w:styleId="99">
    <w:name w:val="AnnotationSubject"/>
    <w:basedOn w:val="90"/>
    <w:next w:val="90"/>
    <w:link w:val="100"/>
    <w:qFormat/>
    <w:uiPriority w:val="0"/>
    <w:rPr>
      <w:rFonts w:cs="Times New Roman"/>
      <w:b/>
      <w:bCs/>
    </w:rPr>
  </w:style>
  <w:style w:type="character" w:customStyle="1" w:styleId="100">
    <w:name w:val="UserStyle_6"/>
    <w:link w:val="99"/>
    <w:qFormat/>
    <w:uiPriority w:val="0"/>
    <w:rPr>
      <w:rFonts w:ascii="仿宋_GB2312" w:eastAsia="仿宋_GB2312"/>
      <w:b/>
      <w:bCs/>
      <w:kern w:val="2"/>
      <w:sz w:val="28"/>
      <w:szCs w:val="32"/>
    </w:rPr>
  </w:style>
  <w:style w:type="character" w:customStyle="1" w:styleId="101">
    <w:name w:val="PageNumber"/>
    <w:qFormat/>
    <w:uiPriority w:val="0"/>
  </w:style>
  <w:style w:type="character" w:customStyle="1" w:styleId="102">
    <w:name w:val="AnnotationReference"/>
    <w:qFormat/>
    <w:uiPriority w:val="0"/>
    <w:rPr>
      <w:sz w:val="21"/>
      <w:szCs w:val="21"/>
    </w:rPr>
  </w:style>
  <w:style w:type="character" w:customStyle="1" w:styleId="103">
    <w:name w:val="UserStyle_7"/>
    <w:qFormat/>
    <w:uiPriority w:val="0"/>
  </w:style>
  <w:style w:type="paragraph" w:customStyle="1" w:styleId="104">
    <w:name w:val="UserStyle_8"/>
    <w:basedOn w:val="1"/>
    <w:qFormat/>
    <w:uiPriority w:val="0"/>
    <w:pPr>
      <w:widowControl/>
      <w:ind w:firstLine="420" w:firstLineChars="200"/>
      <w:textAlignment w:val="baseline"/>
    </w:pPr>
    <w:rPr>
      <w:rFonts w:ascii="Calibri" w:hAnsi="Calibri" w:cstheme="minorBidi"/>
      <w:kern w:val="2"/>
      <w:szCs w:val="21"/>
    </w:rPr>
  </w:style>
  <w:style w:type="paragraph" w:customStyle="1" w:styleId="105">
    <w:name w:val="UserStyle_9"/>
    <w:basedOn w:val="1"/>
    <w:qFormat/>
    <w:uiPriority w:val="0"/>
    <w:pPr>
      <w:widowControl/>
      <w:textAlignment w:val="baseline"/>
    </w:pPr>
    <w:rPr>
      <w:rFonts w:ascii="Tahoma" w:hAnsi="Tahoma" w:cstheme="minorBidi"/>
      <w:kern w:val="2"/>
      <w:sz w:val="24"/>
      <w:szCs w:val="20"/>
    </w:rPr>
  </w:style>
  <w:style w:type="paragraph" w:customStyle="1" w:styleId="106">
    <w:name w:val="179"/>
    <w:basedOn w:val="1"/>
    <w:qFormat/>
    <w:uiPriority w:val="0"/>
    <w:pPr>
      <w:widowControl/>
      <w:ind w:firstLine="420" w:firstLineChars="200"/>
      <w:textAlignment w:val="baseline"/>
    </w:pPr>
    <w:rPr>
      <w:rFonts w:ascii="Calibri" w:hAnsi="Calibri" w:cstheme="minorBidi"/>
      <w:kern w:val="2"/>
    </w:rPr>
  </w:style>
  <w:style w:type="character" w:customStyle="1" w:styleId="107">
    <w:name w:val="批注文字 Char"/>
    <w:basedOn w:val="40"/>
    <w:qFormat/>
    <w:uiPriority w:val="0"/>
    <w:rPr>
      <w:kern w:val="2"/>
      <w:sz w:val="21"/>
    </w:rPr>
  </w:style>
  <w:style w:type="character" w:customStyle="1" w:styleId="108">
    <w:name w:val="font91"/>
    <w:qFormat/>
    <w:uiPriority w:val="0"/>
    <w:rPr>
      <w:rFonts w:hint="eastAsia" w:ascii="宋体" w:hAnsi="宋体" w:eastAsia="宋体" w:cs="宋体"/>
      <w:b/>
      <w:color w:val="000000"/>
      <w:sz w:val="21"/>
      <w:szCs w:val="21"/>
      <w:u w:val="none"/>
    </w:rPr>
  </w:style>
  <w:style w:type="character" w:customStyle="1" w:styleId="109">
    <w:name w:val="font71"/>
    <w:basedOn w:val="40"/>
    <w:qFormat/>
    <w:uiPriority w:val="0"/>
    <w:rPr>
      <w:rFonts w:hint="eastAsia" w:ascii="宋体" w:hAnsi="宋体" w:eastAsia="宋体" w:cs="宋体"/>
      <w:color w:val="000000"/>
      <w:sz w:val="24"/>
      <w:szCs w:val="24"/>
      <w:u w:val="none"/>
      <w:vertAlign w:val="superscript"/>
    </w:rPr>
  </w:style>
  <w:style w:type="character" w:customStyle="1" w:styleId="110">
    <w:name w:val="批注框文本 Char"/>
    <w:basedOn w:val="40"/>
    <w:link w:val="23"/>
    <w:qFormat/>
    <w:uiPriority w:val="0"/>
    <w:rPr>
      <w:kern w:val="2"/>
      <w:sz w:val="18"/>
      <w:szCs w:val="18"/>
    </w:rPr>
  </w:style>
  <w:style w:type="character" w:customStyle="1" w:styleId="111">
    <w:name w:val="font112"/>
    <w:qFormat/>
    <w:uiPriority w:val="0"/>
    <w:rPr>
      <w:rFonts w:hint="eastAsia" w:ascii="仿宋" w:hAnsi="仿宋" w:eastAsia="仿宋" w:cs="仿宋"/>
      <w:b/>
      <w:color w:val="000000"/>
      <w:sz w:val="21"/>
      <w:szCs w:val="21"/>
      <w:u w:val="none"/>
    </w:rPr>
  </w:style>
  <w:style w:type="character" w:customStyle="1" w:styleId="112">
    <w:name w:val="标题 2 Char"/>
    <w:basedOn w:val="40"/>
    <w:link w:val="5"/>
    <w:qFormat/>
    <w:uiPriority w:val="0"/>
    <w:rPr>
      <w:rFonts w:ascii="Arial" w:hAnsi="Arial"/>
      <w:b/>
      <w:bCs/>
      <w:sz w:val="24"/>
      <w:szCs w:val="32"/>
    </w:rPr>
  </w:style>
  <w:style w:type="character" w:customStyle="1" w:styleId="113">
    <w:name w:val="正文文本缩进 Char"/>
    <w:basedOn w:val="40"/>
    <w:link w:val="15"/>
    <w:qFormat/>
    <w:uiPriority w:val="0"/>
    <w:rPr>
      <w:sz w:val="21"/>
      <w:szCs w:val="22"/>
    </w:rPr>
  </w:style>
  <w:style w:type="character" w:customStyle="1" w:styleId="114">
    <w:name w:val="正文首行缩进 2 Char"/>
    <w:basedOn w:val="113"/>
    <w:link w:val="37"/>
    <w:qFormat/>
    <w:uiPriority w:val="0"/>
    <w:rPr>
      <w:rFonts w:ascii="Calibri" w:hAnsi="Calibri" w:eastAsia="楷体"/>
      <w:kern w:val="2"/>
      <w:szCs w:val="24"/>
    </w:rPr>
  </w:style>
  <w:style w:type="character" w:customStyle="1" w:styleId="115">
    <w:name w:val="正文文本缩进 2 Char"/>
    <w:basedOn w:val="40"/>
    <w:link w:val="22"/>
    <w:qFormat/>
    <w:uiPriority w:val="99"/>
    <w:rPr>
      <w:rFonts w:ascii="仿宋_GB2312" w:hAnsi="Calibri" w:eastAsia="仿宋_GB2312"/>
      <w:bCs/>
      <w:kern w:val="2"/>
      <w:sz w:val="28"/>
      <w:szCs w:val="44"/>
    </w:rPr>
  </w:style>
  <w:style w:type="character" w:customStyle="1" w:styleId="116">
    <w:name w:val="批注文字 Char1"/>
    <w:basedOn w:val="40"/>
    <w:link w:val="13"/>
    <w:qFormat/>
    <w:uiPriority w:val="0"/>
    <w:rPr>
      <w:sz w:val="21"/>
      <w:szCs w:val="22"/>
    </w:rPr>
  </w:style>
  <w:style w:type="character" w:customStyle="1" w:styleId="117">
    <w:name w:val="批注主题 Char"/>
    <w:basedOn w:val="116"/>
    <w:link w:val="35"/>
    <w:qFormat/>
    <w:uiPriority w:val="0"/>
  </w:style>
  <w:style w:type="character" w:customStyle="1" w:styleId="118">
    <w:name w:val="正文文本 3 Char"/>
    <w:basedOn w:val="40"/>
    <w:link w:val="14"/>
    <w:qFormat/>
    <w:uiPriority w:val="0"/>
    <w:rPr>
      <w:rFonts w:ascii="Calibri" w:hAnsi="Calibri" w:eastAsia="仿宋_GB2312"/>
      <w:b/>
      <w:bCs/>
      <w:kern w:val="2"/>
      <w:sz w:val="24"/>
    </w:rPr>
  </w:style>
  <w:style w:type="character" w:customStyle="1" w:styleId="119">
    <w:name w:val="HTML 预设格式 Char"/>
    <w:basedOn w:val="40"/>
    <w:link w:val="32"/>
    <w:qFormat/>
    <w:uiPriority w:val="0"/>
    <w:rPr>
      <w:rFonts w:ascii="宋体" w:hAnsi="宋体"/>
      <w:vanish/>
      <w:sz w:val="24"/>
      <w:szCs w:val="24"/>
    </w:rPr>
  </w:style>
  <w:style w:type="character" w:customStyle="1" w:styleId="120">
    <w:name w:val="批注框文本 Char1"/>
    <w:basedOn w:val="40"/>
    <w:link w:val="23"/>
    <w:qFormat/>
    <w:uiPriority w:val="0"/>
    <w:rPr>
      <w:sz w:val="18"/>
      <w:szCs w:val="18"/>
    </w:rPr>
  </w:style>
  <w:style w:type="paragraph" w:customStyle="1" w:styleId="121">
    <w:name w:val="表正文"/>
    <w:basedOn w:val="1"/>
    <w:next w:val="19"/>
    <w:qFormat/>
    <w:uiPriority w:val="0"/>
    <w:rPr>
      <w:rFonts w:ascii="宋体" w:hAnsi="Courier New"/>
      <w:kern w:val="2"/>
      <w:szCs w:val="20"/>
    </w:rPr>
  </w:style>
  <w:style w:type="paragraph" w:customStyle="1" w:styleId="122">
    <w:name w:val="列出段落1"/>
    <w:next w:val="123"/>
    <w:qFormat/>
    <w:uiPriority w:val="0"/>
    <w:pPr>
      <w:widowControl w:val="0"/>
      <w:adjustRightInd w:val="0"/>
      <w:spacing w:line="360" w:lineRule="auto"/>
      <w:ind w:firstLine="200" w:firstLineChars="200"/>
      <w:jc w:val="both"/>
    </w:pPr>
    <w:rPr>
      <w:rFonts w:ascii="Calibri" w:hAnsi="Calibri" w:eastAsia="楷体_GB2312" w:cs="Lucida Sans"/>
      <w:kern w:val="2"/>
      <w:sz w:val="24"/>
      <w:szCs w:val="24"/>
      <w:lang w:val="en-US" w:eastAsia="zh-CN" w:bidi="ar-SA"/>
    </w:rPr>
  </w:style>
  <w:style w:type="paragraph" w:customStyle="1" w:styleId="123">
    <w:name w:val="正文文字 7"/>
    <w:basedOn w:val="1"/>
    <w:next w:val="1"/>
    <w:qFormat/>
    <w:uiPriority w:val="0"/>
    <w:pPr>
      <w:ind w:left="240"/>
    </w:pPr>
    <w:rPr>
      <w:rFonts w:ascii="Calibri" w:hAnsi="Calibri"/>
      <w:kern w:val="2"/>
      <w:sz w:val="20"/>
      <w:szCs w:val="20"/>
    </w:rPr>
  </w:style>
  <w:style w:type="paragraph" w:customStyle="1" w:styleId="124">
    <w:name w:val="正文文字 8"/>
    <w:next w:val="1"/>
    <w:qFormat/>
    <w:uiPriority w:val="0"/>
    <w:pPr>
      <w:widowControl w:val="0"/>
      <w:numPr>
        <w:ilvl w:val="1"/>
        <w:numId w:val="3"/>
      </w:numPr>
      <w:ind w:left="805"/>
      <w:jc w:val="both"/>
    </w:pPr>
    <w:rPr>
      <w:rFonts w:ascii="Calibri" w:hAnsi="Calibri" w:eastAsia="宋体" w:cs="Times New Roman"/>
      <w:kern w:val="2"/>
      <w:sz w:val="16"/>
      <w:lang w:val="en-US" w:eastAsia="zh-CN" w:bidi="ar-SA"/>
    </w:rPr>
  </w:style>
  <w:style w:type="paragraph" w:customStyle="1" w:styleId="125">
    <w:name w:val="样式 列表编号 + 段后: 0.5 行"/>
    <w:basedOn w:val="10"/>
    <w:qFormat/>
    <w:uiPriority w:val="0"/>
    <w:pPr>
      <w:tabs>
        <w:tab w:val="left" w:pos="360"/>
        <w:tab w:val="left" w:pos="390"/>
      </w:tabs>
      <w:ind w:left="360" w:hanging="360"/>
    </w:pPr>
    <w:rPr>
      <w:rFonts w:cs="宋体"/>
    </w:rPr>
  </w:style>
  <w:style w:type="paragraph" w:customStyle="1" w:styleId="126">
    <w:name w:val="Heading1"/>
    <w:basedOn w:val="1"/>
    <w:next w:val="1"/>
    <w:qFormat/>
    <w:uiPriority w:val="0"/>
    <w:pPr>
      <w:keepNext/>
      <w:keepLines/>
      <w:spacing w:before="340" w:after="330" w:line="576" w:lineRule="auto"/>
      <w:textAlignment w:val="baseline"/>
    </w:pPr>
    <w:rPr>
      <w:rFonts w:ascii="Calibri" w:hAnsi="Calibri"/>
      <w:b/>
      <w:bCs/>
      <w:kern w:val="44"/>
      <w:sz w:val="44"/>
      <w:szCs w:val="44"/>
    </w:rPr>
  </w:style>
  <w:style w:type="paragraph" w:customStyle="1" w:styleId="127">
    <w:name w:val="标题1"/>
    <w:basedOn w:val="19"/>
    <w:qFormat/>
    <w:uiPriority w:val="0"/>
    <w:pPr>
      <w:spacing w:beforeLines="100" w:afterLines="100" w:line="360" w:lineRule="exact"/>
      <w:jc w:val="center"/>
    </w:pPr>
    <w:rPr>
      <w:rFonts w:hAnsi="Calibri" w:eastAsia="楷体_GB2312" w:cs="Times New Roman"/>
      <w:b/>
      <w:kern w:val="2"/>
      <w:sz w:val="44"/>
      <w:szCs w:val="20"/>
    </w:rPr>
  </w:style>
  <w:style w:type="paragraph" w:customStyle="1" w:styleId="128">
    <w:name w:val="正文段"/>
    <w:qFormat/>
    <w:uiPriority w:val="0"/>
    <w:pPr>
      <w:snapToGrid w:val="0"/>
      <w:spacing w:afterLines="50"/>
      <w:ind w:firstLine="200" w:firstLineChars="200"/>
      <w:jc w:val="both"/>
    </w:pPr>
    <w:rPr>
      <w:rFonts w:ascii="Calibri" w:hAnsi="Calibri" w:eastAsia="宋体" w:cs="Times New Roman"/>
      <w:sz w:val="24"/>
      <w:lang w:val="en-US" w:eastAsia="zh-CN" w:bidi="ar-SA"/>
    </w:rPr>
  </w:style>
  <w:style w:type="paragraph" w:customStyle="1" w:styleId="129">
    <w:name w:val="正文_13"/>
    <w:qFormat/>
    <w:uiPriority w:val="0"/>
    <w:pPr>
      <w:widowControl w:val="0"/>
      <w:jc w:val="both"/>
    </w:pPr>
    <w:rPr>
      <w:rFonts w:ascii="Calibri" w:hAnsi="Calibri" w:eastAsia="宋体" w:cs="Times New Roman"/>
      <w:kern w:val="2"/>
      <w:sz w:val="21"/>
      <w:szCs w:val="24"/>
      <w:lang w:val="en-US" w:eastAsia="zh-CN" w:bidi="ar-SA"/>
    </w:rPr>
  </w:style>
  <w:style w:type="paragraph" w:customStyle="1" w:styleId="130">
    <w:name w:val="Proposals body"/>
    <w:next w:val="1"/>
    <w:qFormat/>
    <w:uiPriority w:val="0"/>
    <w:pPr>
      <w:spacing w:line="360" w:lineRule="auto"/>
    </w:pPr>
    <w:rPr>
      <w:rFonts w:ascii="宋体" w:hAnsi="Calibri" w:eastAsia="宋体" w:cs="Times New Roman"/>
      <w:snapToGrid w:val="0"/>
      <w:color w:val="000000"/>
      <w:sz w:val="24"/>
      <w:lang w:val="en-US" w:eastAsia="zh-CN" w:bidi="ar-SA"/>
    </w:rPr>
  </w:style>
  <w:style w:type="paragraph" w:customStyle="1" w:styleId="131">
    <w:name w:val="样式5"/>
    <w:next w:val="124"/>
    <w:qFormat/>
    <w:uiPriority w:val="0"/>
    <w:pPr>
      <w:widowControl w:val="0"/>
      <w:adjustRightInd w:val="0"/>
      <w:spacing w:line="440" w:lineRule="exact"/>
      <w:ind w:left="2" w:firstLine="200" w:firstLineChars="200"/>
      <w:jc w:val="both"/>
    </w:pPr>
    <w:rPr>
      <w:rFonts w:ascii="仿宋_GB2312" w:hAnsi="Calibri" w:eastAsia="仿宋_GB2312" w:cs="Times New Roman"/>
      <w:kern w:val="2"/>
      <w:sz w:val="24"/>
      <w:szCs w:val="24"/>
      <w:lang w:val="en-US" w:eastAsia="zh-CN" w:bidi="ar-SA"/>
    </w:rPr>
  </w:style>
  <w:style w:type="paragraph" w:customStyle="1" w:styleId="132">
    <w:name w:val="列出段落2"/>
    <w:basedOn w:val="1"/>
    <w:qFormat/>
    <w:uiPriority w:val="34"/>
    <w:pPr>
      <w:widowControl/>
      <w:ind w:left="720" w:firstLine="360"/>
      <w:contextualSpacing/>
      <w:jc w:val="left"/>
    </w:pPr>
    <w:rPr>
      <w:rFonts w:ascii="Calibri" w:hAnsi="Calibri"/>
      <w:sz w:val="22"/>
      <w:lang w:eastAsia="en-US" w:bidi="en-US"/>
    </w:rPr>
  </w:style>
  <w:style w:type="character" w:customStyle="1" w:styleId="133">
    <w:name w:val="text-tag"/>
    <w:basedOn w:val="40"/>
    <w:qFormat/>
    <w:uiPriority w:val="0"/>
  </w:style>
  <w:style w:type="character" w:customStyle="1" w:styleId="134">
    <w:name w:val="正文文本 Char"/>
    <w:basedOn w:val="40"/>
    <w:link w:val="2"/>
    <w:qFormat/>
    <w:uiPriority w:val="0"/>
    <w:rPr>
      <w:sz w:val="24"/>
      <w:szCs w:val="24"/>
    </w:rPr>
  </w:style>
  <w:style w:type="character" w:customStyle="1" w:styleId="135">
    <w:name w:val="纯文本 Char"/>
    <w:link w:val="19"/>
    <w:qFormat/>
    <w:uiPriority w:val="0"/>
    <w:rPr>
      <w:rFonts w:ascii="宋体" w:hAnsi="Courier New" w:cs="Courier New"/>
      <w:sz w:val="21"/>
      <w:szCs w:val="21"/>
    </w:rPr>
  </w:style>
  <w:style w:type="paragraph" w:customStyle="1" w:styleId="136">
    <w:name w:val="AbsatzTableFormat"/>
    <w:basedOn w:val="1"/>
    <w:qFormat/>
    <w:uiPriority w:val="0"/>
    <w:rPr>
      <w:rFonts w:hAnsi="宋体" w:cs="宋体"/>
      <w:bCs/>
      <w:lang w:val="de-DE"/>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4098"/>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5A8B16-FEDE-4C96-86F8-F559633F628B}">
  <ds:schemaRefs/>
</ds:datastoreItem>
</file>

<file path=docProps/app.xml><?xml version="1.0" encoding="utf-8"?>
<Properties xmlns="http://schemas.openxmlformats.org/officeDocument/2006/extended-properties" xmlns:vt="http://schemas.openxmlformats.org/officeDocument/2006/docPropsVTypes">
  <Template>Normal</Template>
  <Pages>74</Pages>
  <Words>39652</Words>
  <Characters>9285</Characters>
  <Lines>77</Lines>
  <Paragraphs>97</Paragraphs>
  <TotalTime>16</TotalTime>
  <ScaleCrop>false</ScaleCrop>
  <LinksUpToDate>false</LinksUpToDate>
  <CharactersWithSpaces>48840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丫丫</cp:lastModifiedBy>
  <cp:lastPrinted>2021-11-11T07:04:00Z</cp:lastPrinted>
  <dcterms:modified xsi:type="dcterms:W3CDTF">2021-11-15T01:57:59Z</dcterms:modified>
  <cp:revision>261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17478226941F4D7197F7C6A421513440</vt:lpwstr>
  </property>
</Properties>
</file>