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heme="minorEastAsia" w:hAnsiTheme="minorEastAsia" w:eastAsiaTheme="minorEastAsia" w:cstheme="minorEastAsia"/>
          <w:color w:val="auto"/>
          <w:highlight w:val="none"/>
        </w:rPr>
      </w:pPr>
    </w:p>
    <w:p>
      <w:pPr>
        <w:spacing w:line="360" w:lineRule="auto"/>
        <w:jc w:val="center"/>
        <w:rPr>
          <w:rFonts w:asciiTheme="minorEastAsia" w:hAnsiTheme="minorEastAsia" w:eastAsiaTheme="minorEastAsia" w:cstheme="minorEastAsia"/>
          <w:color w:val="auto"/>
          <w:sz w:val="24"/>
          <w:szCs w:val="24"/>
          <w:highlight w:val="none"/>
        </w:rPr>
      </w:pPr>
    </w:p>
    <w:p>
      <w:pPr>
        <w:spacing w:line="360" w:lineRule="auto"/>
        <w:jc w:val="center"/>
        <w:rPr>
          <w:rFonts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t>绍兴市妇幼保健院（绍兴市儿童医院）建设项目医疗物流系统项目   招标文件</w:t>
      </w: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ind w:firstLine="3040"/>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color w:val="auto"/>
          <w:sz w:val="28"/>
          <w:szCs w:val="28"/>
          <w:highlight w:val="none"/>
        </w:rPr>
      </w:pPr>
      <w:bookmarkStart w:id="447" w:name="_GoBack"/>
      <w:bookmarkEnd w:id="447"/>
    </w:p>
    <w:p>
      <w:pPr>
        <w:spacing w:line="360" w:lineRule="auto"/>
        <w:jc w:val="center"/>
        <w:rPr>
          <w:rFonts w:asciiTheme="minorEastAsia" w:hAnsiTheme="minorEastAsia" w:eastAsiaTheme="minorEastAsia" w:cstheme="minorEastAsia"/>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  标  人：浙江精工钢结构集团有限公司</w:t>
      </w:r>
    </w:p>
    <w:p>
      <w:pPr>
        <w:spacing w:line="360" w:lineRule="auto"/>
        <w:jc w:val="center"/>
        <w:rPr>
          <w:rFonts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招标代理机构：浙江明业项目管理有限公司</w:t>
      </w:r>
    </w:p>
    <w:p>
      <w:pPr>
        <w:spacing w:line="360" w:lineRule="auto"/>
        <w:jc w:val="center"/>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2021年</w:t>
      </w:r>
      <w:r>
        <w:rPr>
          <w:rFonts w:hint="eastAsia" w:asciiTheme="minorEastAsia" w:hAnsiTheme="minorEastAsia" w:eastAsiaTheme="minorEastAsia" w:cstheme="minorEastAsia"/>
          <w:b/>
          <w:bCs/>
          <w:color w:val="auto"/>
          <w:sz w:val="28"/>
          <w:szCs w:val="28"/>
          <w:highlight w:val="none"/>
          <w:lang w:val="en-US" w:eastAsia="zh-CN"/>
        </w:rPr>
        <w:t>7</w:t>
      </w:r>
      <w:r>
        <w:rPr>
          <w:rFonts w:hint="eastAsia" w:asciiTheme="minorEastAsia" w:hAnsiTheme="minorEastAsia" w:eastAsiaTheme="minorEastAsia" w:cstheme="minorEastAsia"/>
          <w:b/>
          <w:bCs/>
          <w:color w:val="auto"/>
          <w:sz w:val="28"/>
          <w:szCs w:val="28"/>
          <w:highlight w:val="none"/>
        </w:rPr>
        <w:t>月</w:t>
      </w:r>
    </w:p>
    <w:p>
      <w:pPr>
        <w:ind w:left="2243" w:right="2279"/>
        <w:jc w:val="center"/>
        <w:rPr>
          <w:b/>
          <w:color w:val="auto"/>
          <w:sz w:val="44"/>
          <w:highlight w:val="none"/>
        </w:rPr>
      </w:pPr>
    </w:p>
    <w:p>
      <w:pPr>
        <w:ind w:right="2279"/>
        <w:rPr>
          <w:b/>
          <w:color w:val="auto"/>
          <w:sz w:val="44"/>
          <w:highlight w:val="none"/>
        </w:rPr>
      </w:pPr>
    </w:p>
    <w:p>
      <w:pPr>
        <w:pStyle w:val="25"/>
        <w:ind w:firstLine="442"/>
        <w:rPr>
          <w:b/>
          <w:color w:val="auto"/>
          <w:sz w:val="44"/>
          <w:highlight w:val="none"/>
        </w:rPr>
      </w:pPr>
    </w:p>
    <w:p>
      <w:pPr>
        <w:rPr>
          <w:color w:val="auto"/>
          <w:highlight w:val="none"/>
        </w:rPr>
      </w:pPr>
    </w:p>
    <w:p>
      <w:pPr>
        <w:spacing w:line="300" w:lineRule="auto"/>
        <w:jc w:val="center"/>
        <w:rPr>
          <w:b/>
          <w:color w:val="auto"/>
          <w:sz w:val="32"/>
          <w:szCs w:val="32"/>
          <w:highlight w:val="none"/>
        </w:rPr>
      </w:pPr>
      <w:r>
        <w:rPr>
          <w:rFonts w:hint="eastAsia"/>
          <w:b/>
          <w:color w:val="auto"/>
          <w:sz w:val="32"/>
          <w:szCs w:val="32"/>
          <w:highlight w:val="none"/>
        </w:rPr>
        <w:t>绍兴市妇幼保健院（绍兴市儿童医院）建设项目医疗物流系统项目  招标文件</w:t>
      </w:r>
    </w:p>
    <w:p>
      <w:pPr>
        <w:spacing w:line="300" w:lineRule="auto"/>
        <w:jc w:val="center"/>
        <w:rPr>
          <w:b/>
          <w:color w:val="auto"/>
          <w:sz w:val="32"/>
          <w:szCs w:val="32"/>
          <w:highlight w:val="none"/>
        </w:rPr>
      </w:pPr>
    </w:p>
    <w:p>
      <w:pPr>
        <w:spacing w:line="680" w:lineRule="exact"/>
        <w:ind w:firstLine="700" w:firstLineChars="250"/>
        <w:rPr>
          <w:color w:val="auto"/>
          <w:sz w:val="28"/>
          <w:szCs w:val="28"/>
          <w:highlight w:val="none"/>
        </w:rPr>
      </w:pPr>
      <w:r>
        <w:rPr>
          <w:rFonts w:hint="eastAsia"/>
          <w:color w:val="auto"/>
          <w:sz w:val="28"/>
          <w:szCs w:val="28"/>
          <w:highlight w:val="none"/>
        </w:rPr>
        <w:t>项目业主：</w:t>
      </w:r>
      <w:r>
        <w:rPr>
          <w:rFonts w:hint="eastAsia"/>
          <w:bCs/>
          <w:color w:val="auto"/>
          <w:sz w:val="28"/>
          <w:szCs w:val="28"/>
          <w:highlight w:val="none"/>
          <w:u w:val="single"/>
        </w:rPr>
        <w:t xml:space="preserve">绍兴市妇幼保健院     </w:t>
      </w:r>
      <w:r>
        <w:rPr>
          <w:rFonts w:hint="eastAsia"/>
          <w:color w:val="auto"/>
          <w:sz w:val="28"/>
          <w:szCs w:val="28"/>
          <w:highlight w:val="none"/>
        </w:rPr>
        <w:t>（盖章）</w:t>
      </w:r>
    </w:p>
    <w:p>
      <w:pPr>
        <w:spacing w:line="680" w:lineRule="exact"/>
        <w:ind w:firstLine="700" w:firstLineChars="250"/>
        <w:rPr>
          <w:color w:val="auto"/>
          <w:sz w:val="28"/>
          <w:szCs w:val="28"/>
          <w:highlight w:val="none"/>
        </w:rPr>
      </w:pPr>
      <w:r>
        <w:rPr>
          <w:rFonts w:hint="eastAsia"/>
          <w:color w:val="auto"/>
          <w:sz w:val="28"/>
          <w:szCs w:val="28"/>
          <w:highlight w:val="none"/>
        </w:rPr>
        <w:t>代建单位：</w:t>
      </w:r>
      <w:r>
        <w:rPr>
          <w:rFonts w:hint="eastAsia"/>
          <w:bCs/>
          <w:color w:val="auto"/>
          <w:sz w:val="28"/>
          <w:szCs w:val="28"/>
          <w:highlight w:val="none"/>
          <w:u w:val="single"/>
        </w:rPr>
        <w:t>绍兴市交通建设有限公司</w:t>
      </w:r>
      <w:r>
        <w:rPr>
          <w:rFonts w:hint="eastAsia"/>
          <w:color w:val="auto"/>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招标人名称：</w:t>
      </w:r>
      <w:r>
        <w:rPr>
          <w:rFonts w:hint="eastAsia"/>
          <w:color w:val="auto"/>
          <w:sz w:val="28"/>
          <w:highlight w:val="none"/>
          <w:u w:val="single"/>
        </w:rPr>
        <w:t>浙江精工钢结构集团有限公司</w:t>
      </w:r>
      <w:r>
        <w:rPr>
          <w:rFonts w:hint="eastAsia"/>
          <w:color w:val="auto"/>
          <w:sz w:val="28"/>
          <w:highlight w:val="none"/>
        </w:rPr>
        <w:t>（盖章）</w:t>
      </w:r>
    </w:p>
    <w:p>
      <w:pPr>
        <w:spacing w:line="600" w:lineRule="exact"/>
        <w:ind w:firstLine="700" w:firstLineChars="250"/>
        <w:rPr>
          <w:color w:val="auto"/>
          <w:sz w:val="28"/>
          <w:highlight w:val="none"/>
        </w:rPr>
      </w:pPr>
      <w:r>
        <w:rPr>
          <w:rFonts w:hint="eastAsia"/>
          <w:color w:val="auto"/>
          <w:sz w:val="28"/>
          <w:highlight w:val="none"/>
        </w:rPr>
        <w:t>招标人法人代表：</w:t>
      </w:r>
      <w:r>
        <w:rPr>
          <w:color w:val="auto"/>
          <w:sz w:val="28"/>
          <w:highlight w:val="none"/>
          <w:u w:val="single"/>
        </w:rPr>
        <w:t xml:space="preserve">      孙关富     </w:t>
      </w:r>
      <w:r>
        <w:rPr>
          <w:rFonts w:hint="eastAsia"/>
          <w:color w:val="auto"/>
          <w:sz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招标人地址：</w:t>
      </w:r>
      <w:r>
        <w:rPr>
          <w:rFonts w:hint="eastAsia"/>
          <w:color w:val="auto"/>
          <w:sz w:val="28"/>
          <w:highlight w:val="none"/>
          <w:u w:val="single"/>
        </w:rPr>
        <w:t>绍兴市柯桥区柯桥经济开发区鉴湖路</w:t>
      </w:r>
    </w:p>
    <w:p>
      <w:pPr>
        <w:spacing w:line="600" w:lineRule="exact"/>
        <w:ind w:firstLine="700" w:firstLineChars="250"/>
        <w:rPr>
          <w:color w:val="auto"/>
          <w:sz w:val="28"/>
          <w:highlight w:val="none"/>
        </w:rPr>
      </w:pPr>
      <w:r>
        <w:rPr>
          <w:rFonts w:hint="eastAsia"/>
          <w:color w:val="auto"/>
          <w:sz w:val="28"/>
          <w:highlight w:val="none"/>
        </w:rPr>
        <w:t>邮政编码：</w:t>
      </w:r>
      <w:r>
        <w:rPr>
          <w:color w:val="auto"/>
          <w:sz w:val="28"/>
          <w:highlight w:val="none"/>
          <w:u w:val="single"/>
        </w:rPr>
        <w:t xml:space="preserve">   312000   </w:t>
      </w:r>
    </w:p>
    <w:p>
      <w:pPr>
        <w:spacing w:line="600" w:lineRule="exact"/>
        <w:ind w:firstLine="700" w:firstLineChars="250"/>
        <w:rPr>
          <w:color w:val="auto"/>
          <w:sz w:val="28"/>
          <w:highlight w:val="none"/>
          <w:u w:val="single"/>
        </w:rPr>
      </w:pPr>
      <w:r>
        <w:rPr>
          <w:rFonts w:hint="eastAsia"/>
          <w:color w:val="auto"/>
          <w:sz w:val="28"/>
          <w:highlight w:val="none"/>
        </w:rPr>
        <w:t>联系人：</w:t>
      </w:r>
      <w:r>
        <w:rPr>
          <w:color w:val="auto"/>
          <w:sz w:val="28"/>
          <w:highlight w:val="none"/>
          <w:u w:val="single"/>
        </w:rPr>
        <w:t xml:space="preserve">   </w:t>
      </w:r>
      <w:r>
        <w:rPr>
          <w:rFonts w:hint="eastAsia"/>
          <w:color w:val="auto"/>
          <w:sz w:val="28"/>
          <w:highlight w:val="none"/>
          <w:u w:val="single"/>
        </w:rPr>
        <w:t>王晓文</w:t>
      </w:r>
      <w:r>
        <w:rPr>
          <w:color w:val="auto"/>
          <w:sz w:val="28"/>
          <w:highlight w:val="none"/>
          <w:u w:val="single"/>
        </w:rPr>
        <w:t xml:space="preserve">    </w:t>
      </w:r>
      <w:r>
        <w:rPr>
          <w:color w:val="auto"/>
          <w:sz w:val="28"/>
          <w:highlight w:val="non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  13971064493  </w:t>
      </w:r>
    </w:p>
    <w:p>
      <w:pPr>
        <w:spacing w:line="680" w:lineRule="exact"/>
        <w:ind w:firstLine="358" w:firstLineChars="128"/>
        <w:rPr>
          <w:color w:val="auto"/>
          <w:sz w:val="28"/>
          <w:highlight w:val="none"/>
        </w:rPr>
      </w:pPr>
    </w:p>
    <w:p>
      <w:pPr>
        <w:spacing w:line="600" w:lineRule="exact"/>
        <w:ind w:firstLine="700" w:firstLineChars="250"/>
        <w:rPr>
          <w:color w:val="auto"/>
          <w:spacing w:val="-10"/>
          <w:sz w:val="28"/>
          <w:szCs w:val="28"/>
          <w:highlight w:val="none"/>
        </w:rPr>
      </w:pPr>
      <w:r>
        <w:rPr>
          <w:rFonts w:hint="eastAsia"/>
          <w:color w:val="auto"/>
          <w:sz w:val="28"/>
          <w:highlight w:val="none"/>
        </w:rPr>
        <w:t>招</w:t>
      </w:r>
      <w:r>
        <w:rPr>
          <w:rFonts w:hint="eastAsia"/>
          <w:color w:val="auto"/>
          <w:spacing w:val="-10"/>
          <w:sz w:val="28"/>
          <w:szCs w:val="28"/>
          <w:highlight w:val="none"/>
        </w:rPr>
        <w:t>标代理机构名称：</w:t>
      </w:r>
      <w:r>
        <w:rPr>
          <w:rFonts w:hint="eastAsia"/>
          <w:color w:val="auto"/>
          <w:spacing w:val="-10"/>
          <w:sz w:val="28"/>
          <w:szCs w:val="28"/>
          <w:highlight w:val="none"/>
          <w:u w:val="single"/>
        </w:rPr>
        <w:t xml:space="preserve">浙江明业项目管理有限公司 </w:t>
      </w:r>
      <w:r>
        <w:rPr>
          <w:rFonts w:hint="eastAsia"/>
          <w:color w:val="auto"/>
          <w:spacing w:val="-10"/>
          <w:sz w:val="28"/>
          <w:szCs w:val="28"/>
          <w:highlight w:val="none"/>
        </w:rPr>
        <w:t>（盖章）</w:t>
      </w:r>
    </w:p>
    <w:p>
      <w:pPr>
        <w:spacing w:line="680" w:lineRule="exact"/>
        <w:ind w:firstLine="722" w:firstLineChars="278"/>
        <w:rPr>
          <w:color w:val="auto"/>
          <w:spacing w:val="-10"/>
          <w:sz w:val="28"/>
          <w:szCs w:val="28"/>
          <w:highlight w:val="none"/>
        </w:rPr>
      </w:pPr>
      <w:r>
        <w:rPr>
          <w:rFonts w:hint="eastAsia"/>
          <w:color w:val="auto"/>
          <w:spacing w:val="-10"/>
          <w:sz w:val="28"/>
          <w:szCs w:val="28"/>
          <w:highlight w:val="none"/>
        </w:rPr>
        <w:t>招标代理机构法人代表：</w:t>
      </w:r>
      <w:r>
        <w:rPr>
          <w:i/>
          <w:color w:val="auto"/>
          <w:spacing w:val="-10"/>
          <w:sz w:val="28"/>
          <w:szCs w:val="28"/>
          <w:highlight w:val="none"/>
          <w:u w:val="single"/>
        </w:rPr>
        <w:t xml:space="preserve">   </w:t>
      </w:r>
      <w:r>
        <w:rPr>
          <w:rFonts w:hint="eastAsia"/>
          <w:iCs/>
          <w:color w:val="auto"/>
          <w:spacing w:val="-10"/>
          <w:sz w:val="28"/>
          <w:szCs w:val="28"/>
          <w:highlight w:val="none"/>
          <w:u w:val="single"/>
        </w:rPr>
        <w:t>何关明</w:t>
      </w:r>
      <w:r>
        <w:rPr>
          <w:rFonts w:hint="eastAsia"/>
          <w:iCs/>
          <w:color w:val="auto"/>
          <w:spacing w:val="-10"/>
          <w:sz w:val="28"/>
          <w:szCs w:val="28"/>
          <w:highlight w:val="none"/>
          <w:u w:val="single"/>
        </w:rPr>
        <w:tab/>
      </w:r>
      <w:r>
        <w:rPr>
          <w:iCs/>
          <w:color w:val="auto"/>
          <w:spacing w:val="-10"/>
          <w:sz w:val="28"/>
          <w:szCs w:val="28"/>
          <w:highlight w:val="none"/>
          <w:u w:val="single"/>
        </w:rPr>
        <w:t xml:space="preserve">   </w:t>
      </w:r>
      <w:r>
        <w:rPr>
          <w:i/>
          <w:color w:val="auto"/>
          <w:spacing w:val="-10"/>
          <w:sz w:val="28"/>
          <w:szCs w:val="28"/>
          <w:highlight w:val="none"/>
          <w:u w:val="single"/>
        </w:rPr>
        <w:t xml:space="preserve">   </w:t>
      </w:r>
      <w:r>
        <w:rPr>
          <w:rFonts w:hint="eastAsia"/>
          <w:color w:val="auto"/>
          <w:spacing w:val="-10"/>
          <w:sz w:val="28"/>
          <w:szCs w:val="28"/>
          <w:highlight w:val="none"/>
        </w:rPr>
        <w:t>（盖章）</w:t>
      </w:r>
    </w:p>
    <w:p>
      <w:pPr>
        <w:spacing w:line="600" w:lineRule="exact"/>
        <w:ind w:firstLine="700" w:firstLineChars="250"/>
        <w:rPr>
          <w:color w:val="auto"/>
          <w:sz w:val="28"/>
          <w:highlight w:val="none"/>
          <w:u w:val="single"/>
        </w:rPr>
      </w:pPr>
      <w:r>
        <w:rPr>
          <w:rFonts w:hint="eastAsia"/>
          <w:color w:val="auto"/>
          <w:sz w:val="28"/>
          <w:highlight w:val="none"/>
        </w:rPr>
        <w:t>联系人：</w:t>
      </w:r>
      <w:r>
        <w:rPr>
          <w:i/>
          <w:color w:val="auto"/>
          <w:sz w:val="28"/>
          <w:highlight w:val="none"/>
          <w:u w:val="single"/>
        </w:rPr>
        <w:t xml:space="preserve"> </w:t>
      </w:r>
      <w:r>
        <w:rPr>
          <w:rFonts w:hint="eastAsia"/>
          <w:iCs/>
          <w:color w:val="auto"/>
          <w:sz w:val="28"/>
          <w:highlight w:val="none"/>
          <w:u w:val="single"/>
        </w:rPr>
        <w:t>张雅美</w:t>
      </w:r>
      <w:r>
        <w:rPr>
          <w:iCs/>
          <w:color w:val="auto"/>
          <w:sz w:val="28"/>
          <w:highlight w:val="none"/>
          <w:u w:val="single"/>
        </w:rPr>
        <w:t xml:space="preserve"> </w:t>
      </w:r>
      <w:r>
        <w:rPr>
          <w:color w:val="auto"/>
          <w:sz w:val="28"/>
          <w:highlight w:val="none"/>
          <w:u w:val="single"/>
        </w:rPr>
        <w:t xml:space="preserve"> </w:t>
      </w:r>
      <w:r>
        <w:rPr>
          <w:rFonts w:hint="eastAsia"/>
          <w:color w:val="auto"/>
          <w:sz w:val="28"/>
          <w:highlight w:val="none"/>
          <w:u w:val="single"/>
        </w:rPr>
        <w:t xml:space="preserve"> </w:t>
      </w:r>
      <w:r>
        <w:rPr>
          <w:rFonts w:hint="eastAsia"/>
          <w:color w:val="auto"/>
          <w:sz w:val="28"/>
          <w:highlight w:val="none"/>
        </w:rPr>
        <w:t>电</w:t>
      </w:r>
      <w:r>
        <w:rPr>
          <w:color w:val="auto"/>
          <w:sz w:val="28"/>
          <w:highlight w:val="none"/>
        </w:rPr>
        <w:t xml:space="preserve">    </w:t>
      </w:r>
      <w:r>
        <w:rPr>
          <w:rFonts w:hint="eastAsia"/>
          <w:color w:val="auto"/>
          <w:sz w:val="28"/>
          <w:highlight w:val="none"/>
        </w:rPr>
        <w:t>话：</w:t>
      </w:r>
      <w:r>
        <w:rPr>
          <w:rFonts w:hint="eastAsia"/>
          <w:color w:val="auto"/>
          <w:sz w:val="28"/>
          <w:highlight w:val="none"/>
          <w:u w:val="single"/>
        </w:rPr>
        <w:t xml:space="preserve">0575-85209901  </w:t>
      </w:r>
    </w:p>
    <w:p>
      <w:pPr>
        <w:spacing w:line="600" w:lineRule="exact"/>
        <w:ind w:firstLine="700" w:firstLineChars="250"/>
        <w:rPr>
          <w:color w:val="auto"/>
          <w:sz w:val="28"/>
          <w:highlight w:val="none"/>
          <w:u w:val="single"/>
        </w:rPr>
      </w:pPr>
      <w:r>
        <w:rPr>
          <w:rFonts w:hint="eastAsia"/>
          <w:color w:val="auto"/>
          <w:sz w:val="28"/>
          <w:highlight w:val="none"/>
        </w:rPr>
        <w:t>手  机：</w:t>
      </w:r>
      <w:r>
        <w:rPr>
          <w:rFonts w:hint="eastAsia"/>
          <w:color w:val="auto"/>
          <w:sz w:val="28"/>
          <w:highlight w:val="none"/>
          <w:u w:val="single"/>
        </w:rPr>
        <w:t xml:space="preserve">13957571013  </w:t>
      </w:r>
    </w:p>
    <w:p>
      <w:pPr>
        <w:spacing w:line="600" w:lineRule="exact"/>
        <w:ind w:firstLine="700" w:firstLineChars="250"/>
        <w:rPr>
          <w:color w:val="auto"/>
          <w:sz w:val="28"/>
          <w:highlight w:val="none"/>
        </w:rPr>
      </w:pPr>
      <w:r>
        <w:rPr>
          <w:rFonts w:hint="eastAsia"/>
          <w:color w:val="auto"/>
          <w:sz w:val="28"/>
          <w:highlight w:val="none"/>
        </w:rPr>
        <w:t>签发日期：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spacing w:line="540" w:lineRule="exact"/>
        <w:rPr>
          <w:color w:val="auto"/>
          <w:sz w:val="28"/>
          <w:highlight w:val="none"/>
          <w:u w:val="single"/>
        </w:rPr>
      </w:pPr>
    </w:p>
    <w:p>
      <w:pPr>
        <w:spacing w:line="360" w:lineRule="auto"/>
        <w:ind w:firstLine="700" w:firstLineChars="250"/>
        <w:rPr>
          <w:color w:val="auto"/>
          <w:sz w:val="28"/>
          <w:highlight w:val="none"/>
        </w:rPr>
      </w:pPr>
      <w:r>
        <w:rPr>
          <w:rFonts w:hint="eastAsia"/>
          <w:color w:val="auto"/>
          <w:sz w:val="28"/>
          <w:highlight w:val="none"/>
        </w:rPr>
        <w:t>备案单位：</w:t>
      </w:r>
      <w:r>
        <w:rPr>
          <w:i/>
          <w:color w:val="auto"/>
          <w:sz w:val="28"/>
          <w:highlight w:val="none"/>
          <w:u w:val="single"/>
        </w:rPr>
        <w:t xml:space="preserve">                                 </w:t>
      </w:r>
      <w:r>
        <w:rPr>
          <w:rFonts w:hint="eastAsia"/>
          <w:color w:val="auto"/>
          <w:sz w:val="28"/>
          <w:highlight w:val="none"/>
        </w:rPr>
        <w:t>（盖章）</w:t>
      </w:r>
    </w:p>
    <w:p>
      <w:pPr>
        <w:spacing w:line="360" w:lineRule="auto"/>
        <w:ind w:firstLine="700" w:firstLineChars="250"/>
        <w:rPr>
          <w:color w:val="auto"/>
          <w:sz w:val="28"/>
          <w:highlight w:val="none"/>
        </w:rPr>
      </w:pPr>
      <w:r>
        <w:rPr>
          <w:rFonts w:hint="eastAsia"/>
          <w:color w:val="auto"/>
          <w:sz w:val="28"/>
          <w:highlight w:val="none"/>
        </w:rPr>
        <w:t>备案经办人：</w:t>
      </w:r>
      <w:r>
        <w:rPr>
          <w:i/>
          <w:color w:val="auto"/>
          <w:sz w:val="28"/>
          <w:highlight w:val="none"/>
          <w:u w:val="single"/>
        </w:rPr>
        <w:t xml:space="preserve">                               </w:t>
      </w:r>
      <w:r>
        <w:rPr>
          <w:rFonts w:hint="eastAsia"/>
          <w:color w:val="auto"/>
          <w:sz w:val="28"/>
          <w:highlight w:val="none"/>
        </w:rPr>
        <w:t>（签字）</w:t>
      </w:r>
    </w:p>
    <w:p>
      <w:pPr>
        <w:spacing w:line="360" w:lineRule="auto"/>
        <w:ind w:firstLine="700" w:firstLineChars="250"/>
        <w:rPr>
          <w:color w:val="auto"/>
          <w:sz w:val="44"/>
          <w:highlight w:val="none"/>
        </w:rPr>
        <w:sectPr>
          <w:footerReference r:id="rId3" w:type="default"/>
          <w:pgSz w:w="11910" w:h="16840"/>
          <w:pgMar w:top="1580" w:right="540" w:bottom="280" w:left="1020" w:header="720" w:footer="720" w:gutter="0"/>
          <w:cols w:space="720" w:num="1"/>
        </w:sectPr>
      </w:pPr>
      <w:r>
        <w:rPr>
          <w:rFonts w:hint="eastAsia"/>
          <w:color w:val="auto"/>
          <w:sz w:val="28"/>
          <w:highlight w:val="none"/>
        </w:rPr>
        <w:t>备案日期：</w:t>
      </w:r>
      <w:r>
        <w:rPr>
          <w:i/>
          <w:color w:val="auto"/>
          <w:sz w:val="28"/>
          <w:highlight w:val="none"/>
          <w:u w:val="single"/>
        </w:rPr>
        <w:t xml:space="preserve">          </w:t>
      </w:r>
      <w:r>
        <w:rPr>
          <w:rFonts w:hint="eastAsia"/>
          <w:color w:val="auto"/>
          <w:sz w:val="28"/>
          <w:highlight w:val="none"/>
        </w:rPr>
        <w:t>年</w:t>
      </w:r>
      <w:r>
        <w:rPr>
          <w:i/>
          <w:color w:val="auto"/>
          <w:sz w:val="28"/>
          <w:highlight w:val="none"/>
          <w:u w:val="single"/>
        </w:rPr>
        <w:t xml:space="preserve">     </w:t>
      </w:r>
      <w:r>
        <w:rPr>
          <w:rFonts w:hint="eastAsia"/>
          <w:color w:val="auto"/>
          <w:sz w:val="28"/>
          <w:highlight w:val="none"/>
        </w:rPr>
        <w:t>月</w:t>
      </w:r>
      <w:r>
        <w:rPr>
          <w:i/>
          <w:color w:val="auto"/>
          <w:sz w:val="28"/>
          <w:highlight w:val="none"/>
          <w:u w:val="single"/>
        </w:rPr>
        <w:t xml:space="preserve">     </w:t>
      </w:r>
      <w:r>
        <w:rPr>
          <w:rFonts w:hint="eastAsia"/>
          <w:color w:val="auto"/>
          <w:sz w:val="28"/>
          <w:highlight w:val="none"/>
        </w:rPr>
        <w:t>日</w:t>
      </w:r>
    </w:p>
    <w:p>
      <w:pPr>
        <w:pStyle w:val="4"/>
        <w:rPr>
          <w:color w:val="auto"/>
          <w:highlight w:val="none"/>
        </w:rPr>
      </w:pPr>
      <w:bookmarkStart w:id="0" w:name="_Toc10676"/>
      <w:r>
        <w:rPr>
          <w:rFonts w:hint="eastAsia"/>
          <w:color w:val="auto"/>
          <w:highlight w:val="none"/>
        </w:rPr>
        <w:t>第一章 招标公告</w:t>
      </w:r>
      <w:bookmarkEnd w:id="0"/>
    </w:p>
    <w:p>
      <w:pPr>
        <w:spacing w:line="340" w:lineRule="exact"/>
        <w:jc w:val="center"/>
        <w:rPr>
          <w:rFonts w:ascii="宋体" w:hAnsi="宋体"/>
          <w:color w:val="auto"/>
          <w:sz w:val="30"/>
          <w:szCs w:val="30"/>
          <w:highlight w:val="none"/>
          <w:u w:val="single"/>
        </w:rPr>
      </w:pPr>
      <w:r>
        <w:rPr>
          <w:rFonts w:hint="eastAsia" w:ascii="宋体" w:hAnsi="宋体"/>
          <w:color w:val="auto"/>
          <w:sz w:val="30"/>
          <w:szCs w:val="30"/>
          <w:highlight w:val="none"/>
          <w:u w:val="single"/>
        </w:rPr>
        <w:t>绍兴市妇幼保健院（绍兴市儿童医院）建设项目医疗物流系统项目</w:t>
      </w:r>
    </w:p>
    <w:p>
      <w:pPr>
        <w:spacing w:line="340" w:lineRule="exact"/>
        <w:jc w:val="center"/>
        <w:rPr>
          <w:rFonts w:ascii="宋体" w:hAnsi="宋体"/>
          <w:b/>
          <w:color w:val="auto"/>
          <w:sz w:val="32"/>
          <w:szCs w:val="32"/>
          <w:highlight w:val="none"/>
        </w:rPr>
      </w:pPr>
      <w:r>
        <w:rPr>
          <w:rFonts w:hint="eastAsia" w:ascii="宋体" w:hAnsi="宋体"/>
          <w:b/>
          <w:color w:val="auto"/>
          <w:sz w:val="32"/>
          <w:szCs w:val="32"/>
          <w:highlight w:val="none"/>
        </w:rPr>
        <w:t>招标公告</w:t>
      </w:r>
    </w:p>
    <w:p>
      <w:pPr>
        <w:spacing w:line="340" w:lineRule="exact"/>
        <w:jc w:val="center"/>
        <w:rPr>
          <w:rFonts w:ascii="宋体" w:hAnsi="宋体"/>
          <w:color w:val="auto"/>
          <w:sz w:val="18"/>
          <w:szCs w:val="18"/>
          <w:highlight w:val="none"/>
          <w:u w:val="single"/>
        </w:rPr>
      </w:pP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1.招标条件</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本招标项目</w:t>
      </w:r>
      <w:r>
        <w:rPr>
          <w:rFonts w:hint="eastAsia" w:ascii="宋体" w:hAnsi="宋体" w:cs="宋体"/>
          <w:b/>
          <w:bCs/>
          <w:color w:val="auto"/>
          <w:szCs w:val="21"/>
          <w:highlight w:val="none"/>
          <w:u w:val="single"/>
        </w:rPr>
        <w:t>绍兴市妇幼保健院（绍兴市儿童医院）建设项目</w:t>
      </w:r>
      <w:r>
        <w:rPr>
          <w:rFonts w:ascii="宋体" w:hAnsi="宋体" w:cs="Arial"/>
          <w:color w:val="auto"/>
          <w:szCs w:val="21"/>
          <w:highlight w:val="none"/>
        </w:rPr>
        <w:t>（项目名称）已由</w:t>
      </w:r>
      <w:r>
        <w:rPr>
          <w:rFonts w:hint="eastAsia" w:ascii="宋体" w:hAnsi="宋体" w:cs="Arial"/>
          <w:b/>
          <w:color w:val="auto"/>
          <w:szCs w:val="21"/>
          <w:highlight w:val="none"/>
          <w:u w:val="single"/>
        </w:rPr>
        <w:t>绍兴市发展和改革委员会</w:t>
      </w:r>
      <w:r>
        <w:rPr>
          <w:rFonts w:ascii="宋体" w:hAnsi="宋体" w:cs="Arial"/>
          <w:color w:val="auto"/>
          <w:szCs w:val="21"/>
          <w:highlight w:val="none"/>
          <w:u w:val="single"/>
        </w:rPr>
        <w:t>（</w:t>
      </w:r>
      <w:r>
        <w:rPr>
          <w:rFonts w:ascii="宋体" w:hAnsi="宋体" w:cs="Arial"/>
          <w:color w:val="auto"/>
          <w:szCs w:val="21"/>
          <w:highlight w:val="none"/>
        </w:rPr>
        <w:t>项目审批、核准或备案机关名称）以</w:t>
      </w:r>
      <w:r>
        <w:rPr>
          <w:rFonts w:hint="eastAsia" w:ascii="宋体" w:hAnsi="宋体" w:cs="Arial"/>
          <w:b/>
          <w:color w:val="auto"/>
          <w:szCs w:val="21"/>
          <w:highlight w:val="none"/>
          <w:u w:val="single"/>
        </w:rPr>
        <w:t>绍市发改中心【2019】29号</w:t>
      </w:r>
      <w:r>
        <w:rPr>
          <w:rFonts w:ascii="宋体" w:hAnsi="宋体" w:cs="Arial"/>
          <w:color w:val="auto"/>
          <w:szCs w:val="21"/>
          <w:highlight w:val="none"/>
        </w:rPr>
        <w:t>（批文名称及编号）批准建设，项目业主为</w:t>
      </w:r>
      <w:r>
        <w:rPr>
          <w:rFonts w:hint="eastAsia" w:ascii="宋体" w:hAnsi="宋体" w:cs="Arial"/>
          <w:b/>
          <w:iCs/>
          <w:color w:val="auto"/>
          <w:szCs w:val="21"/>
          <w:highlight w:val="none"/>
          <w:u w:val="single"/>
        </w:rPr>
        <w:t>绍兴市妇幼保健院</w:t>
      </w:r>
      <w:r>
        <w:rPr>
          <w:rFonts w:ascii="宋体" w:hAnsi="宋体" w:cs="Arial"/>
          <w:color w:val="auto"/>
          <w:szCs w:val="21"/>
          <w:highlight w:val="none"/>
        </w:rPr>
        <w:t>，建设资金来自</w:t>
      </w:r>
      <w:r>
        <w:rPr>
          <w:rFonts w:hint="eastAsia" w:ascii="宋体" w:hAnsi="宋体" w:cs="宋体"/>
          <w:b/>
          <w:color w:val="auto"/>
          <w:szCs w:val="21"/>
          <w:highlight w:val="none"/>
          <w:u w:val="single"/>
        </w:rPr>
        <w:t>市财政</w:t>
      </w:r>
      <w:r>
        <w:rPr>
          <w:rFonts w:ascii="宋体" w:hAnsi="宋体" w:cs="Arial"/>
          <w:color w:val="auto"/>
          <w:szCs w:val="21"/>
          <w:highlight w:val="none"/>
        </w:rPr>
        <w:t>（资金来源），项目出资比例为</w:t>
      </w:r>
      <w:r>
        <w:rPr>
          <w:rFonts w:hint="eastAsia" w:ascii="宋体" w:hAnsi="宋体" w:cs="Arial"/>
          <w:b/>
          <w:color w:val="auto"/>
          <w:szCs w:val="21"/>
          <w:highlight w:val="none"/>
          <w:u w:val="single"/>
        </w:rPr>
        <w:t>100%</w:t>
      </w:r>
      <w:r>
        <w:rPr>
          <w:rFonts w:ascii="宋体" w:hAnsi="宋体" w:cs="Arial"/>
          <w:color w:val="auto"/>
          <w:szCs w:val="21"/>
          <w:highlight w:val="none"/>
        </w:rPr>
        <w:t>，招标人为</w:t>
      </w:r>
      <w:r>
        <w:rPr>
          <w:rFonts w:hint="eastAsia" w:ascii="宋体" w:hAnsi="宋体" w:cs="Arial"/>
          <w:b/>
          <w:iCs/>
          <w:color w:val="auto"/>
          <w:szCs w:val="21"/>
          <w:highlight w:val="none"/>
          <w:u w:val="single"/>
        </w:rPr>
        <w:t>浙江精工钢结构集团有限公司</w:t>
      </w:r>
      <w:r>
        <w:rPr>
          <w:rFonts w:ascii="宋体" w:hAnsi="宋体" w:cs="Arial"/>
          <w:color w:val="auto"/>
          <w:szCs w:val="21"/>
          <w:highlight w:val="none"/>
        </w:rPr>
        <w:t>。项目已具备招标条件，现对该项目的</w:t>
      </w:r>
      <w:r>
        <w:rPr>
          <w:rFonts w:hint="eastAsia"/>
          <w:b/>
          <w:color w:val="auto"/>
          <w:kern w:val="58"/>
          <w:szCs w:val="21"/>
          <w:highlight w:val="none"/>
          <w:u w:val="single"/>
        </w:rPr>
        <w:t>医疗物流系统</w:t>
      </w:r>
      <w:r>
        <w:rPr>
          <w:rFonts w:ascii="宋体" w:hAnsi="宋体" w:cs="Arial"/>
          <w:color w:val="auto"/>
          <w:szCs w:val="21"/>
          <w:highlight w:val="none"/>
        </w:rPr>
        <w:t>进行</w:t>
      </w:r>
      <w:r>
        <w:rPr>
          <w:rFonts w:hint="eastAsia" w:ascii="宋体" w:hAnsi="宋体" w:cs="Arial"/>
          <w:b/>
          <w:color w:val="auto"/>
          <w:szCs w:val="21"/>
          <w:highlight w:val="none"/>
          <w:u w:val="single"/>
        </w:rPr>
        <w:t>公开</w:t>
      </w:r>
      <w:r>
        <w:rPr>
          <w:rFonts w:ascii="宋体" w:hAnsi="宋体" w:cs="Arial"/>
          <w:color w:val="auto"/>
          <w:szCs w:val="21"/>
          <w:highlight w:val="none"/>
        </w:rPr>
        <w:t>招标。</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2.项目概况与招标范围</w:t>
      </w:r>
    </w:p>
    <w:p>
      <w:pPr>
        <w:widowControl/>
        <w:spacing w:line="340" w:lineRule="exact"/>
        <w:rPr>
          <w:rFonts w:ascii="宋体" w:hAnsi="宋体" w:cs="Arial"/>
          <w:color w:val="auto"/>
          <w:szCs w:val="21"/>
          <w:highlight w:val="none"/>
        </w:rPr>
      </w:pPr>
      <w:r>
        <w:rPr>
          <w:rFonts w:ascii="宋体" w:hAnsi="宋体" w:cs="Arial"/>
          <w:color w:val="auto"/>
          <w:szCs w:val="21"/>
          <w:highlight w:val="none"/>
        </w:rPr>
        <w:t>2.1 建设地点：</w:t>
      </w:r>
      <w:r>
        <w:rPr>
          <w:rFonts w:hint="eastAsia" w:ascii="宋体" w:hAnsi="宋体" w:cs="Arial"/>
          <w:b/>
          <w:color w:val="auto"/>
          <w:szCs w:val="21"/>
          <w:highlight w:val="none"/>
          <w:u w:val="single"/>
        </w:rPr>
        <w:t>绍兴市越城区</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2.2 建设规模：</w:t>
      </w:r>
      <w:r>
        <w:rPr>
          <w:rFonts w:hint="eastAsia" w:ascii="宋体" w:hAnsi="宋体" w:cs="宋体"/>
          <w:b/>
          <w:bCs/>
          <w:color w:val="auto"/>
          <w:szCs w:val="21"/>
          <w:highlight w:val="none"/>
          <w:u w:val="single"/>
        </w:rPr>
        <w:t>项目总用地面积85933平方米，总建筑面积约202998.96平方米（其中地上建筑面积134103.66平方米，地下建筑面积68895.3平方米），机动车停车位1551个，床位1500张（其中核定床位1000张，预留500张作为发展用床），总投资148848.2万元，建安费127633.56万元。建设内容包括：门急诊医技综合楼、行政后勤楼、妇幼保健楼、住院楼、污水处理站、配电房和柴油发电机用房等，其中门急诊楼医技综合楼、行政后勤楼、儿科住院楼、妇科住院楼等主体为钢框架结构，单体60％装配率</w:t>
      </w:r>
      <w:r>
        <w:rPr>
          <w:rFonts w:ascii="宋体" w:hAnsi="宋体" w:cs="Arial"/>
          <w:color w:val="auto"/>
          <w:szCs w:val="21"/>
          <w:highlight w:val="none"/>
        </w:rPr>
        <w:t>。</w:t>
      </w:r>
      <w:r>
        <w:rPr>
          <w:rFonts w:hint="eastAsia" w:ascii="宋体" w:hAnsi="宋体" w:cs="Arial"/>
          <w:color w:val="auto"/>
          <w:szCs w:val="21"/>
          <w:highlight w:val="none"/>
        </w:rPr>
        <w:t>招标</w:t>
      </w:r>
      <w:r>
        <w:rPr>
          <w:rFonts w:ascii="宋体" w:hAnsi="宋体" w:cs="Arial"/>
          <w:color w:val="auto"/>
          <w:szCs w:val="21"/>
          <w:highlight w:val="none"/>
        </w:rPr>
        <w:t>估算价：</w:t>
      </w:r>
      <w:r>
        <w:rPr>
          <w:rFonts w:hint="eastAsia" w:ascii="宋体" w:hAnsi="宋体" w:cs="Arial"/>
          <w:color w:val="auto"/>
          <w:szCs w:val="21"/>
          <w:highlight w:val="none"/>
        </w:rPr>
        <w:t>约</w:t>
      </w:r>
      <w:r>
        <w:rPr>
          <w:rFonts w:hint="eastAsia" w:ascii="宋体" w:hAnsi="宋体" w:cs="Arial"/>
          <w:b/>
          <w:color w:val="auto"/>
          <w:szCs w:val="21"/>
          <w:highlight w:val="none"/>
          <w:u w:val="single"/>
        </w:rPr>
        <w:t>1996</w:t>
      </w:r>
      <w:r>
        <w:rPr>
          <w:rFonts w:ascii="宋体" w:hAnsi="宋体" w:cs="Arial"/>
          <w:color w:val="auto"/>
          <w:szCs w:val="21"/>
          <w:highlight w:val="none"/>
        </w:rPr>
        <w:t>万元。</w:t>
      </w:r>
    </w:p>
    <w:p>
      <w:pPr>
        <w:jc w:val="left"/>
        <w:rPr>
          <w:rFonts w:ascii="宋体" w:hAnsi="宋体" w:cs="宋体"/>
          <w:b/>
          <w:bCs/>
          <w:color w:val="auto"/>
          <w:szCs w:val="21"/>
          <w:highlight w:val="none"/>
        </w:rPr>
      </w:pPr>
      <w:r>
        <w:rPr>
          <w:rFonts w:ascii="宋体" w:hAnsi="宋体" w:cs="Arial"/>
          <w:color w:val="auto"/>
          <w:szCs w:val="21"/>
          <w:highlight w:val="none"/>
        </w:rPr>
        <w:t>2.3 招标范围：</w:t>
      </w:r>
      <w:r>
        <w:rPr>
          <w:rFonts w:hint="eastAsia" w:ascii="宋体" w:hAnsi="宋体" w:cs="宋体"/>
          <w:b/>
          <w:bCs/>
          <w:color w:val="auto"/>
          <w:szCs w:val="21"/>
          <w:highlight w:val="none"/>
        </w:rPr>
        <w:t>医疗物流传输系统设备采购、供货及安装，其中箱式物流系统站点46个，气动物流系统站点39个，详见招标文件 “</w:t>
      </w:r>
      <w:r>
        <w:rPr>
          <w:color w:val="auto"/>
          <w:highlight w:val="none"/>
        </w:rPr>
        <w:t xml:space="preserve"> </w:t>
      </w:r>
      <w:r>
        <w:rPr>
          <w:rFonts w:hint="eastAsia"/>
          <w:b/>
          <w:bCs/>
          <w:color w:val="auto"/>
          <w:highlight w:val="none"/>
        </w:rPr>
        <w:t>技术标准和要求</w:t>
      </w:r>
      <w:r>
        <w:rPr>
          <w:rFonts w:hint="eastAsia" w:ascii="宋体" w:hAnsi="宋体" w:cs="宋体"/>
          <w:b/>
          <w:bCs/>
          <w:color w:val="auto"/>
          <w:szCs w:val="21"/>
          <w:highlight w:val="none"/>
        </w:rPr>
        <w:t>”。</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招标人提供的医疗物流系统设备采购及安装的图纸及货物清单中的所有工程内容，包括物流系统设备采购及安装工程施工图的进一步深化设计、现有建筑基础上的物流管道等处的结构补强（招标人提供结构参考图纸）预留孔洞、设备基础、预埋铁构件、预埋管、套管及其封堵、设备材料供货、运输、卸货、保管、施工、安装、调试、检测、并最终通过验收，同时负责技术服务与培训，提交相关技术资料以及质保期内的维修保养等，即“交钥匙”工程。</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总承包单位负责：按图纸施工医疗物流传输系统井道，配合医疗物流专业承包商安装、移交井道防火门及其钥匙；物流中心机房装修施工，机房内暖通系统由总包单位施工，总承包单位负责预留机房内的电源箱；与物流系统的消防联动调试等。</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医疗物流传输系统专业承包商负责：医疗物流系统的轨道及其附件（含传输箱）、站点、控制系统（含控制柜出线）的采购、运输、安装、调试与验收；从井道内提供的电源处接线；井道与轨道穿过防火分区的防火门/窗采购、安装；配合总承包商消防验收，提供产品与消防相关的资料及与消防系统联动调试、验收。</w:t>
      </w:r>
    </w:p>
    <w:p>
      <w:pPr>
        <w:ind w:firstLine="422" w:firstLineChars="200"/>
        <w:jc w:val="left"/>
        <w:rPr>
          <w:rFonts w:ascii="宋体" w:hAnsi="宋体" w:cs="宋体"/>
          <w:b/>
          <w:bCs/>
          <w:color w:val="auto"/>
          <w:szCs w:val="21"/>
          <w:highlight w:val="none"/>
        </w:rPr>
      </w:pPr>
      <w:r>
        <w:rPr>
          <w:rFonts w:hint="eastAsia" w:ascii="宋体" w:hAnsi="宋体" w:cs="宋体"/>
          <w:b/>
          <w:bCs/>
          <w:color w:val="auto"/>
          <w:szCs w:val="21"/>
          <w:highlight w:val="none"/>
        </w:rPr>
        <w:t>中标单位二次深化后总费用不能超过中标价，且优化方案必须经过业主认可方能最终实施。</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4</w:t>
      </w:r>
      <w:r>
        <w:rPr>
          <w:rFonts w:ascii="宋体" w:hAnsi="宋体" w:cs="Arial"/>
          <w:color w:val="auto"/>
          <w:szCs w:val="21"/>
          <w:highlight w:val="none"/>
        </w:rPr>
        <w:t>计划工期：</w:t>
      </w:r>
      <w:r>
        <w:rPr>
          <w:rFonts w:hint="eastAsia" w:ascii="宋体" w:hAnsi="宋体"/>
          <w:color w:val="auto"/>
          <w:highlight w:val="none"/>
        </w:rPr>
        <w:t>以招标人发出的开工指令后210日历天，具体应与工程施工总进度计划同步</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2.</w:t>
      </w:r>
      <w:r>
        <w:rPr>
          <w:rFonts w:hint="eastAsia" w:ascii="宋体" w:hAnsi="宋体" w:cs="Arial"/>
          <w:color w:val="auto"/>
          <w:szCs w:val="21"/>
          <w:highlight w:val="none"/>
        </w:rPr>
        <w:t>5</w:t>
      </w:r>
      <w:r>
        <w:rPr>
          <w:rFonts w:ascii="宋体" w:hAnsi="宋体" w:cs="Arial"/>
          <w:color w:val="auto"/>
          <w:szCs w:val="21"/>
          <w:highlight w:val="none"/>
        </w:rPr>
        <w:t xml:space="preserve"> 质量要求：</w:t>
      </w:r>
      <w:r>
        <w:rPr>
          <w:rFonts w:hint="eastAsia" w:ascii="宋体" w:hAnsi="宋体"/>
          <w:color w:val="auto"/>
          <w:highlight w:val="none"/>
        </w:rPr>
        <w:t>合格，并一次性通过</w:t>
      </w:r>
      <w:r>
        <w:rPr>
          <w:rFonts w:hint="eastAsia" w:ascii="宋体" w:hAnsi="宋体"/>
          <w:color w:val="auto"/>
          <w:highlight w:val="none"/>
          <w:lang w:val="en-US" w:eastAsia="zh-CN"/>
        </w:rPr>
        <w:t>相关</w:t>
      </w:r>
      <w:r>
        <w:rPr>
          <w:rFonts w:hint="eastAsia" w:ascii="宋体" w:hAnsi="宋体"/>
          <w:color w:val="auto"/>
          <w:highlight w:val="none"/>
        </w:rPr>
        <w:t>机构检测。配合总承包单位争创钱江杯、鲁班奖。</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6</w:t>
      </w:r>
      <w:r>
        <w:rPr>
          <w:rFonts w:ascii="宋体" w:hAnsi="宋体" w:cs="Arial"/>
          <w:color w:val="auto"/>
          <w:szCs w:val="21"/>
          <w:highlight w:val="none"/>
        </w:rPr>
        <w:t>标段划分：</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2.</w:t>
      </w:r>
      <w:r>
        <w:rPr>
          <w:rFonts w:hint="eastAsia" w:ascii="宋体" w:hAnsi="宋体" w:cs="Arial"/>
          <w:color w:val="auto"/>
          <w:szCs w:val="21"/>
          <w:highlight w:val="none"/>
        </w:rPr>
        <w:t>7</w:t>
      </w:r>
      <w:r>
        <w:rPr>
          <w:rFonts w:ascii="宋体" w:hAnsi="宋体" w:cs="Arial"/>
          <w:color w:val="auto"/>
          <w:szCs w:val="21"/>
          <w:highlight w:val="none"/>
        </w:rPr>
        <w:t>资格审查方式：</w:t>
      </w:r>
      <w:r>
        <w:rPr>
          <w:rFonts w:hint="eastAsia" w:ascii="宋体" w:hAnsi="宋体" w:cs="宋体"/>
          <w:b/>
          <w:iCs/>
          <w:color w:val="auto"/>
          <w:szCs w:val="21"/>
          <w:highlight w:val="none"/>
          <w:u w:val="single"/>
        </w:rPr>
        <w:t>资格后审</w:t>
      </w:r>
      <w:r>
        <w:rPr>
          <w:rFonts w:ascii="宋体" w:hAnsi="宋体" w:cs="Arial"/>
          <w:color w:val="auto"/>
          <w:szCs w:val="21"/>
          <w:highlight w:val="none"/>
        </w:rPr>
        <w:t xml:space="preserve">。  </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 xml:space="preserve">3.投标人资格要求 </w:t>
      </w:r>
    </w:p>
    <w:p>
      <w:pPr>
        <w:widowControl/>
        <w:spacing w:line="340" w:lineRule="exact"/>
        <w:rPr>
          <w:rFonts w:ascii="宋体" w:hAnsi="宋体" w:cs="Arial"/>
          <w:b/>
          <w:i/>
          <w:color w:val="auto"/>
          <w:szCs w:val="21"/>
          <w:highlight w:val="none"/>
          <w:u w:val="single"/>
        </w:rPr>
      </w:pPr>
      <w:r>
        <w:rPr>
          <w:rFonts w:ascii="宋体" w:hAnsi="宋体" w:cs="Arial"/>
          <w:color w:val="auto"/>
          <w:szCs w:val="21"/>
          <w:highlight w:val="none"/>
        </w:rPr>
        <w:t>3.1 本次招标要求投标人具备</w:t>
      </w:r>
      <w:r>
        <w:rPr>
          <w:rFonts w:hint="eastAsia" w:ascii="宋体" w:hAnsi="宋体"/>
          <w:b/>
          <w:color w:val="auto"/>
          <w:szCs w:val="21"/>
          <w:highlight w:val="none"/>
          <w:u w:val="single"/>
        </w:rPr>
        <w:t>独立法人资格的物流系统设备制造商或代理商。投标</w:t>
      </w:r>
      <w:r>
        <w:rPr>
          <w:rFonts w:ascii="宋体" w:hAnsi="宋体"/>
          <w:b/>
          <w:color w:val="auto"/>
          <w:szCs w:val="21"/>
          <w:highlight w:val="none"/>
          <w:u w:val="single"/>
        </w:rPr>
        <w:t>品牌</w:t>
      </w:r>
      <w:r>
        <w:rPr>
          <w:rFonts w:hint="eastAsia" w:ascii="宋体" w:hAnsi="宋体"/>
          <w:b/>
          <w:color w:val="auto"/>
          <w:szCs w:val="21"/>
          <w:highlight w:val="none"/>
          <w:u w:val="single"/>
        </w:rPr>
        <w:t>具有自2016年1月1日以来【以合同签订时间为准】，承接过国内物流系统的（合同金额在900万及以上）类似业绩。业绩证明材料为供货合同的复印件</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3.2主要设备、材料要求：</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3.3其他要求：</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3.3.1</w:t>
      </w:r>
      <w:r>
        <w:rPr>
          <w:rFonts w:hint="eastAsia" w:ascii="宋体" w:hAnsi="宋体" w:cs="Arial"/>
          <w:color w:val="auto"/>
          <w:szCs w:val="21"/>
          <w:highlight w:val="none"/>
        </w:rPr>
        <w:t>企业</w:t>
      </w:r>
      <w:r>
        <w:rPr>
          <w:rFonts w:ascii="宋体" w:hAnsi="宋体" w:cs="Arial"/>
          <w:color w:val="auto"/>
          <w:szCs w:val="21"/>
          <w:highlight w:val="none"/>
        </w:rPr>
        <w:t>具有</w:t>
      </w:r>
      <w:r>
        <w:rPr>
          <w:rFonts w:hint="eastAsia" w:ascii="宋体" w:hAnsi="宋体" w:cs="Arial"/>
          <w:color w:val="auto"/>
          <w:szCs w:val="21"/>
          <w:highlight w:val="none"/>
        </w:rPr>
        <w:t>绍兴市公共资源交易中心工程建设项目</w:t>
      </w:r>
      <w:r>
        <w:rPr>
          <w:rFonts w:hint="eastAsia" w:ascii="宋体" w:hAnsi="宋体" w:cs="Arial"/>
          <w:b/>
          <w:color w:val="auto"/>
          <w:szCs w:val="21"/>
          <w:highlight w:val="none"/>
          <w:u w:val="single"/>
        </w:rPr>
        <w:t>2021</w:t>
      </w:r>
      <w:r>
        <w:rPr>
          <w:rFonts w:hint="eastAsia" w:ascii="宋体" w:hAnsi="宋体" w:cs="宋体"/>
          <w:bCs/>
          <w:color w:val="auto"/>
          <w:szCs w:val="21"/>
          <w:highlight w:val="none"/>
        </w:rPr>
        <w:t>年度登记</w:t>
      </w:r>
      <w:r>
        <w:rPr>
          <w:rFonts w:ascii="宋体" w:hAnsi="宋体" w:cs="Arial"/>
          <w:color w:val="auto"/>
          <w:szCs w:val="21"/>
          <w:highlight w:val="none"/>
        </w:rPr>
        <w:t>资格</w:t>
      </w:r>
      <w:r>
        <w:rPr>
          <w:rFonts w:hint="eastAsia" w:ascii="宋体" w:hAnsi="宋体" w:cs="Arial"/>
          <w:color w:val="auto"/>
          <w:szCs w:val="21"/>
          <w:highlight w:val="none"/>
        </w:rPr>
        <w:t>并在有效期内。</w:t>
      </w:r>
    </w:p>
    <w:p>
      <w:pPr>
        <w:widowControl/>
        <w:spacing w:line="340" w:lineRule="exact"/>
        <w:rPr>
          <w:rFonts w:ascii="宋体" w:hAnsi="宋体" w:cs="Arial"/>
          <w:dstrike/>
          <w:color w:val="auto"/>
          <w:szCs w:val="21"/>
          <w:highlight w:val="none"/>
        </w:rPr>
      </w:pPr>
      <w:r>
        <w:rPr>
          <w:rFonts w:hint="eastAsia" w:ascii="宋体" w:hAnsi="宋体" w:cs="Arial"/>
          <w:dstrike/>
          <w:color w:val="auto"/>
          <w:szCs w:val="21"/>
          <w:highlight w:val="none"/>
        </w:rPr>
        <w:t>3.3.2</w:t>
      </w:r>
      <w:r>
        <w:rPr>
          <w:rFonts w:ascii="宋体" w:hAnsi="宋体" w:cs="Arial"/>
          <w:dstrike/>
          <w:color w:val="auto"/>
          <w:szCs w:val="21"/>
          <w:highlight w:val="none"/>
        </w:rPr>
        <w:t>企业</w:t>
      </w:r>
      <w:r>
        <w:rPr>
          <w:rFonts w:hint="eastAsia" w:ascii="宋体" w:hAnsi="宋体" w:cs="Arial"/>
          <w:dstrike/>
          <w:color w:val="auto"/>
          <w:szCs w:val="21"/>
          <w:highlight w:val="none"/>
        </w:rPr>
        <w:t>需要</w:t>
      </w:r>
      <w:r>
        <w:rPr>
          <w:rFonts w:hint="eastAsia" w:ascii="宋体" w:hAnsi="宋体"/>
          <w:b/>
          <w:dstrike/>
          <w:color w:val="auto"/>
          <w:szCs w:val="21"/>
          <w:highlight w:val="none"/>
          <w:u w:val="single"/>
        </w:rPr>
        <w:t>经浙江省住建厅备案（省内企业不作要求）（有效期内）</w:t>
      </w:r>
      <w:r>
        <w:rPr>
          <w:rFonts w:ascii="宋体" w:hAnsi="宋体" w:cs="Arial"/>
          <w:dstrike/>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3</w:t>
      </w:r>
      <w:r>
        <w:rPr>
          <w:rFonts w:ascii="宋体" w:hAnsi="宋体" w:cs="Arial"/>
          <w:color w:val="auto"/>
          <w:szCs w:val="21"/>
          <w:highlight w:val="none"/>
        </w:rPr>
        <w:t>企业在</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年</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ascii="宋体" w:hAnsi="宋体" w:cs="Arial"/>
          <w:color w:val="auto"/>
          <w:szCs w:val="21"/>
          <w:highlight w:val="none"/>
        </w:rPr>
        <w:t>日前与</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ascii="宋体" w:hAnsi="宋体" w:cs="Arial"/>
          <w:color w:val="auto"/>
          <w:szCs w:val="21"/>
          <w:highlight w:val="none"/>
        </w:rPr>
        <w:t>签订劳动者工资保障金管理协议。</w:t>
      </w:r>
    </w:p>
    <w:p>
      <w:pPr>
        <w:widowControl/>
        <w:spacing w:line="340" w:lineRule="exact"/>
        <w:rPr>
          <w:rFonts w:ascii="宋体" w:hAnsi="宋体" w:cs="Arial"/>
          <w:color w:val="auto"/>
          <w:szCs w:val="21"/>
          <w:highlight w:val="none"/>
        </w:rPr>
      </w:pPr>
      <w:r>
        <w:rPr>
          <w:rFonts w:ascii="宋体" w:hAnsi="宋体" w:cs="Arial"/>
          <w:color w:val="auto"/>
          <w:szCs w:val="21"/>
          <w:highlight w:val="none"/>
        </w:rPr>
        <w:t>3.3.</w:t>
      </w:r>
      <w:r>
        <w:rPr>
          <w:rFonts w:hint="eastAsia" w:ascii="宋体" w:hAnsi="宋体" w:cs="Arial"/>
          <w:color w:val="auto"/>
          <w:szCs w:val="21"/>
          <w:highlight w:val="none"/>
        </w:rPr>
        <w:t>4</w:t>
      </w:r>
      <w:r>
        <w:rPr>
          <w:rFonts w:ascii="宋体" w:hAnsi="宋体" w:cs="Arial"/>
          <w:color w:val="auto"/>
          <w:szCs w:val="21"/>
          <w:highlight w:val="none"/>
        </w:rPr>
        <w:t>企业和项目负责人</w:t>
      </w:r>
      <w:r>
        <w:rPr>
          <w:rFonts w:hint="eastAsia" w:ascii="宋体" w:hAnsi="宋体" w:cs="Arial"/>
          <w:color w:val="auto"/>
          <w:szCs w:val="21"/>
          <w:highlight w:val="none"/>
        </w:rPr>
        <w:t>近</w:t>
      </w:r>
      <w:r>
        <w:rPr>
          <w:rFonts w:hint="eastAsia" w:ascii="宋体" w:hAnsi="宋体" w:cs="Arial"/>
          <w:color w:val="auto"/>
          <w:szCs w:val="21"/>
          <w:highlight w:val="none"/>
          <w:u w:val="single"/>
        </w:rPr>
        <w:t xml:space="preserve"> </w:t>
      </w:r>
      <w:r>
        <w:rPr>
          <w:rFonts w:hint="eastAsia" w:ascii="宋体" w:hAnsi="宋体" w:cs="Arial"/>
          <w:b/>
          <w:bCs/>
          <w:color w:val="auto"/>
          <w:szCs w:val="21"/>
          <w:highlight w:val="none"/>
          <w:u w:val="single"/>
        </w:rPr>
        <w:t xml:space="preserve"> 五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年</w:t>
      </w:r>
      <w:r>
        <w:rPr>
          <w:rFonts w:ascii="宋体" w:hAnsi="宋体" w:cs="Arial"/>
          <w:color w:val="auto"/>
          <w:szCs w:val="21"/>
          <w:highlight w:val="none"/>
        </w:rPr>
        <w:t>无行贿犯罪记录</w:t>
      </w:r>
      <w:r>
        <w:rPr>
          <w:rFonts w:hint="eastAsia" w:ascii="宋体" w:hAnsi="宋体" w:cs="Arial"/>
          <w:color w:val="auto"/>
          <w:szCs w:val="21"/>
          <w:highlight w:val="none"/>
        </w:rPr>
        <w:t>（投标人提供承诺书）。</w:t>
      </w:r>
    </w:p>
    <w:p>
      <w:pPr>
        <w:widowControl/>
        <w:spacing w:line="340" w:lineRule="exact"/>
        <w:rPr>
          <w:rFonts w:ascii="宋体" w:hAnsi="宋体" w:cs="Arial"/>
          <w:color w:val="auto"/>
          <w:szCs w:val="21"/>
          <w:highlight w:val="none"/>
        </w:rPr>
      </w:pPr>
      <w:r>
        <w:rPr>
          <w:rFonts w:ascii="宋体" w:hAnsi="宋体" w:cs="Arial"/>
          <w:color w:val="auto"/>
          <w:szCs w:val="21"/>
          <w:highlight w:val="none"/>
        </w:rPr>
        <w:t>3.4 本次招标</w:t>
      </w:r>
      <w:r>
        <w:rPr>
          <w:rFonts w:hint="eastAsia" w:ascii="宋体" w:hAnsi="宋体" w:cs="Arial"/>
          <w:b/>
          <w:color w:val="auto"/>
          <w:szCs w:val="21"/>
          <w:highlight w:val="none"/>
          <w:u w:val="single"/>
        </w:rPr>
        <w:t>不接受</w:t>
      </w:r>
      <w:r>
        <w:rPr>
          <w:rFonts w:ascii="宋体" w:hAnsi="宋体" w:cs="Arial"/>
          <w:color w:val="auto"/>
          <w:szCs w:val="21"/>
          <w:highlight w:val="none"/>
        </w:rPr>
        <w:t>联合体投标。联合体投标的，应满足下列要求：</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hint="eastAsia" w:ascii="宋体" w:hAnsi="宋体" w:cs="宋体"/>
          <w:i/>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3.5 各投标人均可就上述标段中的</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（具体数量）个标段投标。</w:t>
      </w:r>
    </w:p>
    <w:p>
      <w:pPr>
        <w:widowControl/>
        <w:spacing w:line="330" w:lineRule="exact"/>
        <w:rPr>
          <w:rFonts w:ascii="宋体" w:hAnsi="宋体" w:cs="Arial"/>
          <w:color w:val="auto"/>
          <w:szCs w:val="21"/>
          <w:highlight w:val="none"/>
        </w:rPr>
      </w:pPr>
      <w:r>
        <w:rPr>
          <w:rFonts w:hint="eastAsia" w:ascii="宋体" w:hAnsi="宋体" w:cs="Arial"/>
          <w:color w:val="auto"/>
          <w:szCs w:val="21"/>
          <w:highlight w:val="none"/>
        </w:rPr>
        <w:t>4.招标文件获取</w:t>
      </w:r>
    </w:p>
    <w:p>
      <w:pPr>
        <w:widowControl/>
        <w:spacing w:line="340" w:lineRule="exact"/>
        <w:jc w:val="left"/>
        <w:rPr>
          <w:rFonts w:ascii="宋体" w:hAnsi="宋体" w:cs="Arial"/>
          <w:color w:val="auto"/>
          <w:szCs w:val="21"/>
          <w:highlight w:val="none"/>
        </w:rPr>
      </w:pPr>
      <w:r>
        <w:rPr>
          <w:rFonts w:ascii="宋体" w:hAnsi="宋体" w:cs="Arial"/>
          <w:color w:val="auto"/>
          <w:szCs w:val="21"/>
          <w:highlight w:val="none"/>
        </w:rPr>
        <w:t>4.1 凡有意参加投标者，请于</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8:30</w:t>
      </w:r>
      <w:r>
        <w:rPr>
          <w:rFonts w:ascii="宋体" w:hAnsi="宋体" w:cs="Arial"/>
          <w:color w:val="auto"/>
          <w:szCs w:val="21"/>
          <w:highlight w:val="none"/>
        </w:rPr>
        <w:t>时至</w:t>
      </w:r>
      <w:r>
        <w:rPr>
          <w:rFonts w:hint="eastAsia" w:ascii="宋体" w:hAnsi="宋体" w:cs="宋体"/>
          <w:b/>
          <w:color w:val="auto"/>
          <w:szCs w:val="21"/>
          <w:highlight w:val="none"/>
          <w:u w:val="single"/>
        </w:rPr>
        <w:t>2021</w:t>
      </w:r>
      <w:r>
        <w:rPr>
          <w:rFonts w:ascii="宋体" w:hAnsi="宋体" w:cs="Arial"/>
          <w:color w:val="auto"/>
          <w:szCs w:val="21"/>
          <w:highlight w:val="none"/>
        </w:rPr>
        <w:t>年</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rPr>
        <w:t>月</w:t>
      </w:r>
      <w:r>
        <w:rPr>
          <w:rFonts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ascii="宋体" w:hAnsi="宋体" w:cs="Arial"/>
          <w:color w:val="auto"/>
          <w:szCs w:val="21"/>
          <w:highlight w:val="none"/>
        </w:rPr>
        <w:t>时在绍兴市公共资源交易中心</w:t>
      </w:r>
      <w:r>
        <w:rPr>
          <w:rFonts w:hint="eastAsia" w:ascii="宋体" w:hAnsi="宋体" w:cs="Arial"/>
          <w:color w:val="auto"/>
          <w:szCs w:val="21"/>
          <w:highlight w:val="none"/>
        </w:rPr>
        <w:t>新版电子招投标交易平台（</w:t>
      </w:r>
      <w:r>
        <w:rPr>
          <w:rFonts w:ascii="宋体" w:hAnsi="宋体" w:cs="Arial"/>
          <w:color w:val="auto"/>
          <w:szCs w:val="21"/>
          <w:highlight w:val="none"/>
          <w:u w:val="single"/>
        </w:rPr>
        <w:t>http://p.ggb.sx.gov.cn:6081/TPBidder/</w:t>
      </w:r>
      <w:r>
        <w:rPr>
          <w:rFonts w:hint="eastAsia" w:ascii="宋体" w:hAnsi="宋体" w:cs="Arial"/>
          <w:color w:val="auto"/>
          <w:szCs w:val="21"/>
          <w:highlight w:val="none"/>
        </w:rPr>
        <w:t>）自行下载招标文件，截止期后交易平台不再提供下载服务；</w:t>
      </w:r>
      <w:r>
        <w:rPr>
          <w:rFonts w:ascii="宋体" w:hAnsi="宋体" w:cs="Arial"/>
          <w:color w:val="auto"/>
          <w:szCs w:val="21"/>
          <w:highlight w:val="none"/>
        </w:rPr>
        <w:t>未在规定时间内获取招标文件的，不接受其投标</w:t>
      </w:r>
      <w:r>
        <w:rPr>
          <w:rFonts w:hint="eastAsia"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4.2 招标文件每套售价</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元，售后不退。图纸押金</w:t>
      </w:r>
      <w:r>
        <w:rPr>
          <w:rFonts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b/>
          <w:color w:val="auto"/>
          <w:szCs w:val="21"/>
          <w:highlight w:val="none"/>
          <w:u w:val="single"/>
        </w:rPr>
        <w:t>/</w:t>
      </w:r>
      <w:r>
        <w:rPr>
          <w:rFonts w:hint="eastAsia" w:ascii="宋体" w:hAnsi="宋体" w:cs="Arial"/>
          <w:color w:val="auto"/>
          <w:szCs w:val="21"/>
          <w:highlight w:val="none"/>
          <w:u w:val="single"/>
        </w:rPr>
        <w:t xml:space="preserve">  </w:t>
      </w:r>
      <w:r>
        <w:rPr>
          <w:rFonts w:ascii="宋体" w:hAnsi="宋体" w:cs="Arial"/>
          <w:color w:val="auto"/>
          <w:szCs w:val="21"/>
          <w:highlight w:val="none"/>
        </w:rPr>
        <w:t>元，在退还图纸时退还（不计利息）。</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5.投标保证金</w:t>
      </w:r>
    </w:p>
    <w:p>
      <w:pPr>
        <w:widowControl/>
        <w:spacing w:line="360" w:lineRule="exact"/>
        <w:ind w:firstLine="420" w:firstLineChars="200"/>
        <w:rPr>
          <w:rFonts w:ascii="宋体" w:hAnsi="宋体" w:cs="仿宋"/>
          <w:color w:val="auto"/>
          <w:szCs w:val="21"/>
          <w:highlight w:val="none"/>
        </w:rPr>
      </w:pPr>
      <w:r>
        <w:rPr>
          <w:rFonts w:ascii="宋体" w:hAnsi="宋体" w:cs="Arial"/>
          <w:color w:val="auto"/>
          <w:szCs w:val="21"/>
          <w:highlight w:val="none"/>
        </w:rPr>
        <w:t>本工程需缴纳投标保证金</w:t>
      </w:r>
      <w:r>
        <w:rPr>
          <w:rFonts w:ascii="宋体" w:hAnsi="宋体" w:cs="Arial"/>
          <w:color w:val="auto"/>
          <w:szCs w:val="21"/>
          <w:highlight w:val="none"/>
          <w:u w:val="single"/>
        </w:rPr>
        <w:t xml:space="preserve"> </w:t>
      </w:r>
      <w:r>
        <w:rPr>
          <w:rFonts w:hint="eastAsia" w:ascii="宋体" w:hAnsi="宋体" w:cs="宋体"/>
          <w:b/>
          <w:color w:val="auto"/>
          <w:szCs w:val="21"/>
          <w:highlight w:val="none"/>
          <w:u w:val="single"/>
        </w:rPr>
        <w:t>叁拾</w:t>
      </w:r>
      <w:r>
        <w:rPr>
          <w:rFonts w:hint="eastAsia" w:ascii="宋体" w:hAnsi="宋体" w:cs="Arial"/>
          <w:color w:val="auto"/>
          <w:szCs w:val="21"/>
          <w:highlight w:val="none"/>
          <w:u w:val="single"/>
        </w:rPr>
        <w:t xml:space="preserve"> </w:t>
      </w:r>
      <w:r>
        <w:rPr>
          <w:rFonts w:ascii="宋体" w:hAnsi="宋体" w:cs="Arial"/>
          <w:color w:val="auto"/>
          <w:szCs w:val="21"/>
          <w:highlight w:val="none"/>
        </w:rPr>
        <w:t>万元,</w:t>
      </w:r>
      <w:r>
        <w:rPr>
          <w:rFonts w:hint="eastAsia" w:ascii="宋体" w:hAnsi="宋体"/>
          <w:color w:val="auto"/>
          <w:szCs w:val="21"/>
          <w:highlight w:val="none"/>
        </w:rPr>
        <w:t xml:space="preserve"> 投标保证金在投标人自行获取招标文件后，在</w:t>
      </w:r>
      <w:r>
        <w:rPr>
          <w:rFonts w:hint="eastAsia" w:ascii="宋体" w:hAnsi="宋体" w:cs="宋体"/>
          <w:color w:val="auto"/>
          <w:szCs w:val="21"/>
          <w:highlight w:val="none"/>
          <w:u w:val="single"/>
        </w:rPr>
        <w:t>2021</w:t>
      </w:r>
      <w:r>
        <w:rPr>
          <w:rFonts w:hint="eastAsia" w:ascii="宋体" w:hAnsi="宋体" w:cs="仿宋"/>
          <w:color w:val="auto"/>
          <w:szCs w:val="21"/>
          <w:highlight w:val="none"/>
        </w:rPr>
        <w:t>年</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月</w:t>
      </w:r>
      <w:r>
        <w:rPr>
          <w:rFonts w:hint="eastAsia" w:ascii="宋体" w:hAnsi="宋体" w:cs="仿宋"/>
          <w:color w:val="auto"/>
          <w:szCs w:val="21"/>
          <w:highlight w:val="none"/>
          <w:u w:val="single"/>
        </w:rPr>
        <w:t xml:space="preserve">   </w:t>
      </w:r>
      <w:r>
        <w:rPr>
          <w:rFonts w:hint="eastAsia" w:ascii="宋体" w:hAnsi="宋体" w:cs="仿宋"/>
          <w:color w:val="auto"/>
          <w:szCs w:val="21"/>
          <w:highlight w:val="none"/>
        </w:rPr>
        <w:t>日</w:t>
      </w:r>
      <w:r>
        <w:rPr>
          <w:rFonts w:hint="eastAsia" w:ascii="宋体" w:hAnsi="宋体" w:cs="宋体"/>
          <w:color w:val="auto"/>
          <w:szCs w:val="21"/>
          <w:highlight w:val="none"/>
          <w:u w:val="single"/>
        </w:rPr>
        <w:t>17:</w:t>
      </w:r>
      <w:r>
        <w:rPr>
          <w:rFonts w:hint="eastAsia" w:ascii="宋体" w:hAnsi="宋体" w:cs="宋体"/>
          <w:color w:val="auto"/>
          <w:szCs w:val="21"/>
          <w:highlight w:val="none"/>
          <w:u w:val="single"/>
          <w:lang w:val="en-US" w:eastAsia="zh-CN"/>
        </w:rPr>
        <w:t>0</w:t>
      </w:r>
      <w:r>
        <w:rPr>
          <w:rFonts w:hint="eastAsia" w:ascii="宋体" w:hAnsi="宋体" w:cs="宋体"/>
          <w:color w:val="auto"/>
          <w:szCs w:val="21"/>
          <w:highlight w:val="none"/>
          <w:u w:val="single"/>
        </w:rPr>
        <w:t>0</w:t>
      </w:r>
      <w:r>
        <w:rPr>
          <w:rFonts w:hint="eastAsia" w:ascii="宋体" w:hAnsi="宋体" w:cs="仿宋"/>
          <w:color w:val="auto"/>
          <w:szCs w:val="21"/>
          <w:highlight w:val="none"/>
        </w:rPr>
        <w:t>时前缴纳。缴纳方式为：</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1、投标人基本账户开具的银行票据，即汇票、电汇、转账支票等(不包括现金）。保证金缴入账户：账户一：开户单位名称：绍兴市公共资源交易中心保证金专户，开户行:绍兴银行营业部；账号：</w:t>
      </w:r>
      <w:r>
        <w:rPr>
          <w:rFonts w:hint="eastAsia" w:ascii="宋体" w:hAnsi="宋体" w:cs="宋体"/>
          <w:b/>
          <w:color w:val="auto"/>
          <w:szCs w:val="21"/>
          <w:highlight w:val="none"/>
          <w:u w:val="single"/>
        </w:rPr>
        <w:t>6224861565791453608</w:t>
      </w:r>
      <w:r>
        <w:rPr>
          <w:rFonts w:hint="eastAsia" w:ascii="宋体" w:hAnsi="宋体" w:cs="仿宋"/>
          <w:color w:val="auto"/>
          <w:szCs w:val="21"/>
          <w:highlight w:val="none"/>
        </w:rPr>
        <w:t>；账户二：开户单位名称：绍兴市公共资源交易中心保证金专户，开户行:中信银行绍兴城东支行；账号：</w:t>
      </w:r>
      <w:r>
        <w:rPr>
          <w:rFonts w:hint="eastAsia" w:ascii="宋体" w:hAnsi="宋体" w:cs="宋体"/>
          <w:b/>
          <w:color w:val="auto"/>
          <w:szCs w:val="21"/>
          <w:highlight w:val="none"/>
          <w:u w:val="single"/>
        </w:rPr>
        <w:t>3110810043379765867</w:t>
      </w:r>
      <w:r>
        <w:rPr>
          <w:rFonts w:hint="eastAsia" w:ascii="宋体" w:hAnsi="宋体" w:cs="仿宋"/>
          <w:color w:val="auto"/>
          <w:szCs w:val="21"/>
          <w:highlight w:val="none"/>
        </w:rPr>
        <w:t>；投标人可自主选择以上账户之一缴纳投标保证金。</w:t>
      </w:r>
    </w:p>
    <w:p>
      <w:pPr>
        <w:widowControl/>
        <w:spacing w:line="360" w:lineRule="exact"/>
        <w:ind w:firstLine="420" w:firstLineChars="200"/>
        <w:rPr>
          <w:rFonts w:ascii="宋体" w:hAnsi="宋体" w:cs="仿宋"/>
          <w:color w:val="auto"/>
          <w:szCs w:val="21"/>
          <w:highlight w:val="none"/>
        </w:rPr>
      </w:pPr>
      <w:r>
        <w:rPr>
          <w:rFonts w:hint="eastAsia" w:ascii="宋体" w:hAnsi="宋体" w:cs="仿宋"/>
          <w:color w:val="auto"/>
          <w:szCs w:val="21"/>
          <w:highlight w:val="none"/>
        </w:rPr>
        <w:t>2、招标人接受绍兴市招标投标协会出具的“投标保证金联保证明”作为投标保证金缴纳凭证，投标人不用另行提供。</w:t>
      </w:r>
    </w:p>
    <w:p>
      <w:pPr>
        <w:widowControl/>
        <w:spacing w:line="340" w:lineRule="exact"/>
        <w:ind w:firstLine="420" w:firstLineChars="200"/>
        <w:rPr>
          <w:rFonts w:ascii="宋体" w:hAnsi="宋体"/>
          <w:bCs/>
          <w:color w:val="auto"/>
          <w:spacing w:val="-2"/>
          <w:szCs w:val="21"/>
          <w:highlight w:val="none"/>
        </w:rPr>
      </w:pPr>
      <w:r>
        <w:rPr>
          <w:rFonts w:hint="eastAsia" w:ascii="宋体" w:hAnsi="宋体" w:cs="仿宋"/>
          <w:color w:val="auto"/>
          <w:szCs w:val="21"/>
          <w:highlight w:val="none"/>
        </w:rPr>
        <w:t>3、招标人接受投标保证金电子保险保函。投标人自行在电子招投标交易平台（</w:t>
      </w:r>
      <w:r>
        <w:rPr>
          <w:color w:val="auto"/>
          <w:highlight w:val="none"/>
        </w:rPr>
        <w:fldChar w:fldCharType="begin"/>
      </w:r>
      <w:r>
        <w:rPr>
          <w:color w:val="auto"/>
          <w:highlight w:val="none"/>
        </w:rPr>
        <w:instrText xml:space="preserve"> HYPERLINK "http://p.ggb.sx.gov.cn:6081/TPBidder/" </w:instrText>
      </w:r>
      <w:r>
        <w:rPr>
          <w:color w:val="auto"/>
          <w:highlight w:val="none"/>
        </w:rPr>
        <w:fldChar w:fldCharType="separate"/>
      </w:r>
      <w:r>
        <w:rPr>
          <w:rStyle w:val="35"/>
          <w:rFonts w:hint="eastAsia" w:ascii="宋体" w:hAnsi="宋体"/>
          <w:color w:val="auto"/>
          <w:szCs w:val="21"/>
          <w:highlight w:val="none"/>
        </w:rPr>
        <w:t>http://p.ggb.sx.gov.cn:6081/TPBidder/</w:t>
      </w:r>
      <w:r>
        <w:rPr>
          <w:rStyle w:val="35"/>
          <w:rFonts w:hint="eastAsia" w:ascii="宋体" w:hAnsi="宋体"/>
          <w:color w:val="auto"/>
          <w:szCs w:val="21"/>
          <w:highlight w:val="none"/>
        </w:rPr>
        <w:fldChar w:fldCharType="end"/>
      </w:r>
      <w:r>
        <w:rPr>
          <w:rFonts w:hint="eastAsia" w:ascii="宋体" w:hAnsi="宋体" w:cs="仿宋"/>
          <w:color w:val="auto"/>
          <w:szCs w:val="21"/>
          <w:highlight w:val="none"/>
        </w:rPr>
        <w:t>）中自主选择办理。保险保函费用必须从投标人企业</w:t>
      </w:r>
      <w:r>
        <w:rPr>
          <w:rFonts w:hint="eastAsia" w:ascii="宋体" w:hAnsi="宋体" w:cs="仿宋"/>
          <w:color w:val="auto"/>
          <w:szCs w:val="21"/>
          <w:highlight w:val="none"/>
          <w:shd w:val="clear" w:color="auto" w:fill="FFFFFF"/>
        </w:rPr>
        <w:t>基本账户转出，并在投标保证金缴纳截止时间前</w:t>
      </w:r>
      <w:r>
        <w:rPr>
          <w:rFonts w:hint="eastAsia" w:ascii="宋体" w:hAnsi="宋体" w:cs="仿宋"/>
          <w:color w:val="auto"/>
          <w:szCs w:val="21"/>
          <w:highlight w:val="none"/>
        </w:rPr>
        <w:t>办妥保险保函手续</w:t>
      </w:r>
      <w:r>
        <w:rPr>
          <w:rFonts w:ascii="宋体" w:hAnsi="宋体"/>
          <w:bCs/>
          <w:color w:val="auto"/>
          <w:spacing w:val="-2"/>
          <w:szCs w:val="21"/>
          <w:highlight w:val="none"/>
        </w:rPr>
        <w:t>。</w:t>
      </w:r>
    </w:p>
    <w:p>
      <w:pPr>
        <w:widowControl/>
        <w:spacing w:line="340" w:lineRule="exact"/>
        <w:rPr>
          <w:rFonts w:ascii="宋体" w:hAnsi="宋体" w:cs="Arial"/>
          <w:b/>
          <w:color w:val="auto"/>
          <w:szCs w:val="21"/>
          <w:highlight w:val="none"/>
        </w:rPr>
      </w:pPr>
      <w:r>
        <w:rPr>
          <w:rFonts w:ascii="宋体" w:hAnsi="宋体" w:cs="Arial"/>
          <w:b/>
          <w:color w:val="auto"/>
          <w:szCs w:val="21"/>
          <w:highlight w:val="none"/>
        </w:rPr>
        <w:t>6.其他有关内容</w:t>
      </w:r>
    </w:p>
    <w:p>
      <w:pPr>
        <w:widowControl/>
        <w:spacing w:line="340" w:lineRule="exact"/>
        <w:rPr>
          <w:rFonts w:ascii="宋体" w:hAnsi="宋体" w:cs="Arial"/>
          <w:color w:val="auto"/>
          <w:szCs w:val="21"/>
          <w:highlight w:val="none"/>
        </w:rPr>
      </w:pPr>
      <w:r>
        <w:rPr>
          <w:rFonts w:ascii="宋体" w:hAnsi="宋体" w:cs="Arial"/>
          <w:color w:val="auto"/>
          <w:szCs w:val="21"/>
          <w:highlight w:val="none"/>
        </w:rPr>
        <w:t>6.1评标入围方法：</w:t>
      </w:r>
      <w:r>
        <w:rPr>
          <w:rFonts w:hint="eastAsia" w:ascii="宋体" w:hAnsi="宋体" w:cs="Arial"/>
          <w:b/>
          <w:iCs/>
          <w:color w:val="auto"/>
          <w:szCs w:val="21"/>
          <w:highlight w:val="none"/>
          <w:u w:val="single"/>
        </w:rPr>
        <w:t>全部入围</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6.2评标方法：</w:t>
      </w:r>
      <w:r>
        <w:rPr>
          <w:rFonts w:hint="eastAsia" w:ascii="宋体" w:hAnsi="宋体" w:cs="Arial"/>
          <w:b/>
          <w:iCs/>
          <w:color w:val="auto"/>
          <w:szCs w:val="21"/>
          <w:highlight w:val="none"/>
          <w:u w:val="single"/>
        </w:rPr>
        <w:t>综合评估法</w:t>
      </w:r>
      <w:r>
        <w:rPr>
          <w:rFonts w:ascii="宋体" w:hAnsi="宋体" w:cs="Arial"/>
          <w:color w:val="auto"/>
          <w:szCs w:val="21"/>
          <w:highlight w:val="none"/>
        </w:rPr>
        <w:t>。</w:t>
      </w:r>
    </w:p>
    <w:p>
      <w:pPr>
        <w:widowControl/>
        <w:spacing w:line="340" w:lineRule="exact"/>
        <w:rPr>
          <w:rFonts w:ascii="宋体" w:hAnsi="宋体" w:cs="Arial"/>
          <w:color w:val="auto"/>
          <w:szCs w:val="21"/>
          <w:highlight w:val="none"/>
        </w:rPr>
      </w:pPr>
      <w:r>
        <w:rPr>
          <w:rFonts w:ascii="宋体" w:hAnsi="宋体" w:cs="Arial"/>
          <w:color w:val="auto"/>
          <w:szCs w:val="21"/>
          <w:highlight w:val="none"/>
        </w:rPr>
        <w:t>6.3中标方式：</w:t>
      </w:r>
      <w:r>
        <w:rPr>
          <w:rFonts w:hint="eastAsia" w:ascii="宋体" w:hAnsi="宋体" w:cs="Arial"/>
          <w:b/>
          <w:iCs/>
          <w:color w:val="auto"/>
          <w:szCs w:val="21"/>
          <w:highlight w:val="none"/>
          <w:u w:val="single"/>
        </w:rPr>
        <w:t>最高分中标</w:t>
      </w:r>
      <w:r>
        <w:rPr>
          <w:rFonts w:ascii="宋体" w:hAnsi="宋体" w:cs="Arial"/>
          <w:color w:val="auto"/>
          <w:szCs w:val="21"/>
          <w:highlight w:val="none"/>
        </w:rPr>
        <w:t>。</w:t>
      </w:r>
    </w:p>
    <w:p>
      <w:pPr>
        <w:widowControl/>
        <w:spacing w:line="340" w:lineRule="exact"/>
        <w:rPr>
          <w:rFonts w:ascii="宋体" w:hAnsi="宋体" w:cs="Arial"/>
          <w:color w:val="auto"/>
          <w:szCs w:val="21"/>
          <w:highlight w:val="none"/>
          <w:u w:val="single"/>
        </w:rPr>
      </w:pPr>
      <w:r>
        <w:rPr>
          <w:rFonts w:ascii="宋体" w:hAnsi="宋体" w:cs="Arial"/>
          <w:color w:val="auto"/>
          <w:szCs w:val="21"/>
          <w:highlight w:val="none"/>
        </w:rPr>
        <w:t>6.</w:t>
      </w:r>
      <w:r>
        <w:rPr>
          <w:rFonts w:hint="eastAsia" w:ascii="宋体" w:hAnsi="宋体" w:cs="Arial"/>
          <w:color w:val="auto"/>
          <w:szCs w:val="21"/>
          <w:highlight w:val="none"/>
        </w:rPr>
        <w:t>4投标文件的递交</w:t>
      </w:r>
      <w:r>
        <w:rPr>
          <w:rFonts w:ascii="宋体" w:hAnsi="宋体" w:cs="Arial"/>
          <w:color w:val="auto"/>
          <w:szCs w:val="21"/>
          <w:highlight w:val="none"/>
        </w:rPr>
        <w:t>：</w:t>
      </w:r>
      <w:r>
        <w:rPr>
          <w:rFonts w:hint="eastAsia" w:ascii="宋体" w:hAnsi="宋体" w:cs="Arial"/>
          <w:color w:val="auto"/>
          <w:szCs w:val="21"/>
          <w:highlight w:val="none"/>
        </w:rPr>
        <w:t>投标文件递交的截止时间为</w:t>
      </w:r>
      <w:r>
        <w:rPr>
          <w:rFonts w:hint="eastAsia" w:ascii="宋体" w:hAnsi="宋体" w:cs="Arial"/>
          <w:b/>
          <w:color w:val="auto"/>
          <w:szCs w:val="21"/>
          <w:highlight w:val="none"/>
          <w:u w:val="single"/>
        </w:rPr>
        <w:t>2021</w:t>
      </w:r>
      <w:r>
        <w:rPr>
          <w:rFonts w:hint="eastAsia"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月</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日</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时，</w:t>
      </w:r>
      <w:r>
        <w:rPr>
          <w:rFonts w:hint="eastAsia"/>
          <w:color w:val="auto"/>
          <w:spacing w:val="-12"/>
          <w:szCs w:val="21"/>
          <w:highlight w:val="none"/>
        </w:rPr>
        <w:t>地点为</w:t>
      </w:r>
      <w:r>
        <w:rPr>
          <w:rFonts w:hint="eastAsia" w:ascii="宋体" w:hAnsi="宋体" w:cs="Arial"/>
          <w:color w:val="auto"/>
          <w:szCs w:val="21"/>
          <w:highlight w:val="none"/>
          <w:u w:val="single"/>
        </w:rPr>
        <w:t>绍兴市公共资源交易中心四楼指定的开标室。</w:t>
      </w:r>
    </w:p>
    <w:p>
      <w:pPr>
        <w:pStyle w:val="23"/>
        <w:shd w:val="clear" w:color="auto" w:fill="FFFFFF"/>
        <w:spacing w:before="0" w:beforeAutospacing="0" w:after="0" w:afterAutospacing="0" w:line="340" w:lineRule="exact"/>
        <w:rPr>
          <w:rFonts w:ascii="宋体" w:hAnsi="宋体" w:cs="仿宋"/>
          <w:color w:val="auto"/>
          <w:sz w:val="21"/>
          <w:szCs w:val="21"/>
          <w:highlight w:val="none"/>
        </w:rPr>
      </w:pPr>
      <w:r>
        <w:rPr>
          <w:rFonts w:ascii="宋体" w:hAnsi="宋体" w:cs="仿宋"/>
          <w:color w:val="auto"/>
          <w:sz w:val="21"/>
          <w:szCs w:val="21"/>
          <w:highlight w:val="none"/>
        </w:rPr>
        <w:t>6.5</w:t>
      </w:r>
      <w:r>
        <w:rPr>
          <w:rFonts w:hint="eastAsia" w:ascii="宋体" w:hAnsi="宋体" w:cs="仿宋"/>
          <w:color w:val="auto"/>
          <w:sz w:val="21"/>
          <w:szCs w:val="21"/>
          <w:highlight w:val="none"/>
        </w:rPr>
        <w:t>本项目采用“不见面”开标方式，不强制要求投标人参加现场开标会。</w:t>
      </w:r>
    </w:p>
    <w:p>
      <w:pPr>
        <w:pStyle w:val="23"/>
        <w:shd w:val="clear" w:color="auto" w:fill="FFFFFF"/>
        <w:spacing w:beforeAutospacing="0" w:afterAutospacing="0" w:line="340" w:lineRule="exact"/>
        <w:rPr>
          <w:rFonts w:ascii="宋体" w:hAnsi="宋体" w:cs="仿宋"/>
          <w:color w:val="auto"/>
          <w:sz w:val="21"/>
          <w:szCs w:val="21"/>
          <w:highlight w:val="none"/>
        </w:rPr>
      </w:pPr>
      <w:r>
        <w:rPr>
          <w:rFonts w:ascii="宋体" w:hAnsi="宋体" w:eastAsia="微软雅黑" w:cs="仿宋"/>
          <w:color w:val="auto"/>
          <w:sz w:val="21"/>
          <w:szCs w:val="21"/>
          <w:highlight w:val="none"/>
          <w:u w:val="single"/>
          <w:shd w:val="clear" w:color="auto" w:fill="FFFFFF"/>
        </w:rPr>
        <w:t>6.6</w:t>
      </w:r>
      <w:r>
        <w:rPr>
          <w:rFonts w:hint="eastAsia" w:ascii="宋体" w:hAnsi="宋体" w:cs="仿宋"/>
          <w:color w:val="auto"/>
          <w:sz w:val="21"/>
          <w:szCs w:val="21"/>
          <w:highlight w:val="none"/>
          <w:u w:val="single"/>
          <w:shd w:val="clear" w:color="auto" w:fill="FFFFFF"/>
        </w:rPr>
        <w:t>本项目资格预审文件和招标文件发布截止时间、递交资格预审申请文件截止时间、投标截止时间、有关公示（公告）截止时间、投诉有效期截止时间如遇国家法定休假日的，则自动顺延至法定休假日后第</w:t>
      </w:r>
      <w:r>
        <w:rPr>
          <w:rFonts w:ascii="宋体" w:hAnsi="宋体" w:eastAsia="微软雅黑" w:cs="仿宋"/>
          <w:color w:val="auto"/>
          <w:sz w:val="21"/>
          <w:szCs w:val="21"/>
          <w:highlight w:val="none"/>
          <w:u w:val="single"/>
          <w:shd w:val="clear" w:color="auto" w:fill="FFFFFF"/>
        </w:rPr>
        <w:t>1</w:t>
      </w:r>
      <w:r>
        <w:rPr>
          <w:rFonts w:hint="eastAsia" w:ascii="宋体" w:hAnsi="宋体" w:cs="仿宋"/>
          <w:color w:val="auto"/>
          <w:sz w:val="21"/>
          <w:szCs w:val="21"/>
          <w:highlight w:val="none"/>
          <w:u w:val="single"/>
          <w:shd w:val="clear" w:color="auto" w:fill="FFFFFF"/>
        </w:rPr>
        <w:t>个工作日。</w:t>
      </w:r>
    </w:p>
    <w:p>
      <w:pPr>
        <w:widowControl/>
        <w:spacing w:line="340" w:lineRule="exact"/>
        <w:rPr>
          <w:rFonts w:ascii="宋体" w:hAnsi="宋体" w:cs="Arial"/>
          <w:color w:val="auto"/>
          <w:szCs w:val="21"/>
          <w:highlight w:val="none"/>
        </w:rPr>
      </w:pPr>
      <w:r>
        <w:rPr>
          <w:rFonts w:hint="eastAsia" w:ascii="宋体" w:hAnsi="宋体" w:cs="Arial"/>
          <w:color w:val="auto"/>
          <w:szCs w:val="21"/>
          <w:highlight w:val="none"/>
        </w:rPr>
        <w:t xml:space="preserve">7.发布公告的媒介    </w:t>
      </w:r>
    </w:p>
    <w:p>
      <w:pPr>
        <w:widowControl/>
        <w:spacing w:line="340" w:lineRule="exact"/>
        <w:ind w:firstLine="420" w:firstLineChars="200"/>
        <w:rPr>
          <w:rFonts w:ascii="宋体" w:hAnsi="宋体" w:cs="Arial"/>
          <w:color w:val="auto"/>
          <w:szCs w:val="21"/>
          <w:highlight w:val="none"/>
        </w:rPr>
      </w:pPr>
      <w:r>
        <w:rPr>
          <w:rFonts w:ascii="宋体" w:hAnsi="宋体" w:cs="Arial"/>
          <w:color w:val="auto"/>
          <w:szCs w:val="21"/>
          <w:highlight w:val="none"/>
        </w:rPr>
        <w:t xml:space="preserve">本次招标公告同时在 </w:t>
      </w:r>
      <w:r>
        <w:rPr>
          <w:rFonts w:ascii="宋体" w:hAnsi="宋体" w:cs="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hint="eastAsia" w:ascii="宋体" w:hAnsi="宋体" w:cs="宋体"/>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宋体"/>
          <w:i/>
          <w:color w:val="auto"/>
          <w:szCs w:val="21"/>
          <w:highlight w:val="none"/>
          <w:u w:val="single"/>
        </w:rPr>
        <w:t xml:space="preserve"> </w:t>
      </w:r>
      <w:r>
        <w:rPr>
          <w:rFonts w:ascii="宋体" w:hAnsi="宋体" w:cs="Arial"/>
          <w:color w:val="auto"/>
          <w:szCs w:val="21"/>
          <w:highlight w:val="none"/>
          <w:u w:val="single"/>
        </w:rPr>
        <w:t xml:space="preserve">  </w:t>
      </w:r>
      <w:r>
        <w:rPr>
          <w:rFonts w:ascii="宋体" w:hAnsi="宋体" w:cs="Arial"/>
          <w:color w:val="auto"/>
          <w:szCs w:val="21"/>
          <w:highlight w:val="none"/>
        </w:rPr>
        <w:t>（发布公告的媒介名称）上发布。</w:t>
      </w:r>
    </w:p>
    <w:p>
      <w:pPr>
        <w:widowControl/>
        <w:spacing w:line="340" w:lineRule="exact"/>
        <w:rPr>
          <w:rFonts w:ascii="宋体" w:hAnsi="宋体" w:cs="Arial"/>
          <w:b/>
          <w:color w:val="auto"/>
          <w:szCs w:val="21"/>
          <w:highlight w:val="none"/>
        </w:rPr>
      </w:pPr>
      <w:r>
        <w:rPr>
          <w:rFonts w:hint="eastAsia" w:ascii="宋体" w:hAnsi="宋体" w:cs="Arial"/>
          <w:b/>
          <w:color w:val="auto"/>
          <w:szCs w:val="21"/>
          <w:highlight w:val="none"/>
        </w:rPr>
        <w:t>8.</w:t>
      </w:r>
      <w:r>
        <w:rPr>
          <w:rFonts w:ascii="宋体" w:hAnsi="宋体" w:cs="Arial"/>
          <w:b/>
          <w:color w:val="auto"/>
          <w:szCs w:val="21"/>
          <w:highlight w:val="none"/>
        </w:rPr>
        <w:t>若本公告相关内容与正式发出的招标文件不一致，以正式发出的招标文件为准。</w:t>
      </w:r>
    </w:p>
    <w:p>
      <w:pPr>
        <w:widowControl/>
        <w:tabs>
          <w:tab w:val="left" w:pos="2694"/>
        </w:tabs>
        <w:spacing w:line="340" w:lineRule="exact"/>
        <w:rPr>
          <w:rFonts w:ascii="宋体" w:hAnsi="宋体" w:cs="Arial"/>
          <w:color w:val="auto"/>
          <w:szCs w:val="21"/>
          <w:highlight w:val="none"/>
        </w:rPr>
      </w:pPr>
      <w:r>
        <w:rPr>
          <w:rFonts w:hint="eastAsia" w:ascii="宋体" w:hAnsi="宋体" w:cs="Arial"/>
          <w:color w:val="auto"/>
          <w:szCs w:val="21"/>
          <w:highlight w:val="none"/>
        </w:rPr>
        <w:t xml:space="preserve">9.联系方式 </w:t>
      </w:r>
    </w:p>
    <w:p>
      <w:pPr>
        <w:widowControl/>
        <w:tabs>
          <w:tab w:val="left" w:pos="2694"/>
        </w:tabs>
        <w:spacing w:line="400" w:lineRule="exact"/>
        <w:ind w:right="-134" w:rightChars="-64"/>
        <w:rPr>
          <w:rFonts w:ascii="宋体" w:hAnsi="宋体" w:cs="Arial"/>
          <w:color w:val="auto"/>
          <w:szCs w:val="21"/>
          <w:highlight w:val="none"/>
        </w:rPr>
      </w:pPr>
      <w:r>
        <w:rPr>
          <w:rFonts w:ascii="宋体" w:hAnsi="宋体" w:cs="Arial"/>
          <w:color w:val="auto"/>
          <w:szCs w:val="21"/>
          <w:highlight w:val="none"/>
        </w:rPr>
        <w:t>招标人：</w:t>
      </w:r>
      <w:r>
        <w:rPr>
          <w:rFonts w:hint="eastAsia" w:ascii="宋体" w:hAnsi="宋体" w:cs="宋体"/>
          <w:color w:val="auto"/>
          <w:szCs w:val="21"/>
          <w:highlight w:val="none"/>
          <w:u w:val="single"/>
        </w:rPr>
        <w:t>浙江精工钢结构集团有限公司</w:t>
      </w:r>
      <w:r>
        <w:rPr>
          <w:rFonts w:hint="eastAsia" w:ascii="宋体" w:hAnsi="宋体" w:cs="Arial"/>
          <w:b/>
          <w:i/>
          <w:color w:val="auto"/>
          <w:szCs w:val="21"/>
          <w:highlight w:val="none"/>
        </w:rPr>
        <w:t xml:space="preserve">         </w:t>
      </w: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地  址：</w:t>
      </w:r>
      <w:r>
        <w:rPr>
          <w:rFonts w:hint="eastAsia" w:ascii="宋体" w:hAnsi="宋体" w:cs="宋体"/>
          <w:color w:val="auto"/>
          <w:szCs w:val="21"/>
          <w:highlight w:val="none"/>
          <w:u w:val="single"/>
        </w:rPr>
        <w:t>绍兴市柯桥区柯桥经济开发区鉴湖路</w:t>
      </w:r>
      <w:r>
        <w:rPr>
          <w:rFonts w:hint="eastAsia" w:ascii="宋体" w:hAnsi="宋体" w:cs="Arial"/>
          <w:color w:val="auto"/>
          <w:szCs w:val="21"/>
          <w:highlight w:val="none"/>
        </w:rPr>
        <w:t xml:space="preserve">   </w:t>
      </w:r>
      <w:r>
        <w:rPr>
          <w:rFonts w:ascii="宋体" w:hAnsi="宋体" w:cs="Arial"/>
          <w:color w:val="auto"/>
          <w:szCs w:val="21"/>
          <w:highlight w:val="none"/>
        </w:rPr>
        <w:t>地 址：</w:t>
      </w:r>
      <w:r>
        <w:rPr>
          <w:rFonts w:hint="eastAsia" w:ascii="宋体" w:hAnsi="宋体" w:cs="宋体"/>
          <w:color w:val="auto"/>
          <w:szCs w:val="21"/>
          <w:highlight w:val="none"/>
          <w:u w:val="single"/>
        </w:rPr>
        <w:t>绍兴市解放大道111号中石化大楼7楼</w:t>
      </w:r>
    </w:p>
    <w:p>
      <w:pPr>
        <w:widowControl/>
        <w:tabs>
          <w:tab w:val="left" w:pos="2694"/>
        </w:tabs>
        <w:spacing w:line="400" w:lineRule="exact"/>
        <w:rPr>
          <w:rFonts w:ascii="宋体" w:hAnsi="宋体" w:cs="Arial"/>
          <w:color w:val="auto"/>
          <w:szCs w:val="21"/>
          <w:highlight w:val="none"/>
        </w:rPr>
      </w:pPr>
      <w:r>
        <w:rPr>
          <w:rFonts w:ascii="宋体" w:hAnsi="宋体" w:cs="Arial"/>
          <w:color w:val="auto"/>
          <w:szCs w:val="21"/>
          <w:highlight w:val="none"/>
        </w:rPr>
        <w:t xml:space="preserve">联系人： </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王晓文   </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联 系 人：</w:t>
      </w:r>
      <w:r>
        <w:rPr>
          <w:rFonts w:ascii="宋体" w:hAnsi="宋体" w:cs="Arial"/>
          <w:color w:val="auto"/>
          <w:szCs w:val="21"/>
          <w:highlight w:val="none"/>
          <w:u w:val="single"/>
        </w:rPr>
        <w:t xml:space="preserve">  </w:t>
      </w:r>
      <w:r>
        <w:rPr>
          <w:rFonts w:hint="eastAsia" w:ascii="宋体" w:hAnsi="宋体" w:cs="Arial"/>
          <w:color w:val="auto"/>
          <w:szCs w:val="21"/>
          <w:highlight w:val="none"/>
          <w:u w:val="single"/>
        </w:rPr>
        <w:t>张雅美</w:t>
      </w:r>
    </w:p>
    <w:p>
      <w:pPr>
        <w:widowControl/>
        <w:spacing w:line="400" w:lineRule="exact"/>
        <w:rPr>
          <w:rFonts w:ascii="宋体" w:hAnsi="宋体" w:cs="宋体"/>
          <w:color w:val="auto"/>
          <w:szCs w:val="21"/>
          <w:highlight w:val="none"/>
          <w:u w:val="single"/>
        </w:rPr>
      </w:pP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hint="eastAsia" w:ascii="宋体" w:hAnsi="宋体" w:cs="宋体"/>
          <w:color w:val="auto"/>
          <w:szCs w:val="21"/>
          <w:highlight w:val="none"/>
          <w:u w:val="single"/>
        </w:rPr>
        <w:t xml:space="preserve">  13971064493   </w:t>
      </w:r>
      <w:r>
        <w:rPr>
          <w:rFonts w:hint="eastAsia" w:ascii="宋体" w:hAnsi="宋体"/>
          <w:i/>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 xml:space="preserve"> </w:t>
      </w:r>
      <w:r>
        <w:rPr>
          <w:rFonts w:hint="eastAsia" w:ascii="宋体" w:hAnsi="宋体" w:cs="Arial"/>
          <w:color w:val="auto"/>
          <w:szCs w:val="21"/>
          <w:highlight w:val="none"/>
        </w:rPr>
        <w:t xml:space="preserve">        </w:t>
      </w:r>
      <w:r>
        <w:rPr>
          <w:rFonts w:ascii="宋体" w:hAnsi="宋体" w:cs="Arial"/>
          <w:color w:val="auto"/>
          <w:szCs w:val="21"/>
          <w:highlight w:val="none"/>
        </w:rPr>
        <w:t>电    话：</w:t>
      </w:r>
      <w:r>
        <w:rPr>
          <w:rFonts w:ascii="宋体" w:hAnsi="宋体" w:cs="Arial"/>
          <w:color w:val="auto"/>
          <w:szCs w:val="21"/>
          <w:highlight w:val="none"/>
          <w:u w:val="single"/>
        </w:rPr>
        <w:t xml:space="preserve"> </w:t>
      </w:r>
      <w:r>
        <w:rPr>
          <w:rFonts w:ascii="宋体" w:hAnsi="宋体" w:cs="宋体"/>
          <w:color w:val="auto"/>
          <w:szCs w:val="21"/>
          <w:highlight w:val="none"/>
          <w:u w:val="single"/>
        </w:rPr>
        <w:t>0575-85209901</w:t>
      </w:r>
      <w:r>
        <w:rPr>
          <w:rFonts w:hint="eastAsia" w:ascii="宋体" w:hAnsi="宋体" w:cs="宋体"/>
          <w:color w:val="auto"/>
          <w:szCs w:val="21"/>
          <w:highlight w:val="none"/>
          <w:u w:val="single"/>
        </w:rPr>
        <w:t xml:space="preserve">、13957571013    </w:t>
      </w:r>
    </w:p>
    <w:p>
      <w:pPr>
        <w:widowControl/>
        <w:spacing w:line="400" w:lineRule="exact"/>
        <w:rPr>
          <w:rFonts w:ascii="宋体" w:hAnsi="宋体" w:cs="宋体"/>
          <w:b/>
          <w:color w:val="auto"/>
          <w:szCs w:val="21"/>
          <w:highlight w:val="none"/>
          <w:u w:val="single"/>
        </w:rPr>
      </w:pPr>
    </w:p>
    <w:p>
      <w:pPr>
        <w:widowControl/>
        <w:spacing w:line="400" w:lineRule="exact"/>
        <w:rPr>
          <w:rFonts w:ascii="宋体" w:hAnsi="宋体" w:cs="Arial"/>
          <w:color w:val="auto"/>
          <w:szCs w:val="21"/>
          <w:highlight w:val="none"/>
        </w:rPr>
      </w:pPr>
    </w:p>
    <w:p>
      <w:pPr>
        <w:widowControl/>
        <w:spacing w:line="400" w:lineRule="exact"/>
        <w:ind w:left="4139" w:leftChars="1971"/>
        <w:jc w:val="right"/>
        <w:rPr>
          <w:rFonts w:ascii="宋体" w:hAnsi="宋体" w:cs="Arial"/>
          <w:b/>
          <w:i/>
          <w:color w:val="auto"/>
          <w:szCs w:val="21"/>
          <w:highlight w:val="none"/>
          <w:u w:val="single"/>
        </w:rPr>
      </w:pPr>
      <w:r>
        <w:rPr>
          <w:rFonts w:ascii="宋体" w:hAnsi="宋体" w:cs="Arial"/>
          <w:color w:val="auto"/>
          <w:szCs w:val="21"/>
          <w:highlight w:val="none"/>
        </w:rPr>
        <w:t>招标人：</w:t>
      </w:r>
      <w:r>
        <w:rPr>
          <w:rFonts w:hint="eastAsia"/>
          <w:color w:val="auto"/>
          <w:szCs w:val="21"/>
          <w:highlight w:val="none"/>
          <w:u w:val="single"/>
        </w:rPr>
        <w:t>浙江精工钢结构集团有限公司</w:t>
      </w:r>
    </w:p>
    <w:p>
      <w:pPr>
        <w:widowControl/>
        <w:spacing w:line="400" w:lineRule="exact"/>
        <w:ind w:left="4139" w:leftChars="1971"/>
        <w:jc w:val="right"/>
        <w:rPr>
          <w:rFonts w:ascii="宋体" w:hAnsi="宋体" w:cs="Arial"/>
          <w:color w:val="auto"/>
          <w:szCs w:val="21"/>
          <w:highlight w:val="none"/>
        </w:rPr>
      </w:pPr>
      <w:r>
        <w:rPr>
          <w:rFonts w:ascii="宋体" w:hAnsi="宋体" w:cs="Arial"/>
          <w:color w:val="auto"/>
          <w:szCs w:val="21"/>
          <w:highlight w:val="none"/>
        </w:rPr>
        <w:t>招标代理机构：</w:t>
      </w:r>
      <w:r>
        <w:rPr>
          <w:rFonts w:hint="eastAsia" w:ascii="宋体" w:hAnsi="宋体" w:cs="宋体"/>
          <w:color w:val="auto"/>
          <w:szCs w:val="21"/>
          <w:highlight w:val="none"/>
          <w:u w:val="single"/>
        </w:rPr>
        <w:t>浙江明业项目管理有限公司</w:t>
      </w:r>
    </w:p>
    <w:p>
      <w:pPr>
        <w:widowControl/>
        <w:tabs>
          <w:tab w:val="left" w:pos="2694"/>
        </w:tabs>
        <w:spacing w:line="340" w:lineRule="exact"/>
        <w:ind w:right="-134" w:rightChars="-64"/>
        <w:jc w:val="right"/>
        <w:rPr>
          <w:rFonts w:ascii="宋体" w:hAnsi="宋体" w:cs="Arial"/>
          <w:color w:val="auto"/>
          <w:szCs w:val="21"/>
          <w:highlight w:val="none"/>
        </w:rPr>
      </w:pPr>
      <w:r>
        <w:rPr>
          <w:rFonts w:hint="eastAsia" w:ascii="宋体" w:hAnsi="宋体" w:cs="Arial"/>
          <w:color w:val="auto"/>
          <w:szCs w:val="21"/>
          <w:highlight w:val="none"/>
          <w:u w:val="single"/>
        </w:rPr>
        <w:t>2021</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hint="eastAsia" w:ascii="宋体" w:hAnsi="宋体" w:cs="宋体"/>
          <w:i/>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jc w:val="righ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u w:val="single"/>
        </w:rPr>
      </w:pPr>
      <w:r>
        <w:rPr>
          <w:rFonts w:hint="eastAsia" w:ascii="宋体" w:hAnsi="宋体" w:cs="Arial"/>
          <w:color w:val="auto"/>
          <w:szCs w:val="21"/>
          <w:highlight w:val="none"/>
        </w:rPr>
        <w:t>招标管理机构意见：                           绍兴市公共资源交易中心意见：</w:t>
      </w:r>
    </w:p>
    <w:p>
      <w:pPr>
        <w:widowControl/>
        <w:spacing w:line="360" w:lineRule="exact"/>
        <w:ind w:firstLine="210" w:firstLineChars="100"/>
        <w:rPr>
          <w:rFonts w:ascii="宋体" w:hAnsi="宋体" w:cs="Arial"/>
          <w:color w:val="auto"/>
          <w:szCs w:val="21"/>
          <w:highlight w:val="none"/>
        </w:rPr>
      </w:pPr>
      <w:r>
        <w:rPr>
          <w:rFonts w:hint="eastAsia" w:ascii="宋体" w:hAnsi="宋体" w:cs="Arial"/>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r>
        <w:rPr>
          <w:rFonts w:hint="eastAsia" w:ascii="宋体" w:hAnsi="宋体" w:cs="Arial"/>
          <w:color w:val="auto"/>
          <w:szCs w:val="21"/>
          <w:highlight w:val="none"/>
        </w:rPr>
        <w:t xml:space="preserve">                          </w:t>
      </w:r>
      <w:r>
        <w:rPr>
          <w:rFonts w:hint="eastAsia" w:ascii="宋体" w:hAnsi="宋体" w:cs="Arial"/>
          <w:i/>
          <w:color w:val="auto"/>
          <w:szCs w:val="21"/>
          <w:highlight w:val="none"/>
          <w:u w:val="single"/>
        </w:rPr>
        <w:t xml:space="preserve">      </w:t>
      </w:r>
      <w:r>
        <w:rPr>
          <w:rFonts w:ascii="宋体" w:hAnsi="宋体" w:cs="Arial"/>
          <w:color w:val="auto"/>
          <w:szCs w:val="21"/>
          <w:highlight w:val="none"/>
        </w:rPr>
        <w:t>年</w:t>
      </w:r>
      <w:r>
        <w:rPr>
          <w:rFonts w:hint="eastAsia" w:ascii="宋体" w:hAnsi="宋体" w:cs="Arial"/>
          <w:color w:val="auto"/>
          <w:szCs w:val="21"/>
          <w:highlight w:val="none"/>
          <w:u w:val="single"/>
        </w:rPr>
        <w:t xml:space="preserve">    </w:t>
      </w:r>
      <w:r>
        <w:rPr>
          <w:rFonts w:ascii="宋体" w:hAnsi="宋体" w:cs="Arial"/>
          <w:color w:val="auto"/>
          <w:szCs w:val="21"/>
          <w:highlight w:val="none"/>
        </w:rPr>
        <w:t>月</w:t>
      </w:r>
      <w:r>
        <w:rPr>
          <w:rFonts w:hint="eastAsia" w:ascii="宋体" w:hAnsi="宋体" w:cs="Arial"/>
          <w:color w:val="auto"/>
          <w:szCs w:val="21"/>
          <w:highlight w:val="none"/>
          <w:u w:val="single"/>
        </w:rPr>
        <w:t xml:space="preserve">    </w:t>
      </w:r>
      <w:r>
        <w:rPr>
          <w:rFonts w:ascii="宋体" w:hAnsi="宋体" w:cs="Arial"/>
          <w:color w:val="auto"/>
          <w:szCs w:val="21"/>
          <w:highlight w:val="none"/>
        </w:rPr>
        <w:t>日</w:t>
      </w:r>
    </w:p>
    <w:p>
      <w:pPr>
        <w:widowControl/>
        <w:spacing w:line="360" w:lineRule="exact"/>
        <w:rPr>
          <w:rFonts w:ascii="宋体" w:hAnsi="宋体" w:cs="Arial"/>
          <w:color w:val="auto"/>
          <w:szCs w:val="21"/>
          <w:highlight w:val="none"/>
        </w:rPr>
      </w:pPr>
    </w:p>
    <w:p>
      <w:pPr>
        <w:widowControl/>
        <w:spacing w:line="360" w:lineRule="exact"/>
        <w:rPr>
          <w:rFonts w:ascii="宋体" w:hAnsi="宋体" w:cs="Arial"/>
          <w:color w:val="auto"/>
          <w:szCs w:val="21"/>
          <w:highlight w:val="none"/>
        </w:rPr>
      </w:pPr>
      <w:r>
        <w:rPr>
          <w:rFonts w:hint="eastAsia" w:ascii="宋体" w:hAnsi="宋体" w:cs="Arial"/>
          <w:color w:val="auto"/>
          <w:szCs w:val="21"/>
          <w:highlight w:val="none"/>
        </w:rPr>
        <w:t>备注：1、委托中介机构代理的，尚需提供工程建设项目招标代理业务承接情况表。</w:t>
      </w:r>
    </w:p>
    <w:p>
      <w:pPr>
        <w:spacing w:line="360" w:lineRule="exact"/>
        <w:ind w:firstLine="630" w:firstLineChars="300"/>
        <w:rPr>
          <w:rFonts w:ascii="宋体" w:hAnsi="宋体"/>
          <w:color w:val="auto"/>
          <w:szCs w:val="21"/>
          <w:highlight w:val="none"/>
        </w:rPr>
      </w:pPr>
      <w:r>
        <w:rPr>
          <w:rFonts w:hint="eastAsia" w:ascii="宋体" w:hAnsi="宋体"/>
          <w:color w:val="auto"/>
          <w:szCs w:val="21"/>
          <w:highlight w:val="none"/>
        </w:rPr>
        <w:t>2、本表一式三份，招标人、招投标管理机构、中心各一份。</w:t>
      </w:r>
    </w:p>
    <w:p>
      <w:pPr>
        <w:pStyle w:val="4"/>
        <w:rPr>
          <w:color w:val="auto"/>
          <w:highlight w:val="none"/>
        </w:rPr>
      </w:pPr>
      <w:r>
        <w:rPr>
          <w:rFonts w:hint="eastAsia" w:ascii="宋体" w:hAnsi="宋体"/>
          <w:color w:val="auto"/>
          <w:kern w:val="0"/>
          <w:szCs w:val="21"/>
          <w:highlight w:val="none"/>
        </w:rPr>
        <w:br w:type="page"/>
      </w:r>
      <w:bookmarkStart w:id="1" w:name="_Toc21875"/>
      <w:r>
        <w:rPr>
          <w:rFonts w:hint="eastAsia"/>
          <w:color w:val="auto"/>
          <w:highlight w:val="none"/>
        </w:rPr>
        <w:t>第二章</w:t>
      </w:r>
      <w:r>
        <w:rPr>
          <w:color w:val="auto"/>
          <w:highlight w:val="none"/>
        </w:rPr>
        <w:t xml:space="preserve"> </w:t>
      </w:r>
      <w:r>
        <w:rPr>
          <w:rFonts w:hint="eastAsia"/>
          <w:color w:val="auto"/>
          <w:highlight w:val="none"/>
        </w:rPr>
        <w:t>投标人须知</w:t>
      </w:r>
      <w:bookmarkEnd w:id="1"/>
      <w:r>
        <w:rPr>
          <w:rFonts w:hint="eastAsia"/>
          <w:color w:val="auto"/>
          <w:highlight w:val="none"/>
        </w:rPr>
        <w:t>前附表</w:t>
      </w:r>
    </w:p>
    <w:tbl>
      <w:tblPr>
        <w:tblStyle w:val="27"/>
        <w:tblW w:w="9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0"/>
        <w:gridCol w:w="1560"/>
        <w:gridCol w:w="74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条款号</w:t>
            </w:r>
          </w:p>
        </w:tc>
        <w:tc>
          <w:tcPr>
            <w:tcW w:w="1560"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条款名称</w:t>
            </w:r>
          </w:p>
        </w:tc>
        <w:tc>
          <w:tcPr>
            <w:tcW w:w="7447" w:type="dxa"/>
            <w:vAlign w:val="center"/>
          </w:tcPr>
          <w:p>
            <w:pPr>
              <w:jc w:val="center"/>
              <w:rPr>
                <w:rFonts w:ascii="宋体" w:hAnsi="宋体" w:cs="宋体"/>
                <w:b/>
                <w:bCs/>
                <w:color w:val="auto"/>
                <w:sz w:val="20"/>
                <w:szCs w:val="20"/>
                <w:highlight w:val="none"/>
              </w:rPr>
            </w:pPr>
            <w:r>
              <w:rPr>
                <w:rFonts w:hint="eastAsia" w:ascii="宋体" w:hAnsi="宋体" w:cs="宋体"/>
                <w:b/>
                <w:bCs/>
                <w:color w:val="auto"/>
                <w:sz w:val="20"/>
                <w:szCs w:val="20"/>
                <w:highlight w:val="none"/>
              </w:rPr>
              <w:t>编列内容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招标人</w:t>
            </w:r>
          </w:p>
        </w:tc>
        <w:tc>
          <w:tcPr>
            <w:tcW w:w="7447" w:type="dxa"/>
          </w:tcPr>
          <w:p>
            <w:pPr>
              <w:pStyle w:val="53"/>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名称：浙江精工钢结构集团有限公司</w:t>
            </w:r>
          </w:p>
          <w:p>
            <w:pPr>
              <w:pStyle w:val="53"/>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地址：绍兴市柯桥区柯桥经济开发区鉴湖路</w:t>
            </w:r>
          </w:p>
          <w:p>
            <w:pPr>
              <w:rPr>
                <w:rFonts w:ascii="宋体" w:hAnsi="宋体" w:cs="宋体"/>
                <w:color w:val="auto"/>
                <w:sz w:val="20"/>
                <w:szCs w:val="20"/>
                <w:highlight w:val="none"/>
              </w:rPr>
            </w:pPr>
            <w:r>
              <w:rPr>
                <w:rFonts w:hint="eastAsia" w:ascii="宋体" w:hAnsi="宋体" w:cs="宋体"/>
                <w:color w:val="auto"/>
                <w:sz w:val="20"/>
                <w:szCs w:val="20"/>
                <w:highlight w:val="none"/>
              </w:rPr>
              <w:t>联系人：王晓文  电话：13971064493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招标代理机构</w:t>
            </w:r>
          </w:p>
        </w:tc>
        <w:tc>
          <w:tcPr>
            <w:tcW w:w="7447" w:type="dxa"/>
          </w:tcPr>
          <w:p>
            <w:pPr>
              <w:pStyle w:val="53"/>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名称：浙江明业项目管理有限公司</w:t>
            </w:r>
          </w:p>
          <w:p>
            <w:pPr>
              <w:pStyle w:val="53"/>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地址：绍兴市解放大道111号中石化大楼7楼</w:t>
            </w:r>
          </w:p>
          <w:p>
            <w:pPr>
              <w:pStyle w:val="53"/>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联系人：张雅美  电话：0575-85209901、13957571013</w:t>
            </w:r>
          </w:p>
          <w:p>
            <w:pPr>
              <w:rPr>
                <w:rFonts w:ascii="宋体" w:hAnsi="宋体" w:cs="宋体"/>
                <w:color w:val="auto"/>
                <w:sz w:val="20"/>
                <w:szCs w:val="20"/>
                <w:highlight w:val="none"/>
              </w:rPr>
            </w:pPr>
            <w:r>
              <w:rPr>
                <w:rFonts w:hint="eastAsia" w:ascii="宋体" w:hAnsi="宋体" w:cs="宋体"/>
                <w:color w:val="auto"/>
                <w:sz w:val="20"/>
                <w:szCs w:val="20"/>
                <w:highlight w:val="none"/>
              </w:rPr>
              <w:t>电子邮箱：229330322@qq.com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项目名称</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绍兴市妇幼保健院（绍兴市儿童医院）建设项目医疗物流系统项目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建设地点</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绍兴市越城区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出资比例</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出资比例为100%。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资金落实情况</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已经落实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招标范围</w:t>
            </w:r>
          </w:p>
        </w:tc>
        <w:tc>
          <w:tcPr>
            <w:tcW w:w="7447" w:type="dxa"/>
          </w:tcPr>
          <w:p>
            <w:pPr>
              <w:pStyle w:val="53"/>
              <w:numPr>
                <w:ilvl w:val="255"/>
                <w:numId w:val="0"/>
              </w:numPr>
              <w:adjustRightInd w:val="0"/>
              <w:snapToGrid w:val="0"/>
              <w:spacing w:line="0" w:lineRule="atLeast"/>
              <w:rPr>
                <w:rFonts w:hAnsi="宋体" w:cs="宋体"/>
                <w:color w:val="auto"/>
                <w:szCs w:val="20"/>
                <w:highlight w:val="none"/>
              </w:rPr>
            </w:pPr>
            <w:r>
              <w:rPr>
                <w:rFonts w:hint="eastAsia" w:hAnsi="宋体" w:cs="宋体"/>
                <w:color w:val="auto"/>
                <w:szCs w:val="20"/>
                <w:highlight w:val="none"/>
              </w:rPr>
              <w:t>1、本次招标项目的招标范围: 医疗物流传输系统设备采购、供货及安装，其中箱式物流系统站点46个，气动物流系统站点39个，详见招标文件 “</w:t>
            </w:r>
            <w:r>
              <w:rPr>
                <w:rFonts w:hint="eastAsia"/>
                <w:color w:val="auto"/>
                <w:highlight w:val="none"/>
              </w:rPr>
              <w:t>技术标准和要求</w:t>
            </w:r>
            <w:r>
              <w:rPr>
                <w:rFonts w:hint="eastAsia" w:hAnsi="宋体" w:cs="宋体"/>
                <w:color w:val="auto"/>
                <w:szCs w:val="20"/>
                <w:highlight w:val="none"/>
              </w:rPr>
              <w:t>”。</w:t>
            </w:r>
          </w:p>
          <w:p>
            <w:pPr>
              <w:pStyle w:val="53"/>
              <w:numPr>
                <w:ilvl w:val="0"/>
                <w:numId w:val="1"/>
              </w:numPr>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本次招标内容:招标人提供的医疗物流系统设备采购及安装的图纸及货物清单中的所有工程内容，包括物流系统设备采购及安装工程施工图的进一步深化设计、现有建筑基础上的物流管道等处的结构补强（招标人提供结构参考图纸）预留孔洞、设备基础、预埋铁构件、预埋管、套管及其封堵、设备材料供货、运输、卸货、保管、施工、安装、调试、检测、并最终通过验收，同时负责技术服务与培训，提交相关技术资料以及质保期内的维修保养等，即“交钥匙”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工期要求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以招标人发出的开工指令后210日历天，具体应与工程施工总进度计划同步。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1.3.3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质量要求</w:t>
            </w:r>
          </w:p>
        </w:tc>
        <w:tc>
          <w:tcPr>
            <w:tcW w:w="7447" w:type="dxa"/>
          </w:tcPr>
          <w:p>
            <w:pPr>
              <w:rPr>
                <w:rFonts w:ascii="宋体" w:hAnsi="宋体" w:cs="宋体"/>
                <w:color w:val="auto"/>
                <w:sz w:val="20"/>
                <w:szCs w:val="20"/>
                <w:highlight w:val="none"/>
              </w:rPr>
            </w:pPr>
            <w:r>
              <w:rPr>
                <w:rFonts w:hint="eastAsia" w:ascii="宋体" w:hAnsi="宋体" w:cs="宋体"/>
                <w:color w:val="auto"/>
                <w:sz w:val="20"/>
                <w:szCs w:val="20"/>
                <w:highlight w:val="none"/>
              </w:rPr>
              <w:t>合格，并一次性通过</w:t>
            </w:r>
            <w:r>
              <w:rPr>
                <w:rFonts w:hint="eastAsia" w:ascii="宋体" w:hAnsi="宋体" w:cs="宋体"/>
                <w:color w:val="auto"/>
                <w:sz w:val="20"/>
                <w:szCs w:val="20"/>
                <w:highlight w:val="none"/>
                <w:lang w:val="en-US" w:eastAsia="zh-CN"/>
              </w:rPr>
              <w:t>相关</w:t>
            </w:r>
            <w:r>
              <w:rPr>
                <w:rFonts w:hint="eastAsia" w:ascii="宋体" w:hAnsi="宋体" w:cs="宋体"/>
                <w:color w:val="auto"/>
                <w:sz w:val="20"/>
                <w:szCs w:val="20"/>
                <w:highlight w:val="none"/>
              </w:rPr>
              <w:t>机构检测。配合总承包单位争创钱江杯、鲁班奖。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投标资格条件、要求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1.4.2</w:t>
            </w:r>
          </w:p>
        </w:tc>
        <w:tc>
          <w:tcPr>
            <w:tcW w:w="1560" w:type="dxa"/>
            <w:vAlign w:val="center"/>
          </w:tcPr>
          <w:p>
            <w:pPr>
              <w:pStyle w:val="53"/>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是否接受联合体投标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1.9.1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踏勘现场</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不组织。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投标预备会</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不召开。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投标人提出问题的截止时间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 xml:space="preserve">2021年  月   日    </w:t>
            </w:r>
            <w:r>
              <w:rPr>
                <w:color w:val="auto"/>
                <w:highlight w:val="none"/>
              </w:rPr>
              <w:fldChar w:fldCharType="begin"/>
            </w:r>
            <w:r>
              <w:rPr>
                <w:color w:val="auto"/>
                <w:highlight w:val="none"/>
              </w:rPr>
              <w:instrText xml:space="preserve"> HYPERLINK "mailto:时前（北京时间），请将要求澄清内容加盖单位公章后将扫描件、WORD电子版发到229330322@qq.com。" </w:instrText>
            </w:r>
            <w:r>
              <w:rPr>
                <w:color w:val="auto"/>
                <w:highlight w:val="none"/>
              </w:rPr>
              <w:fldChar w:fldCharType="separate"/>
            </w:r>
            <w:r>
              <w:rPr>
                <w:rFonts w:hint="eastAsia" w:ascii="宋体" w:hAnsi="宋体" w:cs="宋体"/>
                <w:color w:val="auto"/>
                <w:sz w:val="20"/>
                <w:szCs w:val="20"/>
                <w:highlight w:val="none"/>
              </w:rPr>
              <w:t>时前（北京时间），请将要求澄清内容加盖单位公章后将扫描件、WORD电子版发到229330322@qq.com。</w:t>
            </w:r>
            <w:r>
              <w:rPr>
                <w:rFonts w:hint="eastAsia" w:ascii="宋体" w:hAnsi="宋体" w:cs="宋体"/>
                <w:color w:val="auto"/>
                <w:sz w:val="20"/>
                <w:szCs w:val="20"/>
                <w:highlight w:val="none"/>
              </w:rPr>
              <w:fldChar w:fldCharType="end"/>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招标文件的澄清、补充、修改的时间以及澄清、补充、修改文件的下载网址</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澄清、补充、修改的内容影响投标文件编制的，招标人将在投标截止时间15日前，以电子文件形式上传至交易平台供投标人下载，不足15天的，招标人将顺延递交投标文件的截止时间。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澄清、补充、修改的内容不影响投标文件编制的，将在投标文件递交截止时间7天前，以上款相同的形式发布。</w:t>
            </w:r>
          </w:p>
          <w:p>
            <w:pPr>
              <w:rPr>
                <w:rFonts w:ascii="宋体" w:hAnsi="宋体" w:cs="宋体"/>
                <w:color w:val="auto"/>
                <w:sz w:val="20"/>
                <w:szCs w:val="20"/>
                <w:highlight w:val="none"/>
                <w:lang w:bidi="ar"/>
              </w:rPr>
            </w:pPr>
            <w:r>
              <w:rPr>
                <w:rFonts w:hint="eastAsia" w:ascii="宋体" w:hAnsi="宋体" w:cs="宋体"/>
                <w:color w:val="auto"/>
                <w:sz w:val="20"/>
                <w:szCs w:val="20"/>
                <w:highlight w:val="none"/>
              </w:rPr>
              <w:t>下载网址： 绍兴公共资源交易网</w:t>
            </w:r>
            <w:r>
              <w:rPr>
                <w:rFonts w:hint="eastAsia"/>
                <w:color w:val="auto"/>
                <w:highlight w:val="none"/>
              </w:rPr>
              <w:fldChar w:fldCharType="begin"/>
            </w:r>
            <w:r>
              <w:rPr>
                <w:color w:val="auto"/>
                <w:highlight w:val="none"/>
              </w:rPr>
              <w:instrText xml:space="preserve"> HYPERLINK "http://www.zmctc.com/" \h </w:instrText>
            </w:r>
            <w:r>
              <w:rPr>
                <w:rFonts w:hint="eastAsia"/>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投标人须使用用户名和密码登录交易平台后下载相关文件。</w:t>
            </w:r>
          </w:p>
          <w:p>
            <w:pPr>
              <w:rPr>
                <w:rFonts w:ascii="宋体" w:hAnsi="宋体" w:cs="宋体"/>
                <w:color w:val="auto"/>
                <w:sz w:val="20"/>
                <w:szCs w:val="20"/>
                <w:highlight w:val="none"/>
              </w:rPr>
            </w:pPr>
            <w:r>
              <w:rPr>
                <w:rFonts w:hint="eastAsia" w:ascii="宋体" w:hAnsi="宋体" w:cs="宋体"/>
                <w:color w:val="auto"/>
                <w:sz w:val="20"/>
                <w:szCs w:val="20"/>
                <w:highlight w:val="none"/>
              </w:rPr>
              <w:t>注：潜在投标人应密切关注交易平台，如有补充文件，投标人必须下载最新补充文件。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投标人确认收到澄清、补充、修改文件的时间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招标工程是否允许分包</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偏离</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允许。允许偏离的内容、偏离范围和幅度：技术参数及指标正偏离。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构成招标文件的其他资料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货物清单、施工图纸、招标补充文件等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投标人要求澄清招标文件的截止时间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同招标公告中获取招标文件截止日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投标截止时间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见招标公告内容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投标人确认收到招标文件澄清的时间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2.3.2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投标人确认收到招标文件修改的时间</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潜在投标人应自行关注绍兴公共资源交易网</w:t>
            </w:r>
            <w:r>
              <w:rPr>
                <w:color w:val="auto"/>
                <w:highlight w:val="none"/>
              </w:rPr>
              <w:fldChar w:fldCharType="begin"/>
            </w:r>
            <w:r>
              <w:rPr>
                <w:color w:val="auto"/>
                <w:highlight w:val="none"/>
              </w:rPr>
              <w:instrText xml:space="preserve"> HYPERLINK "http://www.zmctc.com/" \h </w:instrText>
            </w:r>
            <w:r>
              <w:rPr>
                <w:color w:val="auto"/>
                <w:highlight w:val="none"/>
              </w:rPr>
              <w:fldChar w:fldCharType="separate"/>
            </w:r>
            <w:r>
              <w:rPr>
                <w:rFonts w:hint="eastAsia" w:ascii="宋体" w:hAnsi="宋体" w:cs="宋体"/>
                <w:color w:val="auto"/>
                <w:sz w:val="20"/>
                <w:szCs w:val="20"/>
                <w:highlight w:val="none"/>
              </w:rPr>
              <w:t>（http://ggb.sx.gov.cn/</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r>
              <w:rPr>
                <w:rFonts w:hint="eastAsia" w:ascii="宋体" w:hAnsi="宋体" w:cs="宋体"/>
                <w:color w:val="auto"/>
                <w:sz w:val="20"/>
                <w:szCs w:val="20"/>
                <w:highlight w:val="none"/>
                <w:lang w:bidi="ar"/>
              </w:rPr>
              <w:t>的交易平台及短信通知</w:t>
            </w:r>
            <w:r>
              <w:rPr>
                <w:rFonts w:hint="eastAsia" w:ascii="宋体" w:hAnsi="宋体" w:cs="宋体"/>
                <w:color w:val="auto"/>
                <w:sz w:val="20"/>
                <w:szCs w:val="20"/>
                <w:highlight w:val="none"/>
              </w:rPr>
              <w:t>，招标人不再一一通知。投标人因自身贻误行为导致投标失败的，责任自负。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构成投标文件的其他资料</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最高投标限价或其计算方法</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本次招标最高投标限价为：1996万元。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3.2.4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投标报价的其他要求</w:t>
            </w:r>
          </w:p>
        </w:tc>
        <w:tc>
          <w:tcPr>
            <w:tcW w:w="7447" w:type="dxa"/>
            <w:vAlign w:val="center"/>
          </w:tcPr>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 投标报价为投标人的投标文件中提出的各项支付金额的总和。</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 技术标中明确或招标文件、设计图纸确定的相应技术规范要求的费用应包括在投标报价中，否则视同投标优惠。</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合同的交货和安装地点为本须知前附表第1.1.5项所述，除非合同中另有规定，投标人在投标总价中的价格均包括完成该工程项目的设备和材料供应、安装、调试开通、利润、税金、风险等所有费用,但投标报价不得超过本投标人须知前附表第3.2.3条所规定的上限，否则作废标处理。</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4、 投标人应</w:t>
            </w:r>
            <w:r>
              <w:rPr>
                <w:rFonts w:hint="eastAsia" w:ascii="宋体" w:hAnsi="宋体" w:cs="宋体"/>
                <w:strike/>
                <w:color w:val="auto"/>
                <w:sz w:val="20"/>
                <w:szCs w:val="20"/>
                <w:highlight w:val="none"/>
              </w:rPr>
              <w:t>先到项目现场踏勘以</w:t>
            </w:r>
            <w:r>
              <w:rPr>
                <w:rFonts w:hint="eastAsia" w:ascii="宋体" w:hAnsi="宋体" w:cs="宋体"/>
                <w:color w:val="auto"/>
                <w:sz w:val="20"/>
                <w:szCs w:val="20"/>
                <w:highlight w:val="none"/>
              </w:rPr>
              <w:t>充分了解现场位置、情况、道路、储存空间、装卸限制及任何其它足以影响报价的情况，任何因忽视或误解工地情况而导致的索赔或工期延长申请将不获批准；</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5、 投标人的投标报价包括并不限于按照本工程招标人提供的图纸、货物清单以及本项目技术要求所进行的进一步深化设计费、设备费、运输保险费、卸货费、保管费、仓储费、工程施工费、设备安装费、安装调试费、技术服务与培训费、试运行费用、验收费、备品备件（含专用工具）费、质保期内的维修保养费、规费、税金、政策性文件规定及合同包含的所有风险、责任等完成本项目所有的供货及安装（俗称：交钥匙工程）并通过验收合格的所有的一切费用；包括投标人按照本次招标根据招标人提供的本工程图纸、货物清单以及本项目技术要求等进一步完成深化施工图纸设计工作，并承担深化设计费用及深化设计后增加工程的施工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3"/>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6、 招标人不接受低于成本的投标报价，也不接受招标项目范围内的捐赠。</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7、投标人按照上述要求编制投标报价。一旦确认某一投标人中标，除合同规定的可调整内容外，中标人不得要求追加任何费用。</w:t>
            </w:r>
          </w:p>
          <w:p>
            <w:pPr>
              <w:pStyle w:val="53"/>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8、除总承包人在其施工周期内免费提供工地内已有的并能独立使用的脚手架、机械设备等辅助设施外，投标人报价中还应包含本项目供货及安装时所需的各项措施费（如未单独列报的，将视作已包含在投标总价之中），否则视作优惠。同时须满足下列要求：</w:t>
            </w:r>
          </w:p>
          <w:p>
            <w:pPr>
              <w:pStyle w:val="53"/>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①供应商进场后须与总包签订总包管理协议，服从总包管理要求。</w:t>
            </w:r>
          </w:p>
          <w:p>
            <w:pPr>
              <w:pStyle w:val="53"/>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②供应商的安装进场时间不应晚于监理、业主审批的施工总进度计划进场时间。</w:t>
            </w:r>
          </w:p>
          <w:p>
            <w:pPr>
              <w:pStyle w:val="53"/>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③供应商进场前，图纸须齐全，以免影响后续施工进度（供应商须对图纸进行深化设计）。</w:t>
            </w:r>
          </w:p>
          <w:p>
            <w:pPr>
              <w:pStyle w:val="53"/>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④进入施工现场后，设备及材料堆放场地须按照总包要求进行布设，满足标准化工地要求。</w:t>
            </w:r>
          </w:p>
          <w:p>
            <w:pPr>
              <w:pStyle w:val="53"/>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53"/>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53"/>
              <w:numPr>
                <w:ilvl w:val="0"/>
                <w:numId w:val="2"/>
              </w:numPr>
              <w:adjustRightInd w:val="0"/>
              <w:snapToGrid w:val="0"/>
              <w:spacing w:line="0" w:lineRule="atLeast"/>
              <w:ind w:firstLine="0" w:firstLineChars="0"/>
              <w:jc w:val="both"/>
              <w:rPr>
                <w:rFonts w:hAnsi="宋体" w:cs="宋体"/>
                <w:color w:val="auto"/>
                <w:szCs w:val="20"/>
                <w:highlight w:val="none"/>
              </w:rPr>
            </w:pPr>
            <w:r>
              <w:rPr>
                <w:rFonts w:hint="eastAsia" w:hAnsi="宋体" w:cs="宋体"/>
                <w:color w:val="auto"/>
                <w:szCs w:val="20"/>
                <w:highlight w:val="none"/>
              </w:rPr>
              <w:t>鉴于目前总包施工现状，室外脚手架搭建情况，请投标人自行考虑设备运输事宜并承担运输费用请充分考虑综合进入投标总价，中标后不予调整。并从安全角度出发，要求投标单位充分考虑在室外施工时的临边围护、安全防护等措施（如有），相关费用计入投标总价中，中标后不予调整。</w:t>
            </w:r>
          </w:p>
          <w:p>
            <w:pPr>
              <w:pStyle w:val="25"/>
              <w:ind w:firstLine="0" w:firstLineChars="0"/>
              <w:rPr>
                <w:rFonts w:ascii="宋体" w:hAnsi="宋体" w:cs="宋体"/>
                <w:color w:val="auto"/>
                <w:sz w:val="20"/>
                <w:highlight w:val="none"/>
              </w:rPr>
            </w:pPr>
            <w:r>
              <w:rPr>
                <w:rFonts w:hint="eastAsia" w:ascii="宋体" w:hAnsi="宋体" w:cs="宋体"/>
                <w:b/>
                <w:bCs/>
                <w:color w:val="auto"/>
                <w:sz w:val="20"/>
                <w:highlight w:val="none"/>
              </w:rPr>
              <w:t>以上各条款规定及要求请投标人在报价时综合考虑，未考虑的视作优惠。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投标有效期</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90个日历天（从投标截止之日起算）。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3.4.1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投标保证金</w:t>
            </w:r>
          </w:p>
        </w:tc>
        <w:tc>
          <w:tcPr>
            <w:tcW w:w="7447" w:type="dxa"/>
            <w:vAlign w:val="center"/>
          </w:tcPr>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形式：见招标公告</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金额：见招标公告</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递交方式：见招标公告</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投标保证金不予退还的情形：</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1．投标人在投标有效期内撤销或修改其投标文件。</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2．中标人无正当理由不与招标人订立合同，或在签订合同时向招标人提出附加条件，或未按招标文件要求提交履约保证金的。</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3．经查实，投标人在投标过程中串通投标或弄虚作假的或存在违反《招标投标法》第三十二条、第三十三条规定的违法情形的。</w:t>
            </w:r>
          </w:p>
          <w:p>
            <w:pPr>
              <w:pStyle w:val="53"/>
              <w:adjustRightInd w:val="0"/>
              <w:snapToGrid w:val="0"/>
              <w:spacing w:line="0" w:lineRule="atLeast"/>
              <w:ind w:firstLine="0" w:firstLineChars="0"/>
              <w:rPr>
                <w:rFonts w:hAnsi="宋体" w:cs="宋体"/>
                <w:color w:val="auto"/>
                <w:szCs w:val="20"/>
                <w:highlight w:val="none"/>
              </w:rPr>
            </w:pPr>
            <w:r>
              <w:rPr>
                <w:rFonts w:hint="eastAsia" w:hAnsi="宋体" w:cs="宋体"/>
                <w:color w:val="auto"/>
                <w:szCs w:val="20"/>
                <w:highlight w:val="none"/>
              </w:rPr>
              <w:t>4．其他法律法规规定情形的。。</w:t>
            </w:r>
          </w:p>
          <w:p>
            <w:pPr>
              <w:pStyle w:val="53"/>
              <w:adjustRightInd w:val="0"/>
              <w:snapToGrid w:val="0"/>
              <w:spacing w:line="0" w:lineRule="atLeast"/>
              <w:ind w:firstLine="0" w:firstLineChars="0"/>
              <w:rPr>
                <w:rFonts w:hAnsi="宋体" w:cs="宋体"/>
                <w:strike/>
                <w:color w:val="auto"/>
                <w:szCs w:val="20"/>
                <w:highlight w:val="none"/>
              </w:rPr>
            </w:pPr>
            <w:r>
              <w:rPr>
                <w:rFonts w:hint="eastAsia" w:hAnsi="宋体" w:cs="宋体"/>
                <w:strike/>
                <w:color w:val="auto"/>
                <w:szCs w:val="20"/>
                <w:highlight w:val="none"/>
                <w:lang w:val="en-US" w:eastAsia="zh-CN"/>
              </w:rPr>
              <w:t>5</w:t>
            </w:r>
            <w:r>
              <w:rPr>
                <w:rFonts w:hint="eastAsia" w:hAnsi="宋体" w:cs="宋体"/>
                <w:strike/>
                <w:color w:val="auto"/>
                <w:szCs w:val="20"/>
                <w:highlight w:val="none"/>
              </w:rPr>
              <w:t>．拟派项目负责人在投标截止日有在其他在建合同工程上担任项目负责人的情形。</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出现上述不予退还情形的，招标人告知交易中心登记后，平台将自动划转其投标保证金</w:t>
            </w:r>
            <w:r>
              <w:rPr>
                <w:rFonts w:hint="eastAsia" w:ascii="宋体" w:hAnsi="宋体" w:cs="宋体"/>
                <w:strike/>
                <w:color w:val="auto"/>
                <w:sz w:val="20"/>
                <w:szCs w:val="20"/>
                <w:highlight w:val="none"/>
              </w:rPr>
              <w:t>及银行同期存款利息至</w:t>
            </w:r>
            <w:r>
              <w:rPr>
                <w:rFonts w:hint="eastAsia" w:ascii="宋体" w:hAnsi="宋体" w:cs="宋体"/>
                <w:color w:val="auto"/>
                <w:sz w:val="20"/>
                <w:szCs w:val="20"/>
                <w:highlight w:val="none"/>
              </w:rPr>
              <w:t>招标人指定账户，不再退还给投标人。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资格审查资料</w:t>
            </w:r>
          </w:p>
        </w:tc>
        <w:tc>
          <w:tcPr>
            <w:tcW w:w="7447" w:type="dxa"/>
            <w:vAlign w:val="center"/>
          </w:tcPr>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1、企业法人营业执照复印件。</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2、投标品牌具有自2016年1月1日以来【以合同签订时间为准】，承接过国内物流系统的（合同金额在900万及以上）类似业绩。业绩证明材料为供货合同的复印件。</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3、承诺书（①承诺对资格审查资料所有提交的证明材料真实有效性负责，若发现其有伪造证书、业绩等行为的，同意招标人不接受其投标，其缴纳的投标保证金不予退还；②承诺企业和项目负责人近 5年内无行贿犯罪记录。③投标人如为代理商则需承诺，中标后提供所投品牌制造商的唯一授权书。）格式自拟，加盖投标人公章。</w:t>
            </w:r>
          </w:p>
          <w:p>
            <w:pPr>
              <w:widowControl/>
              <w:jc w:val="left"/>
              <w:rPr>
                <w:rFonts w:ascii="宋体" w:hAnsi="宋体" w:cs="宋体"/>
                <w:color w:val="auto"/>
                <w:sz w:val="20"/>
                <w:szCs w:val="20"/>
                <w:highlight w:val="none"/>
                <w:lang w:bidi="ar"/>
              </w:rPr>
            </w:pPr>
            <w:r>
              <w:rPr>
                <w:rFonts w:hint="eastAsia" w:ascii="宋体" w:hAnsi="宋体" w:cs="宋体"/>
                <w:color w:val="auto"/>
                <w:sz w:val="20"/>
                <w:szCs w:val="20"/>
                <w:highlight w:val="none"/>
                <w:lang w:bidi="ar"/>
              </w:rPr>
              <w:t>4、投标人及其法定代表人控股的其他公司，不得同时参加同一标段投标。否则，均按否决投标处理。</w:t>
            </w:r>
          </w:p>
          <w:p>
            <w:pPr>
              <w:rPr>
                <w:rFonts w:ascii="宋体" w:hAnsi="宋体" w:cs="宋体"/>
                <w:color w:val="auto"/>
                <w:sz w:val="20"/>
                <w:szCs w:val="20"/>
                <w:highlight w:val="none"/>
              </w:rPr>
            </w:pPr>
            <w:r>
              <w:rPr>
                <w:rFonts w:hint="eastAsia" w:ascii="宋体" w:hAnsi="宋体" w:cs="宋体"/>
                <w:color w:val="auto"/>
                <w:sz w:val="20"/>
                <w:szCs w:val="20"/>
                <w:highlight w:val="none"/>
                <w:lang w:val="en-US" w:eastAsia="zh-CN" w:bidi="ar"/>
              </w:rPr>
              <w:t>5</w:t>
            </w:r>
            <w:r>
              <w:rPr>
                <w:rFonts w:hint="eastAsia" w:ascii="宋体" w:hAnsi="宋体" w:cs="宋体"/>
                <w:color w:val="auto"/>
                <w:sz w:val="20"/>
                <w:szCs w:val="20"/>
                <w:highlight w:val="none"/>
                <w:lang w:bidi="ar"/>
              </w:rPr>
              <w:t>、本次招标不接受联合体投标。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近年财务状况的年份要求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近年完成的类似项目的年份要求</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详见投标人资格要求和资信、技术评审标准。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3.5.5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近年发生的重大诉讼及仲裁情况的年份要求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不作要求。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3.6</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是否允许递交备选投标方案</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签字或盖章要求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纸质投标文件签字或盖章要求详见招标文件格式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3.7.4</w:t>
            </w:r>
          </w:p>
        </w:tc>
        <w:tc>
          <w:tcPr>
            <w:tcW w:w="1560" w:type="dxa"/>
            <w:vAlign w:val="center"/>
          </w:tcPr>
          <w:p>
            <w:pPr>
              <w:pStyle w:val="53"/>
              <w:adjustRightInd w:val="0"/>
              <w:snapToGrid w:val="0"/>
              <w:spacing w:line="0" w:lineRule="atLeast"/>
              <w:ind w:right="241" w:rightChars="115" w:firstLine="0" w:firstLineChars="0"/>
              <w:jc w:val="center"/>
              <w:rPr>
                <w:rFonts w:hAnsi="宋体" w:cs="宋体"/>
                <w:color w:val="auto"/>
                <w:szCs w:val="20"/>
                <w:highlight w:val="none"/>
              </w:rPr>
            </w:pPr>
            <w:r>
              <w:rPr>
                <w:rFonts w:hint="eastAsia" w:hAnsi="宋体" w:cs="宋体"/>
                <w:color w:val="auto"/>
                <w:szCs w:val="20"/>
                <w:highlight w:val="none"/>
              </w:rPr>
              <w:t>投标文件份数</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一正陆副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3.7.5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装订要求</w:t>
            </w:r>
          </w:p>
        </w:tc>
        <w:tc>
          <w:tcPr>
            <w:tcW w:w="7447" w:type="dxa"/>
            <w:vAlign w:val="center"/>
          </w:tcPr>
          <w:p>
            <w:pPr>
              <w:jc w:val="left"/>
              <w:rPr>
                <w:rFonts w:ascii="宋体" w:hAnsi="宋体" w:cs="宋体"/>
                <w:color w:val="auto"/>
                <w:sz w:val="20"/>
                <w:szCs w:val="20"/>
                <w:highlight w:val="none"/>
              </w:rPr>
            </w:pPr>
            <w:r>
              <w:rPr>
                <w:rFonts w:ascii="宋体" w:hAnsi="宋体" w:cs="宋体"/>
                <w:color w:val="auto"/>
                <w:sz w:val="20"/>
                <w:szCs w:val="20"/>
                <w:highlight w:val="none"/>
              </w:rPr>
              <w:t>应装订成册，不得采用活页夹，并编制目录和页码。注：投标文件资格审查</w:t>
            </w:r>
            <w:r>
              <w:rPr>
                <w:rFonts w:hint="eastAsia" w:ascii="宋体" w:hAnsi="宋体" w:cs="宋体"/>
                <w:color w:val="auto"/>
                <w:sz w:val="20"/>
                <w:szCs w:val="20"/>
                <w:highlight w:val="none"/>
              </w:rPr>
              <w:t>资料、</w:t>
            </w:r>
            <w:r>
              <w:rPr>
                <w:rFonts w:ascii="宋体" w:hAnsi="宋体" w:cs="宋体"/>
                <w:color w:val="auto"/>
                <w:sz w:val="20"/>
                <w:szCs w:val="20"/>
                <w:highlight w:val="none"/>
              </w:rPr>
              <w:t>技术</w:t>
            </w:r>
            <w:r>
              <w:rPr>
                <w:rFonts w:hint="eastAsia" w:ascii="宋体" w:hAnsi="宋体" w:cs="宋体"/>
                <w:color w:val="auto"/>
                <w:sz w:val="20"/>
                <w:szCs w:val="20"/>
                <w:highlight w:val="none"/>
              </w:rPr>
              <w:t>标、</w:t>
            </w:r>
            <w:r>
              <w:rPr>
                <w:rFonts w:ascii="宋体" w:hAnsi="宋体" w:cs="宋体"/>
                <w:color w:val="auto"/>
                <w:sz w:val="20"/>
                <w:szCs w:val="20"/>
                <w:highlight w:val="none"/>
              </w:rPr>
              <w:t>商务</w:t>
            </w:r>
            <w:r>
              <w:rPr>
                <w:rFonts w:hint="eastAsia" w:ascii="宋体" w:hAnsi="宋体" w:cs="宋体"/>
                <w:color w:val="auto"/>
                <w:sz w:val="20"/>
                <w:szCs w:val="20"/>
                <w:highlight w:val="none"/>
              </w:rPr>
              <w:t>标分别</w:t>
            </w:r>
            <w:r>
              <w:rPr>
                <w:rFonts w:ascii="宋体" w:hAnsi="宋体" w:cs="宋体"/>
                <w:color w:val="auto"/>
                <w:sz w:val="20"/>
                <w:szCs w:val="20"/>
                <w:highlight w:val="none"/>
              </w:rPr>
              <w:t>按招标文件格式要求统一装订成册</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bCs/>
                <w:iCs/>
                <w:color w:val="auto"/>
                <w:kern w:val="2"/>
                <w:sz w:val="20"/>
                <w:szCs w:val="20"/>
                <w:highlight w:val="none"/>
              </w:rPr>
              <w:t>投标文件的外包装和密封要求</w:t>
            </w:r>
          </w:p>
        </w:tc>
        <w:tc>
          <w:tcPr>
            <w:tcW w:w="7447" w:type="dxa"/>
            <w:vAlign w:val="center"/>
          </w:tcPr>
          <w:p>
            <w:pPr>
              <w:jc w:val="left"/>
              <w:rPr>
                <w:rFonts w:ascii="宋体" w:hAnsi="宋体" w:cs="宋体"/>
                <w:color w:val="auto"/>
                <w:sz w:val="20"/>
                <w:szCs w:val="20"/>
                <w:highlight w:val="none"/>
              </w:rPr>
            </w:pPr>
            <w:r>
              <w:rPr>
                <w:rFonts w:hint="eastAsia" w:ascii="宋体" w:hAnsi="宋体" w:cs="宋体"/>
                <w:b/>
                <w:iCs/>
                <w:color w:val="auto"/>
                <w:kern w:val="2"/>
                <w:sz w:val="20"/>
                <w:szCs w:val="20"/>
                <w:highlight w:val="none"/>
              </w:rPr>
              <w:t>投标文件的正本副本统一包装在一个密封袋内，</w:t>
            </w:r>
            <w:r>
              <w:rPr>
                <w:rFonts w:hint="eastAsia" w:ascii="宋体" w:hAnsi="宋体" w:cs="宋体"/>
                <w:color w:val="auto"/>
                <w:sz w:val="20"/>
                <w:szCs w:val="20"/>
                <w:highlight w:val="none"/>
              </w:rPr>
              <w:t>资格审查资料、技术标、商务标分别密封包装，</w:t>
            </w:r>
            <w:r>
              <w:rPr>
                <w:rFonts w:hint="eastAsia" w:ascii="宋体" w:hAnsi="宋体" w:cs="宋体"/>
                <w:b/>
                <w:iCs/>
                <w:color w:val="auto"/>
                <w:kern w:val="2"/>
                <w:sz w:val="20"/>
                <w:szCs w:val="20"/>
                <w:highlight w:val="none"/>
              </w:rPr>
              <w:t>并在密封袋封口处加盖单位</w:t>
            </w:r>
            <w:r>
              <w:rPr>
                <w:rFonts w:hint="eastAsia" w:ascii="宋体" w:hAnsi="宋体" w:cs="宋体"/>
                <w:b/>
                <w:iCs/>
                <w:color w:val="auto"/>
                <w:kern w:val="2"/>
                <w:sz w:val="20"/>
                <w:szCs w:val="20"/>
                <w:highlight w:val="none"/>
                <w:lang w:val="en-US" w:eastAsia="zh-CN"/>
              </w:rPr>
              <w:t>公</w:t>
            </w:r>
            <w:r>
              <w:rPr>
                <w:rFonts w:hint="eastAsia" w:ascii="宋体" w:hAnsi="宋体" w:cs="宋体"/>
                <w:b/>
                <w:iCs/>
                <w:color w:val="auto"/>
                <w:kern w:val="2"/>
                <w:sz w:val="20"/>
                <w:szCs w:val="20"/>
                <w:highlight w:val="none"/>
              </w:rPr>
              <w:t>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4.1.2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封套上写明</w:t>
            </w:r>
          </w:p>
        </w:tc>
        <w:tc>
          <w:tcPr>
            <w:tcW w:w="7447" w:type="dxa"/>
            <w:vAlign w:val="center"/>
          </w:tcPr>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招标人地址：</w:t>
            </w:r>
            <w:r>
              <w:rPr>
                <w:rFonts w:hint="eastAsia" w:ascii="宋体" w:hAnsi="宋体" w:cs="宋体"/>
                <w:b/>
                <w:color w:val="auto"/>
                <w:sz w:val="20"/>
                <w:szCs w:val="20"/>
                <w:highlight w:val="none"/>
                <w:u w:val="single"/>
              </w:rPr>
              <w:t>绍兴市柯桥区柯桥经济开发区鉴湖路</w:t>
            </w:r>
          </w:p>
          <w:p>
            <w:pPr>
              <w:ind w:right="241"/>
              <w:rPr>
                <w:rFonts w:ascii="宋体" w:hAnsi="宋体" w:cs="宋体"/>
                <w:color w:val="auto"/>
                <w:sz w:val="20"/>
                <w:szCs w:val="20"/>
                <w:highlight w:val="none"/>
              </w:rPr>
            </w:pPr>
            <w:r>
              <w:rPr>
                <w:rFonts w:hint="eastAsia" w:ascii="宋体" w:hAnsi="宋体" w:cs="宋体"/>
                <w:color w:val="auto"/>
                <w:sz w:val="20"/>
                <w:szCs w:val="20"/>
                <w:highlight w:val="none"/>
              </w:rPr>
              <w:t>招标人名称：</w:t>
            </w:r>
            <w:r>
              <w:rPr>
                <w:rFonts w:hint="eastAsia" w:ascii="宋体" w:hAnsi="宋体" w:cs="宋体"/>
                <w:b/>
                <w:color w:val="auto"/>
                <w:sz w:val="20"/>
                <w:szCs w:val="20"/>
                <w:highlight w:val="none"/>
                <w:u w:val="single"/>
              </w:rPr>
              <w:t>浙江精工钢结构集团有限公司</w:t>
            </w:r>
          </w:p>
          <w:p>
            <w:pPr>
              <w:jc w:val="left"/>
              <w:rPr>
                <w:rFonts w:ascii="宋体" w:hAnsi="宋体" w:cs="宋体"/>
                <w:color w:val="auto"/>
                <w:sz w:val="20"/>
                <w:szCs w:val="20"/>
                <w:highlight w:val="none"/>
              </w:rPr>
            </w:pPr>
            <w:r>
              <w:rPr>
                <w:rFonts w:hint="eastAsia" w:ascii="宋体" w:hAnsi="宋体" w:cs="宋体"/>
                <w:b/>
                <w:bCs/>
                <w:color w:val="auto"/>
                <w:sz w:val="20"/>
                <w:szCs w:val="20"/>
                <w:highlight w:val="none"/>
                <w:u w:val="single"/>
              </w:rPr>
              <w:t>绍兴市妇幼保健院（绍兴市儿童医院）建设项目医疗物流系统项目</w:t>
            </w:r>
            <w:r>
              <w:rPr>
                <w:rFonts w:hint="eastAsia" w:ascii="宋体" w:hAnsi="宋体" w:cs="宋体"/>
                <w:color w:val="auto"/>
                <w:sz w:val="20"/>
                <w:szCs w:val="20"/>
                <w:highlight w:val="none"/>
              </w:rPr>
              <w:t>投标文件，在2021年  月  日  时  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递交投标文件方式和地点</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本项目采用“不见面”开标方式，不强制要求投标人参加现场开标会。</w:t>
            </w:r>
          </w:p>
          <w:p>
            <w:pPr>
              <w:rPr>
                <w:rFonts w:ascii="宋体" w:hAnsi="宋体" w:cs="宋体"/>
                <w:color w:val="auto"/>
                <w:sz w:val="20"/>
                <w:szCs w:val="20"/>
                <w:highlight w:val="none"/>
              </w:rPr>
            </w:pPr>
            <w:r>
              <w:rPr>
                <w:rFonts w:hint="eastAsia" w:ascii="宋体" w:hAnsi="宋体" w:cs="宋体"/>
                <w:color w:val="auto"/>
                <w:sz w:val="20"/>
                <w:szCs w:val="20"/>
                <w:highlight w:val="none"/>
              </w:rPr>
              <w:t>本项目投标人采用现场递交或邮寄标书递交，采用现场递交的，将密封的标书在开标当日9：00至9：30递交至绍兴市公共资源交易中心四楼指定开标室，递交标书后即交即走。采用邮寄标书递交的，将密封的标书在开标当日9：30前（以签收时间为准）邮寄至绍兴市公共资源交易中心（地址：</w:t>
            </w:r>
            <w:r>
              <w:rPr>
                <w:rFonts w:hint="eastAsia"/>
                <w:color w:val="auto"/>
                <w:highlight w:val="none"/>
              </w:rPr>
              <w:fldChar w:fldCharType="begin"/>
            </w:r>
            <w:r>
              <w:rPr>
                <w:color w:val="auto"/>
                <w:highlight w:val="none"/>
              </w:rPr>
              <w:instrText xml:space="preserve"> HYPERLINK "http://www.sxztb.gov.cn/sxweb/ReadAttachFile.aspx?AttachID=37f9b03b-ad6a-42af-b0e6-b5a96971394e" \t "_blank" </w:instrText>
            </w:r>
            <w:r>
              <w:rPr>
                <w:rFonts w:hint="eastAsia"/>
                <w:color w:val="auto"/>
                <w:highlight w:val="none"/>
              </w:rPr>
              <w:fldChar w:fldCharType="separate"/>
            </w:r>
            <w:r>
              <w:rPr>
                <w:rFonts w:hint="eastAsia" w:ascii="宋体" w:hAnsi="宋体" w:cs="宋体"/>
                <w:color w:val="auto"/>
                <w:sz w:val="20"/>
                <w:szCs w:val="20"/>
                <w:highlight w:val="none"/>
              </w:rPr>
              <w:t>绍兴市迪荡新城惠利街20号鼎盛时代大厦</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绍兴市公共资源交易中心四楼，收件人：陈振宇，电话0575-88307031，建议采用邮政EMS邮寄）。投标人在开标现场不需要书面签字确认等有关操作。</w:t>
            </w:r>
          </w:p>
          <w:p>
            <w:pPr>
              <w:rPr>
                <w:rFonts w:ascii="宋体" w:hAnsi="宋体" w:cs="宋体"/>
                <w:color w:val="auto"/>
                <w:sz w:val="20"/>
                <w:szCs w:val="20"/>
                <w:highlight w:val="none"/>
              </w:rPr>
            </w:pPr>
            <w:r>
              <w:rPr>
                <w:rFonts w:hint="eastAsia" w:ascii="宋体" w:hAnsi="宋体" w:cs="宋体"/>
                <w:color w:val="auto"/>
                <w:sz w:val="20"/>
                <w:szCs w:val="20"/>
                <w:highlight w:val="none"/>
              </w:rPr>
              <w:t>注：（1）因邮寄过程中出现投标文件包封破损、文件丢失、文件送达时间延误等引起投标文件无法按时按要求送达的，其责任由投标人自行承担；（2）不接受同一单位同一项目2份或2份以上的快递形式投标文件，仅以第一份收取的快递投标文件为准。（3）接收快递方仅对快递外包装负责，对于外包装内部的密封情况由投标人自行承担责任。</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投标人的法定代表人或授权委托人、项目经理等均可不参加开标会议。若投标人法定代表人或授权委托人不在现场参加开标会议的，投标人需向招标代理机构人员告知联系方式，以备询标等事宜。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是否退还投标文件</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4.2.5</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投标文件的拒收情形</w:t>
            </w:r>
          </w:p>
        </w:tc>
        <w:tc>
          <w:tcPr>
            <w:tcW w:w="7447" w:type="dxa"/>
            <w:vAlign w:val="center"/>
          </w:tcPr>
          <w:p>
            <w:pPr>
              <w:pStyle w:val="53"/>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一、未密封的投标文件。</w:t>
            </w:r>
          </w:p>
          <w:p>
            <w:pPr>
              <w:rPr>
                <w:rFonts w:ascii="宋体" w:hAnsi="宋体" w:cs="宋体"/>
                <w:color w:val="auto"/>
                <w:sz w:val="20"/>
                <w:szCs w:val="20"/>
                <w:highlight w:val="none"/>
              </w:rPr>
            </w:pPr>
            <w:r>
              <w:rPr>
                <w:rFonts w:hint="eastAsia" w:ascii="宋体" w:hAnsi="宋体" w:cs="宋体"/>
                <w:color w:val="auto"/>
                <w:sz w:val="20"/>
                <w:szCs w:val="20"/>
                <w:highlight w:val="none"/>
              </w:rPr>
              <w:t>二、逾期送达的或者未送达指定地点的投标文件。</w:t>
            </w:r>
          </w:p>
          <w:p>
            <w:pPr>
              <w:pStyle w:val="53"/>
              <w:adjustRightInd w:val="0"/>
              <w:snapToGrid w:val="0"/>
              <w:spacing w:line="0" w:lineRule="atLeast"/>
              <w:ind w:right="241" w:rightChars="115" w:firstLine="0" w:firstLineChars="0"/>
              <w:rPr>
                <w:rFonts w:hAnsi="宋体" w:cs="宋体"/>
                <w:color w:val="auto"/>
                <w:szCs w:val="20"/>
                <w:highlight w:val="none"/>
              </w:rPr>
            </w:pPr>
            <w:r>
              <w:rPr>
                <w:rFonts w:hint="eastAsia" w:hAnsi="宋体" w:cs="宋体"/>
                <w:color w:val="auto"/>
                <w:szCs w:val="20"/>
                <w:highlight w:val="none"/>
              </w:rPr>
              <w:t>三、</w:t>
            </w:r>
            <w:r>
              <w:rPr>
                <w:rFonts w:hint="eastAsia" w:hAnsi="宋体" w:cs="宋体"/>
                <w:color w:val="auto"/>
                <w:szCs w:val="20"/>
                <w:highlight w:val="none"/>
                <w:lang w:val="en-US" w:eastAsia="zh-CN"/>
              </w:rPr>
              <w:t>投标</w:t>
            </w:r>
            <w:r>
              <w:rPr>
                <w:rFonts w:hint="eastAsia" w:hAnsi="宋体" w:cs="宋体"/>
                <w:color w:val="auto"/>
                <w:szCs w:val="20"/>
                <w:highlight w:val="none"/>
              </w:rPr>
              <w:t>保证金未缴纳的。</w:t>
            </w:r>
          </w:p>
          <w:p>
            <w:pPr>
              <w:pStyle w:val="53"/>
              <w:adjustRightInd w:val="0"/>
              <w:snapToGrid w:val="0"/>
              <w:spacing w:line="0" w:lineRule="atLeast"/>
              <w:ind w:right="241" w:rightChars="115" w:firstLine="0" w:firstLineChars="0"/>
              <w:rPr>
                <w:rFonts w:hAnsi="宋体" w:cs="宋体"/>
                <w:strike/>
                <w:color w:val="auto"/>
                <w:szCs w:val="20"/>
                <w:highlight w:val="none"/>
              </w:rPr>
            </w:pPr>
            <w:r>
              <w:rPr>
                <w:rFonts w:hint="eastAsia" w:hAnsi="宋体" w:cs="宋体"/>
                <w:strike/>
                <w:color w:val="auto"/>
                <w:szCs w:val="20"/>
                <w:highlight w:val="none"/>
              </w:rPr>
              <w:t>四、未按规定缴纳招标文件工本费的。</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☑五、递交的纸质投标文件未密封或外包装没有投标人标识的，当场拒收，视为未递交纸质投标文件。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开标时间、开标地点、参加开标会议的要求</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一、开标时间：同投标截止时间。</w:t>
            </w:r>
          </w:p>
          <w:p>
            <w:pPr>
              <w:rPr>
                <w:rFonts w:ascii="宋体" w:hAnsi="宋体" w:cs="宋体"/>
                <w:color w:val="auto"/>
                <w:sz w:val="20"/>
                <w:szCs w:val="20"/>
                <w:highlight w:val="none"/>
              </w:rPr>
            </w:pPr>
            <w:r>
              <w:rPr>
                <w:rFonts w:hint="eastAsia" w:ascii="宋体" w:hAnsi="宋体" w:cs="宋体"/>
                <w:color w:val="auto"/>
                <w:sz w:val="20"/>
                <w:szCs w:val="20"/>
                <w:highlight w:val="none"/>
              </w:rPr>
              <w:t>二、开标地点：绍兴市公共资源交易中心指定开标室。</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三、参加开标会议的要求：本项目采用“不见面”开标方式，不强制要求投标人参加现场开标会。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5.2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开标</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一、密封情况检查：</w:t>
            </w:r>
            <w:r>
              <w:rPr>
                <w:rFonts w:hint="eastAsia" w:ascii="宋体" w:hAnsi="宋体" w:cs="宋体"/>
                <w:color w:val="auto"/>
                <w:sz w:val="20"/>
                <w:szCs w:val="20"/>
                <w:highlight w:val="none"/>
                <w:lang w:bidi="ar"/>
              </w:rPr>
              <w:t>由公证处公证人员检查。</w:t>
            </w:r>
          </w:p>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rPr>
              <w:t>二、开标顺序：</w:t>
            </w:r>
            <w:r>
              <w:rPr>
                <w:rFonts w:hint="eastAsia" w:ascii="宋体" w:hAnsi="宋体" w:cs="宋体"/>
                <w:color w:val="auto"/>
                <w:sz w:val="20"/>
                <w:szCs w:val="20"/>
                <w:highlight w:val="none"/>
                <w:lang w:bidi="ar"/>
              </w:rPr>
              <w:t>按获取招标文件顺序依次开标。</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（为确保开评标现场的疫情防控安全，到现场参与开评标的各类人员应出示健康码。为减少人员聚集程度及滞留时间，招标人、招标代理工作人员原则上不超过三人，投标人不需在开标现场。）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6.1.1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评标委员会的组建</w:t>
            </w:r>
          </w:p>
        </w:tc>
        <w:tc>
          <w:tcPr>
            <w:tcW w:w="7447" w:type="dxa"/>
            <w:vAlign w:val="center"/>
          </w:tcPr>
          <w:p>
            <w:pPr>
              <w:shd w:val="clear" w:color="auto" w:fill="FFFFFF"/>
              <w:spacing w:line="288" w:lineRule="auto"/>
              <w:rPr>
                <w:rFonts w:ascii="宋体" w:hAnsi="宋体" w:cs="宋体"/>
                <w:color w:val="auto"/>
                <w:sz w:val="20"/>
                <w:szCs w:val="20"/>
                <w:highlight w:val="none"/>
              </w:rPr>
            </w:pPr>
            <w:r>
              <w:rPr>
                <w:rFonts w:hint="eastAsia" w:ascii="宋体" w:hAnsi="宋体" w:cs="宋体"/>
                <w:color w:val="auto"/>
                <w:sz w:val="20"/>
                <w:szCs w:val="20"/>
                <w:highlight w:val="none"/>
              </w:rPr>
              <w:t>评标委员会构成：</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评标专家确定方式：</w:t>
            </w:r>
            <w:r>
              <w:rPr>
                <w:rFonts w:hint="eastAsia" w:ascii="宋体" w:hAnsi="宋体" w:cs="宋体"/>
                <w:color w:val="auto"/>
                <w:sz w:val="20"/>
                <w:szCs w:val="20"/>
                <w:highlight w:val="none"/>
                <w:u w:val="single"/>
              </w:rPr>
              <w:t xml:space="preserve">  按规定   </w:t>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评标方法</w:t>
            </w:r>
          </w:p>
        </w:tc>
        <w:tc>
          <w:tcPr>
            <w:tcW w:w="7447" w:type="dxa"/>
            <w:vAlign w:val="center"/>
          </w:tcPr>
          <w:p>
            <w:pPr>
              <w:jc w:val="left"/>
              <w:rPr>
                <w:rFonts w:ascii="宋体" w:hAnsi="宋体" w:cs="宋体"/>
                <w:color w:val="auto"/>
                <w:sz w:val="20"/>
                <w:szCs w:val="20"/>
                <w:highlight w:val="none"/>
              </w:rPr>
            </w:pP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cs="宋体"/>
                <w:color w:val="auto"/>
                <w:sz w:val="20"/>
                <w:szCs w:val="20"/>
                <w:highlight w:val="none"/>
              </w:rPr>
              <w:t>综合评估法</w:t>
            </w:r>
            <w:r>
              <w:rPr>
                <w:rFonts w:hint="eastAsia" w:ascii="宋体" w:hAnsi="宋体" w:cs="宋体"/>
                <w:color w:val="auto"/>
                <w:sz w:val="20"/>
                <w:szCs w:val="20"/>
                <w:highlight w:val="none"/>
              </w:rPr>
              <w:fldChar w:fldCharType="end"/>
            </w:r>
            <w:r>
              <w:rPr>
                <w:rFonts w:hint="eastAsia" w:ascii="宋体" w:hAnsi="宋体" w:cs="宋体"/>
                <w:color w:val="auto"/>
                <w:sz w:val="20"/>
                <w:szCs w:val="20"/>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6.4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中标候选人公示</w:t>
            </w:r>
          </w:p>
        </w:tc>
        <w:tc>
          <w:tcPr>
            <w:tcW w:w="7447" w:type="dxa"/>
            <w:vAlign w:val="center"/>
          </w:tcPr>
          <w:p>
            <w:pPr>
              <w:widowControl/>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 xml:space="preserve">在 中 标 公 示 前 ， 招 标 人 通 过 中 国 裁 判 文 书 网 （ https ： </w:t>
            </w:r>
          </w:p>
          <w:p>
            <w:pPr>
              <w:jc w:val="left"/>
              <w:rPr>
                <w:rFonts w:ascii="宋体" w:hAnsi="宋体" w:cs="宋体"/>
                <w:color w:val="auto"/>
                <w:sz w:val="20"/>
                <w:szCs w:val="20"/>
                <w:highlight w:val="none"/>
              </w:rPr>
            </w:pPr>
            <w:r>
              <w:rPr>
                <w:rFonts w:hint="eastAsia" w:ascii="宋体" w:hAnsi="宋体" w:cs="宋体"/>
                <w:color w:val="auto"/>
                <w:sz w:val="20"/>
                <w:szCs w:val="20"/>
                <w:highlight w:val="none"/>
                <w:lang w:bidi="ar"/>
              </w:rPr>
              <w:t>//wenshu.court.gov.cn/）按照招标文件约定对拟中标单位及其拟派项目负责人的行贿犯罪记录进行查询，查询结果以网站页面显示内容为准。如无行贿犯罪记录，则对中标候选人的情况（有业绩要求的，包括业绩）在招标公告发布网站予以公示，公示期间招标人将对业绩及相关资质、证书、报告等原件进行核查并将相关核查资料存档备案，公示期为 3 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是否授权评标委员会确定中标人</w:t>
            </w:r>
          </w:p>
        </w:tc>
        <w:tc>
          <w:tcPr>
            <w:tcW w:w="7447" w:type="dxa"/>
            <w:vAlign w:val="center"/>
          </w:tcPr>
          <w:p>
            <w:pPr>
              <w:adjustRightInd w:val="0"/>
              <w:snapToGrid w:val="0"/>
              <w:spacing w:line="360" w:lineRule="exact"/>
              <w:rPr>
                <w:rFonts w:ascii="宋体" w:hAnsi="宋体" w:cs="宋体" w:eastAsiaTheme="minorEastAsia"/>
                <w:color w:val="auto"/>
                <w:szCs w:val="21"/>
                <w:highlight w:val="none"/>
              </w:rPr>
            </w:pPr>
            <w:r>
              <w:rPr>
                <w:rFonts w:hint="eastAsia" w:ascii="宋体" w:hAnsi="宋体" w:cs="宋体" w:eastAsiaTheme="minorEastAsia"/>
                <w:color w:val="auto"/>
                <w:szCs w:val="21"/>
                <w:highlight w:val="none"/>
              </w:rPr>
              <w:t>□是</w:t>
            </w:r>
          </w:p>
          <w:p>
            <w:pPr>
              <w:jc w:val="left"/>
              <w:rPr>
                <w:rFonts w:ascii="宋体" w:hAnsi="宋体" w:cs="宋体"/>
                <w:color w:val="auto"/>
                <w:sz w:val="20"/>
                <w:szCs w:val="20"/>
                <w:highlight w:val="none"/>
              </w:rPr>
            </w:pPr>
            <w:r>
              <w:rPr>
                <w:rFonts w:hint="eastAsia" w:ascii="MS Mincho" w:hAnsi="MS Mincho" w:eastAsia="MS Mincho" w:cs="MS Mincho"/>
                <w:color w:val="auto"/>
                <w:szCs w:val="21"/>
                <w:highlight w:val="none"/>
              </w:rPr>
              <w:t>☑</w:t>
            </w:r>
            <w:r>
              <w:rPr>
                <w:rFonts w:hint="eastAsia" w:ascii="宋体" w:hAnsi="宋体" w:cs="宋体" w:eastAsiaTheme="minorEastAsia"/>
                <w:color w:val="auto"/>
                <w:szCs w:val="21"/>
                <w:highlight w:val="none"/>
              </w:rPr>
              <w:t>否，推荐的中标候选人数量：</w:t>
            </w:r>
            <w:r>
              <w:rPr>
                <w:rFonts w:hint="eastAsia" w:ascii="宋体" w:hAnsi="宋体" w:cs="宋体" w:eastAsiaTheme="minorEastAsia"/>
                <w:color w:val="auto"/>
                <w:szCs w:val="21"/>
                <w:highlight w:val="none"/>
                <w:u w:val="single"/>
              </w:rPr>
              <w:t xml:space="preserve"> 1 </w:t>
            </w:r>
            <w:r>
              <w:rPr>
                <w:rFonts w:hint="eastAsia" w:ascii="宋体" w:hAnsi="宋体" w:cs="宋体" w:eastAsiaTheme="minorEastAsia"/>
                <w:color w:val="auto"/>
                <w:szCs w:val="21"/>
                <w:highlight w:val="none"/>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7.3.1</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履约保证金</w:t>
            </w:r>
          </w:p>
        </w:tc>
        <w:tc>
          <w:tcPr>
            <w:tcW w:w="7447" w:type="dxa"/>
            <w:vAlign w:val="center"/>
          </w:tcPr>
          <w:p>
            <w:pPr>
              <w:rPr>
                <w:rFonts w:ascii="宋体" w:hAnsi="宋体" w:cs="宋体"/>
                <w:color w:val="auto"/>
                <w:sz w:val="20"/>
                <w:szCs w:val="20"/>
                <w:highlight w:val="none"/>
              </w:rPr>
            </w:pPr>
            <w:r>
              <w:rPr>
                <w:rFonts w:hint="eastAsia" w:ascii="宋体" w:hAnsi="宋体" w:cs="宋体"/>
                <w:color w:val="auto"/>
                <w:sz w:val="20"/>
                <w:szCs w:val="20"/>
                <w:highlight w:val="none"/>
              </w:rPr>
              <w:t>履约保证金的形式：现金、银行保函、保险公司保函或融资担保公司保函。</w:t>
            </w:r>
          </w:p>
          <w:p>
            <w:pPr>
              <w:jc w:val="left"/>
              <w:rPr>
                <w:rFonts w:ascii="宋体" w:hAnsi="宋体" w:cs="宋体"/>
                <w:color w:val="auto"/>
                <w:sz w:val="20"/>
                <w:szCs w:val="20"/>
                <w:highlight w:val="none"/>
              </w:rPr>
            </w:pPr>
            <w:r>
              <w:rPr>
                <w:rFonts w:hint="eastAsia" w:ascii="宋体" w:hAnsi="宋体" w:cs="宋体"/>
                <w:color w:val="auto"/>
                <w:sz w:val="20"/>
                <w:szCs w:val="20"/>
                <w:highlight w:val="none"/>
              </w:rPr>
              <w:t>履约保证金的金额：合同总价的2%。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8.2</w:t>
            </w:r>
          </w:p>
        </w:tc>
        <w:tc>
          <w:tcPr>
            <w:tcW w:w="1560" w:type="dxa"/>
            <w:vAlign w:val="center"/>
          </w:tcPr>
          <w:p>
            <w:pPr>
              <w:pStyle w:val="53"/>
              <w:adjustRightInd w:val="0"/>
              <w:snapToGrid w:val="0"/>
              <w:spacing w:line="0" w:lineRule="atLeast"/>
              <w:ind w:firstLine="0" w:firstLineChars="0"/>
              <w:jc w:val="center"/>
              <w:rPr>
                <w:rFonts w:hAnsi="宋体" w:cs="宋体"/>
                <w:color w:val="auto"/>
                <w:szCs w:val="20"/>
                <w:highlight w:val="none"/>
              </w:rPr>
            </w:pPr>
            <w:r>
              <w:rPr>
                <w:rFonts w:hint="eastAsia" w:hAnsi="宋体" w:cs="宋体"/>
                <w:color w:val="auto"/>
                <w:szCs w:val="20"/>
                <w:highlight w:val="none"/>
              </w:rPr>
              <w:t>不再招标的情形</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rPr>
              <w:t>重新招标后投标人仍少于3个的，经原审批或核准部门批准后不再进行招标。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10.1</w:t>
            </w:r>
          </w:p>
        </w:tc>
        <w:tc>
          <w:tcPr>
            <w:tcW w:w="1560" w:type="dxa"/>
            <w:vAlign w:val="center"/>
          </w:tcPr>
          <w:p>
            <w:pPr>
              <w:spacing w:line="240" w:lineRule="exact"/>
              <w:jc w:val="center"/>
              <w:rPr>
                <w:rFonts w:ascii="宋体" w:hAnsi="宋体" w:cs="宋体"/>
                <w:color w:val="auto"/>
                <w:sz w:val="20"/>
                <w:szCs w:val="20"/>
                <w:highlight w:val="none"/>
              </w:rPr>
            </w:pPr>
            <w:r>
              <w:rPr>
                <w:rFonts w:hint="eastAsia" w:ascii="宋体" w:hAnsi="宋体" w:cs="宋体"/>
                <w:color w:val="auto"/>
                <w:sz w:val="20"/>
                <w:szCs w:val="20"/>
                <w:highlight w:val="none"/>
              </w:rPr>
              <w:t>否决投标的情形</w:t>
            </w:r>
          </w:p>
        </w:tc>
        <w:tc>
          <w:tcPr>
            <w:tcW w:w="7447" w:type="dxa"/>
            <w:vAlign w:val="center"/>
          </w:tcPr>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一、凡评标委员会拟作出否决投标决定的，应先通过代理机构向投标人进行询问核实。未进行询问核实程序的，不得做出否决投标决定，投标人放弃接受询问核实机会的除外（投标人所留联系方式无法联系上、在规定的时限内投标人不参加询问核实或不予答复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二、投标文件存在以下情形之一的，由评标委员会审核并经过询标程序，其投标文件将被否决：</w:t>
            </w:r>
          </w:p>
          <w:p>
            <w:pPr>
              <w:spacing w:line="280" w:lineRule="exact"/>
              <w:ind w:firstLine="280"/>
              <w:rPr>
                <w:rFonts w:ascii="宋体" w:hAnsi="宋体" w:cs="宋体"/>
                <w:b/>
                <w:bCs/>
                <w:color w:val="auto"/>
                <w:sz w:val="20"/>
                <w:szCs w:val="20"/>
                <w:highlight w:val="none"/>
              </w:rPr>
            </w:pPr>
            <w:r>
              <w:rPr>
                <w:rFonts w:hint="eastAsia" w:ascii="宋体" w:hAnsi="宋体" w:cs="宋体"/>
                <w:b/>
                <w:bCs/>
                <w:color w:val="auto"/>
                <w:sz w:val="20"/>
                <w:szCs w:val="20"/>
                <w:highlight w:val="none"/>
              </w:rPr>
              <w:t>（一）资格审查符合性内容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1.投标品牌的资质、业绩、人员、设备等条件未满足招标文件实质性响应要求的（以投标人须知前附表3.5中“资格审查资料”内容为准）；</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2.未按招标文件的要求加盖单位印章，或投标人的法定代表人（或其委托代理人）未按招标文件要求签字或盖章的，或委托代理人签字盖章但无有效的委托授权书的；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3.投标人存在招标文件投标人须知1.4.3规定的不得存在的情形之一的；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载明的交货期不响应招标文件要求的；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5.投标人不以自己的名义或未按招标文件要求提供投标保证金，或提供的投标保证金有缺陷而不能接受的；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6.投标报价高于招标文件设定的最高投标限价的；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7.改变招标人提供的货物清单内容的（货物名称、单位、数量）；</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8. 投标人及其法定代表人控股的其他公司，不得同时参加同一标段投标。否则，均按否决投标处理；</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9.投标人在开标会议前系统中确定的项目负责人与投标文件中项目负责人不一致的；</w:t>
            </w:r>
          </w:p>
          <w:p>
            <w:pPr>
              <w:spacing w:line="280" w:lineRule="exact"/>
              <w:ind w:firstLine="280"/>
              <w:jc w:val="left"/>
              <w:rPr>
                <w:rFonts w:ascii="宋体" w:hAnsi="宋体" w:cs="宋体"/>
                <w:color w:val="auto"/>
                <w:sz w:val="20"/>
                <w:szCs w:val="20"/>
                <w:highlight w:val="none"/>
              </w:rPr>
            </w:pPr>
            <w:r>
              <w:rPr>
                <w:rFonts w:hint="eastAsia" w:ascii="宋体" w:hAnsi="宋体" w:cs="宋体"/>
                <w:color w:val="auto"/>
                <w:sz w:val="20"/>
                <w:szCs w:val="20"/>
                <w:highlight w:val="none"/>
              </w:rPr>
              <w:t>10.存在法律、法规、规章规定的其它无效投标情况的。</w:t>
            </w:r>
          </w:p>
          <w:p>
            <w:pPr>
              <w:spacing w:line="280" w:lineRule="exact"/>
              <w:ind w:firstLine="280"/>
              <w:rPr>
                <w:rFonts w:ascii="宋体" w:hAnsi="宋体" w:cs="宋体"/>
                <w:b/>
                <w:bCs/>
                <w:color w:val="auto"/>
                <w:sz w:val="20"/>
                <w:szCs w:val="20"/>
                <w:highlight w:val="none"/>
              </w:rPr>
            </w:pPr>
            <w:r>
              <w:rPr>
                <w:rFonts w:hint="eastAsia" w:ascii="宋体" w:hAnsi="宋体" w:cs="宋体"/>
                <w:b/>
                <w:bCs/>
                <w:color w:val="auto"/>
                <w:sz w:val="20"/>
                <w:szCs w:val="20"/>
                <w:highlight w:val="none"/>
              </w:rPr>
              <w:t>（二）商务标符合性内容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1.同一投标人提交两个以上不同的投标文件或者投标报价的；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2.报价评审时，投标人拒绝按以下条款修正的：</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3.评标委员会认为投标人需要修正的投标内容；</w:t>
            </w:r>
          </w:p>
          <w:p>
            <w:pPr>
              <w:spacing w:line="280" w:lineRule="exact"/>
              <w:ind w:firstLine="280"/>
              <w:rPr>
                <w:rFonts w:ascii="宋体" w:hAnsi="宋体" w:cs="宋体"/>
                <w:color w:val="auto"/>
                <w:sz w:val="20"/>
                <w:szCs w:val="20"/>
                <w:highlight w:val="none"/>
              </w:rPr>
            </w:pPr>
            <w:r>
              <w:rPr>
                <w:rFonts w:hint="eastAsia" w:ascii="宋体" w:hAnsi="宋体" w:cs="宋体"/>
                <w:color w:val="auto"/>
                <w:sz w:val="20"/>
                <w:szCs w:val="20"/>
                <w:highlight w:val="none"/>
              </w:rPr>
              <w:t>4.投标函</w:t>
            </w:r>
            <w:r>
              <w:rPr>
                <w:rFonts w:hint="eastAsia" w:ascii="宋体" w:hAnsi="宋体" w:cs="宋体"/>
                <w:strike/>
                <w:color w:val="auto"/>
                <w:sz w:val="20"/>
                <w:szCs w:val="20"/>
                <w:highlight w:val="none"/>
              </w:rPr>
              <w:t>及投标函附录</w:t>
            </w:r>
            <w:r>
              <w:rPr>
                <w:rFonts w:hint="eastAsia" w:ascii="宋体" w:hAnsi="宋体" w:cs="宋体"/>
                <w:color w:val="auto"/>
                <w:sz w:val="20"/>
                <w:szCs w:val="20"/>
                <w:highlight w:val="none"/>
              </w:rPr>
              <w:t>载明的投标报价或其它关键内容字迹模糊或无法辨认的；</w:t>
            </w:r>
          </w:p>
          <w:p>
            <w:pPr>
              <w:spacing w:line="280" w:lineRule="exact"/>
              <w:ind w:firstLine="280"/>
              <w:rPr>
                <w:rFonts w:ascii="宋体" w:hAnsi="宋体" w:cs="宋体"/>
                <w:b/>
                <w:bCs/>
                <w:color w:val="auto"/>
                <w:sz w:val="20"/>
                <w:szCs w:val="20"/>
                <w:highlight w:val="none"/>
                <w:shd w:val="clear" w:color="auto" w:fill="FFFFFF"/>
              </w:rPr>
            </w:pPr>
            <w:r>
              <w:rPr>
                <w:rFonts w:hint="eastAsia" w:ascii="宋体" w:hAnsi="宋体" w:cs="宋体"/>
                <w:b/>
                <w:bCs/>
                <w:color w:val="auto"/>
                <w:sz w:val="20"/>
                <w:szCs w:val="20"/>
                <w:highlight w:val="none"/>
                <w:shd w:val="clear" w:color="auto" w:fill="FFFFFF"/>
              </w:rPr>
              <w:t>（三）技术标符合性内容</w:t>
            </w:r>
          </w:p>
          <w:p>
            <w:pPr>
              <w:spacing w:line="280" w:lineRule="exact"/>
              <w:ind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1.采用的验收标准和方法、主要技术指标达不到国家强制性标准的或要求的；</w:t>
            </w:r>
          </w:p>
          <w:p>
            <w:pPr>
              <w:spacing w:line="280" w:lineRule="exact"/>
              <w:ind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 xml:space="preserve">2.不符合以下技术规格、标准或性能指标的（招标人认为需要增加的，无则删除本条）： 见招标文件清单和第六章相关条款内容；            </w:t>
            </w:r>
          </w:p>
          <w:p>
            <w:pPr>
              <w:spacing w:line="280" w:lineRule="exac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除本条规定以外，招标文件中其他条款均不得作为否决投标文件的依据。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10.2</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异议与投诉</w:t>
            </w:r>
          </w:p>
        </w:tc>
        <w:tc>
          <w:tcPr>
            <w:tcW w:w="7447" w:type="dxa"/>
            <w:vAlign w:val="center"/>
          </w:tcPr>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一、异议</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一）潜在投标人或者其他利害关系人对招标文件有异议的，应当在投标截止时间10日前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（二）投标人认为开标不符合有关规定的，应当在开标现场提出异议。招标人将当场对异议给予处理或者告知处理的办法。异议和答复应记入开标记录或者制作专门记录以存档备查。</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三）投标人及其他利害关系人对评标结果有异议的，应当在中标候选人公示期内以书面形式向招标人或招标代理公司提出。招标人将在收到异议之日起3个工作日内作出书面答复；作出答复前，暂停招标投标活动。</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（四）对招标文件、评标结果的异议，提出和答复的形式只采用书面形式。</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二、投诉</w:t>
            </w:r>
          </w:p>
          <w:p>
            <w:pPr>
              <w:ind w:right="174" w:rightChars="83" w:firstLine="280"/>
              <w:rPr>
                <w:rFonts w:ascii="宋体" w:hAnsi="宋体" w:cs="宋体"/>
                <w:color w:val="auto"/>
                <w:sz w:val="20"/>
                <w:szCs w:val="20"/>
                <w:highlight w:val="none"/>
                <w:shd w:val="clear" w:color="auto" w:fill="FFFFFF"/>
              </w:rPr>
            </w:pPr>
            <w:r>
              <w:rPr>
                <w:rFonts w:hint="eastAsia" w:ascii="宋体" w:hAnsi="宋体" w:cs="宋体"/>
                <w:color w:val="auto"/>
                <w:sz w:val="20"/>
                <w:szCs w:val="20"/>
                <w:highlight w:val="none"/>
                <w:shd w:val="clear" w:color="auto" w:fill="FFFFFF"/>
              </w:rPr>
              <w:t>投标人或者其他利害关系人认为招标投标活动不符合法律、行政法规和招标文件规定的，可以自知道或者应当知道之日起10日内向有关行政监督部门投诉。投诉应当有明确的请求和必要的证明资料，具体要求按国家发改委等11号令《工程建设项目招标投标活动投诉处理办法》规定。就招标文件、开标和评标结果投诉的，应当先向招标人提出异议，异议答复期不计算在前款规定的期限内。</w:t>
            </w:r>
          </w:p>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三、上述时限最后一日如遇国家法定节假日的，顺延至法定节假日后的第一个工作日。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10.3</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定标</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将确定评标委员会推荐的中标候选人为中标人。中标候选人放弃中标、因不可抗力不能履行合同、不按照招标文件要求提交履约保证金，或者被查实存在影响中标结果的违法行为等情形，不符合中标条件的，招标人将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2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rPr>
              <w:t>10.4</w:t>
            </w:r>
          </w:p>
        </w:tc>
        <w:tc>
          <w:tcPr>
            <w:tcW w:w="1560" w:type="dxa"/>
            <w:vAlign w:val="center"/>
          </w:tcPr>
          <w:p>
            <w:pPr>
              <w:jc w:val="center"/>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招标人补充的其他内容</w:t>
            </w:r>
          </w:p>
        </w:tc>
        <w:tc>
          <w:tcPr>
            <w:tcW w:w="7447" w:type="dxa"/>
            <w:vAlign w:val="center"/>
          </w:tcPr>
          <w:p>
            <w:pPr>
              <w:jc w:val="left"/>
              <w:rPr>
                <w:rFonts w:ascii="宋体" w:hAnsi="宋体" w:cs="宋体"/>
                <w:color w:val="auto"/>
                <w:sz w:val="20"/>
                <w:szCs w:val="20"/>
                <w:highlight w:val="none"/>
              </w:rPr>
            </w:pPr>
            <w:r>
              <w:rPr>
                <w:rFonts w:hint="eastAsia" w:ascii="宋体" w:hAnsi="宋体" w:cs="宋体"/>
                <w:color w:val="auto"/>
                <w:sz w:val="20"/>
                <w:szCs w:val="20"/>
                <w:highlight w:val="none"/>
                <w:shd w:val="clear" w:color="auto" w:fill="FFFFFF"/>
              </w:rPr>
              <w:t>本招标项目由</w:t>
            </w:r>
            <w:r>
              <w:rPr>
                <w:rFonts w:hint="eastAsia" w:ascii="宋体" w:hAnsi="宋体" w:cs="宋体"/>
                <w:b/>
                <w:bCs/>
                <w:color w:val="auto"/>
                <w:sz w:val="20"/>
                <w:szCs w:val="20"/>
                <w:highlight w:val="none"/>
                <w:u w:val="single"/>
                <w:shd w:val="clear" w:color="auto" w:fill="FFFFFF"/>
              </w:rPr>
              <w:t>绍兴市越城区公管办</w:t>
            </w:r>
            <w:r>
              <w:rPr>
                <w:rFonts w:hint="eastAsia" w:ascii="宋体" w:hAnsi="宋体" w:cs="宋体"/>
                <w:color w:val="auto"/>
                <w:sz w:val="20"/>
                <w:szCs w:val="20"/>
                <w:highlight w:val="none"/>
                <w:shd w:val="clear" w:color="auto" w:fill="FFFFFF"/>
              </w:rPr>
              <w:t>参与监督，并请</w:t>
            </w:r>
            <w:r>
              <w:rPr>
                <w:rFonts w:hint="eastAsia" w:ascii="宋体" w:hAnsi="宋体" w:cs="宋体"/>
                <w:b/>
                <w:bCs/>
                <w:color w:val="auto"/>
                <w:sz w:val="20"/>
                <w:szCs w:val="20"/>
                <w:highlight w:val="none"/>
                <w:u w:val="single"/>
                <w:shd w:val="clear" w:color="auto" w:fill="FFFFFF"/>
              </w:rPr>
              <w:t>绍兴市国信公证处</w:t>
            </w:r>
            <w:r>
              <w:rPr>
                <w:rFonts w:hint="eastAsia" w:ascii="宋体" w:hAnsi="宋体" w:cs="宋体"/>
                <w:color w:val="auto"/>
                <w:sz w:val="20"/>
                <w:szCs w:val="20"/>
                <w:highlight w:val="none"/>
                <w:shd w:val="clear" w:color="auto" w:fill="FFFFFF"/>
              </w:rPr>
              <w:t>予以公证。</w:t>
            </w:r>
          </w:p>
        </w:tc>
      </w:tr>
    </w:tbl>
    <w:p>
      <w:pPr>
        <w:rPr>
          <w:color w:val="auto"/>
          <w:highlight w:val="none"/>
        </w:rPr>
      </w:pPr>
    </w:p>
    <w:p>
      <w:pPr>
        <w:pStyle w:val="4"/>
        <w:rPr>
          <w:color w:val="auto"/>
          <w:highlight w:val="none"/>
        </w:rPr>
      </w:pPr>
      <w:bookmarkStart w:id="2" w:name="_Toc29615"/>
      <w:r>
        <w:rPr>
          <w:rFonts w:hint="eastAsia"/>
          <w:color w:val="auto"/>
          <w:highlight w:val="none"/>
        </w:rPr>
        <w:br w:type="page"/>
      </w:r>
      <w:r>
        <w:rPr>
          <w:rFonts w:hint="eastAsia"/>
          <w:color w:val="auto"/>
          <w:highlight w:val="none"/>
        </w:rPr>
        <w:t>第二章</w:t>
      </w:r>
      <w:r>
        <w:rPr>
          <w:color w:val="auto"/>
          <w:highlight w:val="none"/>
        </w:rPr>
        <w:t xml:space="preserve"> </w:t>
      </w:r>
      <w:r>
        <w:rPr>
          <w:rFonts w:hint="eastAsia"/>
          <w:color w:val="auto"/>
          <w:highlight w:val="none"/>
        </w:rPr>
        <w:t>投标人须知</w:t>
      </w:r>
      <w:bookmarkEnd w:id="2"/>
    </w:p>
    <w:p>
      <w:pPr>
        <w:pStyle w:val="41"/>
        <w:spacing w:line="440" w:lineRule="exact"/>
        <w:rPr>
          <w:rFonts w:asciiTheme="minorEastAsia" w:hAnsiTheme="minorEastAsia" w:eastAsiaTheme="minorEastAsia" w:cstheme="minorEastAsia"/>
          <w:color w:val="auto"/>
          <w:sz w:val="24"/>
          <w:szCs w:val="24"/>
          <w:highlight w:val="none"/>
        </w:rPr>
      </w:pPr>
      <w:bookmarkStart w:id="3" w:name="_Toc392345909"/>
      <w:bookmarkStart w:id="4" w:name="_Toc11269"/>
      <w:r>
        <w:rPr>
          <w:rFonts w:hint="eastAsia" w:asciiTheme="minorEastAsia" w:hAnsiTheme="minorEastAsia" w:eastAsiaTheme="minorEastAsia" w:cstheme="minorEastAsia"/>
          <w:color w:val="auto"/>
          <w:sz w:val="24"/>
          <w:szCs w:val="24"/>
          <w:highlight w:val="none"/>
        </w:rPr>
        <w:t>1. 总则</w:t>
      </w:r>
      <w:bookmarkEnd w:id="3"/>
      <w:bookmarkEnd w:id="4"/>
    </w:p>
    <w:p>
      <w:pPr>
        <w:pStyle w:val="42"/>
        <w:spacing w:line="440" w:lineRule="exact"/>
        <w:rPr>
          <w:rFonts w:asciiTheme="minorEastAsia" w:hAnsiTheme="minorEastAsia" w:eastAsiaTheme="minorEastAsia" w:cstheme="minorEastAsia"/>
          <w:b/>
          <w:color w:val="auto"/>
          <w:szCs w:val="24"/>
          <w:highlight w:val="none"/>
        </w:rPr>
      </w:pPr>
      <w:bookmarkStart w:id="5" w:name="_Toc152042306"/>
      <w:bookmarkStart w:id="6" w:name="_Toc392345910"/>
      <w:bookmarkStart w:id="7" w:name="_Toc229646712"/>
      <w:bookmarkStart w:id="8" w:name="_Toc9106"/>
      <w:bookmarkStart w:id="9" w:name="_Toc152045530"/>
      <w:bookmarkStart w:id="10" w:name="_Toc144974498"/>
      <w:r>
        <w:rPr>
          <w:rFonts w:hint="eastAsia" w:asciiTheme="minorEastAsia" w:hAnsiTheme="minorEastAsia" w:eastAsiaTheme="minorEastAsia" w:cstheme="minorEastAsia"/>
          <w:b/>
          <w:color w:val="auto"/>
          <w:szCs w:val="24"/>
          <w:highlight w:val="none"/>
        </w:rPr>
        <w:t>1.1 项目概况</w:t>
      </w:r>
      <w:bookmarkEnd w:id="5"/>
      <w:bookmarkEnd w:id="6"/>
      <w:bookmarkEnd w:id="7"/>
      <w:bookmarkEnd w:id="8"/>
      <w:bookmarkEnd w:id="9"/>
      <w:bookmarkEnd w:id="1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1.1.1根据《中华人民共和国招标投标法》、《中华人民共和国招标投标法实施条例》、《浙江省招标投标条例》、《评标委员会和评标办法暂行规定》（国家发展计划委员会等七部委第12号令）、《浙江省重点建设工程发包承包管理办法》等有关法律、法规和规章的规定，本项目已具备招标条件，现对本货物采购标段进行招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1.1.2 本招标项目招标人：见投标人须知前附表。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1.1.3 本招标项目招标代理机构：见投标人须知前附表。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1.1.4 本招标项目名称：见投标人须知前附表。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1.1.5 本招标项目建设地点：见投标人须知前附表。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1" w:name="_Toc392345911"/>
      <w:bookmarkStart w:id="12" w:name="_Toc152042307"/>
      <w:bookmarkStart w:id="13" w:name="_Toc144974499"/>
      <w:bookmarkStart w:id="14" w:name="_Toc229646713"/>
      <w:bookmarkStart w:id="15" w:name="_Toc3629"/>
      <w:bookmarkStart w:id="16" w:name="_Toc152045531"/>
      <w:r>
        <w:rPr>
          <w:rFonts w:hint="eastAsia" w:asciiTheme="minorEastAsia" w:hAnsiTheme="minorEastAsia" w:eastAsiaTheme="minorEastAsia" w:cstheme="minorEastAsia"/>
          <w:b/>
          <w:color w:val="auto"/>
          <w:szCs w:val="24"/>
          <w:highlight w:val="none"/>
        </w:rPr>
        <w:t>1.2 资金来源和落实情况</w:t>
      </w:r>
      <w:bookmarkEnd w:id="11"/>
      <w:bookmarkEnd w:id="12"/>
      <w:bookmarkEnd w:id="13"/>
      <w:bookmarkEnd w:id="14"/>
      <w:bookmarkEnd w:id="15"/>
      <w:bookmarkEnd w:id="1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1.2.1 本招标项目的资金来源及出资比例：见投标人须知前附表。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1.2.2本招标项目的资金落实情况：见投标人须知前附表。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7" w:name="_Toc229646714"/>
      <w:bookmarkStart w:id="18" w:name="_Toc392345912"/>
      <w:bookmarkStart w:id="19" w:name="_Toc152042308"/>
      <w:bookmarkStart w:id="20" w:name="_Toc460"/>
      <w:bookmarkStart w:id="21" w:name="_Toc144974500"/>
      <w:bookmarkStart w:id="22" w:name="_Toc152045532"/>
      <w:r>
        <w:rPr>
          <w:rFonts w:hint="eastAsia" w:asciiTheme="minorEastAsia" w:hAnsiTheme="minorEastAsia" w:eastAsiaTheme="minorEastAsia" w:cstheme="minorEastAsia"/>
          <w:b/>
          <w:color w:val="auto"/>
          <w:szCs w:val="24"/>
          <w:highlight w:val="none"/>
        </w:rPr>
        <w:t>1.3 招标范围及计划服务期</w:t>
      </w:r>
      <w:bookmarkEnd w:id="17"/>
      <w:bookmarkEnd w:id="18"/>
      <w:bookmarkEnd w:id="19"/>
      <w:bookmarkEnd w:id="20"/>
      <w:bookmarkEnd w:id="21"/>
      <w:bookmarkEnd w:id="2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1.3.1 本次招标范围：见投标人须知前附表。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1.3.2 本招标项目的计划服务期：见投标人须知前附表。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3" w:name="_Toc152045534"/>
      <w:bookmarkStart w:id="24" w:name="_Toc144974502"/>
      <w:bookmarkStart w:id="25" w:name="_Toc392345913"/>
      <w:bookmarkStart w:id="26" w:name="_Toc229646715"/>
      <w:bookmarkStart w:id="27" w:name="_Toc22287"/>
      <w:bookmarkStart w:id="28" w:name="_Toc152042310"/>
      <w:r>
        <w:rPr>
          <w:rFonts w:hint="eastAsia" w:asciiTheme="minorEastAsia" w:hAnsiTheme="minorEastAsia" w:eastAsiaTheme="minorEastAsia" w:cstheme="minorEastAsia"/>
          <w:b/>
          <w:color w:val="auto"/>
          <w:szCs w:val="24"/>
          <w:highlight w:val="none"/>
        </w:rPr>
        <w:t>1.4 投标人资格要求</w:t>
      </w:r>
      <w:bookmarkEnd w:id="23"/>
      <w:bookmarkEnd w:id="24"/>
      <w:bookmarkEnd w:id="25"/>
      <w:bookmarkEnd w:id="26"/>
      <w:bookmarkEnd w:id="27"/>
      <w:bookmarkEnd w:id="2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1.4.1投标人应具备承担本标段服务的资格条件、要求。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（1）资质条件：见投标人须知前附表；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（2）业绩要求：见投标人须知前附表；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（3）信誉要求：见投标人须知前附表；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（4）其他要求：见投标人须知前附表。</w:t>
      </w:r>
    </w:p>
    <w:p>
      <w:pPr>
        <w:ind w:firstLine="480" w:firstLineChars="200"/>
        <w:rPr>
          <w:rFonts w:asciiTheme="minorEastAsia" w:hAnsiTheme="minorEastAsia" w:eastAsiaTheme="minorEastAsia" w:cstheme="minorEastAsia"/>
          <w:strike/>
          <w:color w:val="auto"/>
          <w:sz w:val="24"/>
          <w:szCs w:val="24"/>
          <w:highlight w:val="none"/>
        </w:rPr>
      </w:pPr>
      <w:bookmarkStart w:id="29" w:name="_Toc152045535"/>
      <w:bookmarkStart w:id="30" w:name="_Toc229646716"/>
      <w:bookmarkStart w:id="31" w:name="_Toc152042311"/>
      <w:bookmarkStart w:id="32" w:name="_Toc144974503"/>
      <w:r>
        <w:rPr>
          <w:rFonts w:hint="eastAsia" w:asciiTheme="minorEastAsia" w:hAnsiTheme="minorEastAsia" w:eastAsiaTheme="minorEastAsia" w:cstheme="minorEastAsia"/>
          <w:strike/>
          <w:color w:val="auto"/>
          <w:sz w:val="24"/>
          <w:szCs w:val="24"/>
          <w:highlight w:val="none"/>
        </w:rPr>
        <w:t>1.4.2投标人须知前附表规定接受联合体投标的，除应符合本章第1.4.1项和投标人须知前附表的要求外，还应遵守以下规定：</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（1）联合体各方应按招标文件提供的格式签订联合体协议书，明确联合体牵头人和各方权利义务；</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（2）由同一专业的单位组成的联合体，按照资质等级较低的单位确定资质等级；</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（3）联合体各方不得再以自己名次单独或参加其他联合体在同一标段中投标。</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1.4.3投标人不得存在下列情形之一：</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（1）为招标人不具有独立法人资格的附属机构（单位）；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（2）为本标段的代建人；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（3）为本标段提供招标代理服务的；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（4）单位负责人为同一人或者存在控股、管理关系的不同单位，同时参加本标段投标的；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（5）投标人及其法定代表人控股的其他公司，同时参加本标段投标的；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（6）与招标人存在利害关系可能影响招标公正性的法人、其他组织或者个人参加投标的；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（7）被责令停业的；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（8）被暂停或取消投标资格的；</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（9）财产被接管或冻结的。</w:t>
      </w:r>
    </w:p>
    <w:p>
      <w:pPr>
        <w:pStyle w:val="42"/>
        <w:spacing w:line="440" w:lineRule="exact"/>
        <w:rPr>
          <w:rFonts w:asciiTheme="minorEastAsia" w:hAnsiTheme="minorEastAsia" w:eastAsiaTheme="minorEastAsia" w:cstheme="minorEastAsia"/>
          <w:b/>
          <w:color w:val="auto"/>
          <w:szCs w:val="24"/>
          <w:highlight w:val="none"/>
        </w:rPr>
      </w:pPr>
      <w:bookmarkStart w:id="33" w:name="_Toc392345914"/>
      <w:bookmarkStart w:id="34" w:name="_Toc10130"/>
      <w:r>
        <w:rPr>
          <w:rFonts w:hint="eastAsia" w:asciiTheme="minorEastAsia" w:hAnsiTheme="minorEastAsia" w:eastAsiaTheme="minorEastAsia" w:cstheme="minorEastAsia"/>
          <w:b/>
          <w:color w:val="auto"/>
          <w:szCs w:val="24"/>
          <w:highlight w:val="none"/>
        </w:rPr>
        <w:t>1.5 费用承担</w:t>
      </w:r>
      <w:bookmarkEnd w:id="29"/>
      <w:bookmarkEnd w:id="30"/>
      <w:bookmarkEnd w:id="31"/>
      <w:bookmarkEnd w:id="32"/>
      <w:bookmarkEnd w:id="33"/>
      <w:bookmarkEnd w:id="3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投标人准备和参加投标活动发生的费用自理。</w:t>
      </w:r>
    </w:p>
    <w:p>
      <w:pPr>
        <w:pStyle w:val="42"/>
        <w:spacing w:line="440" w:lineRule="exact"/>
        <w:rPr>
          <w:rFonts w:asciiTheme="minorEastAsia" w:hAnsiTheme="minorEastAsia" w:eastAsiaTheme="minorEastAsia" w:cstheme="minorEastAsia"/>
          <w:b/>
          <w:color w:val="auto"/>
          <w:szCs w:val="24"/>
          <w:highlight w:val="none"/>
        </w:rPr>
      </w:pPr>
      <w:bookmarkStart w:id="35" w:name="_Toc144974504"/>
      <w:bookmarkStart w:id="36" w:name="_Toc25357"/>
      <w:bookmarkStart w:id="37" w:name="_Toc152045536"/>
      <w:bookmarkStart w:id="38" w:name="_Toc152042312"/>
      <w:bookmarkStart w:id="39" w:name="_Toc323711750"/>
      <w:bookmarkStart w:id="40" w:name="_Toc245036603"/>
      <w:bookmarkStart w:id="41" w:name="_Toc319407837"/>
      <w:bookmarkStart w:id="42" w:name="_Toc392345915"/>
      <w:bookmarkStart w:id="43" w:name="_Toc322615398"/>
      <w:bookmarkStart w:id="44" w:name="_Toc319408072"/>
      <w:bookmarkStart w:id="45" w:name="_Toc152045542"/>
      <w:bookmarkStart w:id="46" w:name="_Toc144974510"/>
      <w:bookmarkStart w:id="47" w:name="_Toc229646724"/>
      <w:bookmarkStart w:id="48" w:name="_Toc152042318"/>
      <w:r>
        <w:rPr>
          <w:rFonts w:hint="eastAsia" w:asciiTheme="minorEastAsia" w:hAnsiTheme="minorEastAsia" w:eastAsiaTheme="minorEastAsia" w:cstheme="minorEastAsia"/>
          <w:b/>
          <w:color w:val="auto"/>
          <w:szCs w:val="24"/>
          <w:highlight w:val="none"/>
        </w:rPr>
        <w:t>1.6 保密</w:t>
      </w:r>
      <w:bookmarkEnd w:id="35"/>
      <w:bookmarkEnd w:id="36"/>
      <w:bookmarkEnd w:id="37"/>
      <w:bookmarkEnd w:id="38"/>
      <w:bookmarkEnd w:id="39"/>
      <w:bookmarkEnd w:id="40"/>
      <w:bookmarkEnd w:id="41"/>
      <w:bookmarkEnd w:id="42"/>
      <w:bookmarkEnd w:id="43"/>
      <w:bookmarkEnd w:id="4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参与招标投标活动的各方应对招标文件和投标文件中的商业和技术等秘密保密，违者应对由此造成的后果承担法律责任。 </w:t>
      </w:r>
    </w:p>
    <w:p>
      <w:pPr>
        <w:pStyle w:val="42"/>
        <w:spacing w:line="440" w:lineRule="exact"/>
        <w:rPr>
          <w:rFonts w:asciiTheme="minorEastAsia" w:hAnsiTheme="minorEastAsia" w:eastAsiaTheme="minorEastAsia" w:cstheme="minorEastAsia"/>
          <w:b/>
          <w:color w:val="auto"/>
          <w:szCs w:val="24"/>
          <w:highlight w:val="none"/>
        </w:rPr>
      </w:pPr>
      <w:bookmarkStart w:id="49" w:name="_Toc144974505"/>
      <w:bookmarkStart w:id="50" w:name="_Toc322615399"/>
      <w:bookmarkStart w:id="51" w:name="_Toc152045537"/>
      <w:bookmarkStart w:id="52" w:name="_Toc4033"/>
      <w:bookmarkStart w:id="53" w:name="_Toc323711751"/>
      <w:bookmarkStart w:id="54" w:name="_Toc152042313"/>
      <w:bookmarkStart w:id="55" w:name="_Toc392345916"/>
      <w:bookmarkStart w:id="56" w:name="_Toc319408073"/>
      <w:bookmarkStart w:id="57" w:name="_Toc245036604"/>
      <w:bookmarkStart w:id="58" w:name="_Toc319407838"/>
      <w:r>
        <w:rPr>
          <w:rFonts w:hint="eastAsia" w:asciiTheme="minorEastAsia" w:hAnsiTheme="minorEastAsia" w:eastAsiaTheme="minorEastAsia" w:cstheme="minorEastAsia"/>
          <w:b/>
          <w:color w:val="auto"/>
          <w:szCs w:val="24"/>
          <w:highlight w:val="none"/>
        </w:rPr>
        <w:t>1.7 语言</w:t>
      </w:r>
      <w:bookmarkEnd w:id="49"/>
      <w:r>
        <w:rPr>
          <w:rFonts w:hint="eastAsia" w:asciiTheme="minorEastAsia" w:hAnsiTheme="minorEastAsia" w:eastAsiaTheme="minorEastAsia" w:cstheme="minorEastAsia"/>
          <w:b/>
          <w:color w:val="auto"/>
          <w:szCs w:val="24"/>
          <w:highlight w:val="none"/>
        </w:rPr>
        <w:t>文字</w:t>
      </w:r>
      <w:bookmarkEnd w:id="50"/>
      <w:bookmarkEnd w:id="51"/>
      <w:bookmarkEnd w:id="52"/>
      <w:bookmarkEnd w:id="53"/>
      <w:bookmarkEnd w:id="54"/>
      <w:bookmarkEnd w:id="55"/>
      <w:bookmarkEnd w:id="56"/>
      <w:bookmarkEnd w:id="57"/>
      <w:bookmarkEnd w:id="5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除专用术语外，与招标投标有关的语言均使用中文。必要时专用术语应附有中文注释。</w:t>
      </w:r>
    </w:p>
    <w:p>
      <w:pPr>
        <w:pStyle w:val="42"/>
        <w:spacing w:line="440" w:lineRule="exact"/>
        <w:rPr>
          <w:rFonts w:asciiTheme="minorEastAsia" w:hAnsiTheme="minorEastAsia" w:eastAsiaTheme="minorEastAsia" w:cstheme="minorEastAsia"/>
          <w:b/>
          <w:color w:val="auto"/>
          <w:szCs w:val="24"/>
          <w:highlight w:val="none"/>
        </w:rPr>
      </w:pPr>
      <w:bookmarkStart w:id="59" w:name="_Toc245036605"/>
      <w:bookmarkStart w:id="60" w:name="_Toc152042314"/>
      <w:bookmarkStart w:id="61" w:name="_Toc319408074"/>
      <w:bookmarkStart w:id="62" w:name="_Toc31144"/>
      <w:bookmarkStart w:id="63" w:name="_Toc392345917"/>
      <w:bookmarkStart w:id="64" w:name="_Toc323711752"/>
      <w:bookmarkStart w:id="65" w:name="_Toc319407839"/>
      <w:bookmarkStart w:id="66" w:name="_Toc152045538"/>
      <w:bookmarkStart w:id="67" w:name="_Toc322615400"/>
      <w:bookmarkStart w:id="68" w:name="_Toc144974506"/>
      <w:r>
        <w:rPr>
          <w:rFonts w:hint="eastAsia" w:asciiTheme="minorEastAsia" w:hAnsiTheme="minorEastAsia" w:eastAsiaTheme="minorEastAsia" w:cstheme="minorEastAsia"/>
          <w:b/>
          <w:color w:val="auto"/>
          <w:szCs w:val="24"/>
          <w:highlight w:val="none"/>
        </w:rPr>
        <w:t>1.8 计量单位</w:t>
      </w:r>
      <w:bookmarkEnd w:id="59"/>
      <w:bookmarkEnd w:id="60"/>
      <w:bookmarkEnd w:id="61"/>
      <w:bookmarkEnd w:id="62"/>
      <w:bookmarkEnd w:id="63"/>
      <w:bookmarkEnd w:id="64"/>
      <w:bookmarkEnd w:id="65"/>
      <w:bookmarkEnd w:id="66"/>
      <w:bookmarkEnd w:id="67"/>
      <w:bookmarkEnd w:id="6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所有计量均采用中华人民共和国法定计量单位。</w:t>
      </w:r>
    </w:p>
    <w:p>
      <w:pPr>
        <w:pStyle w:val="42"/>
        <w:spacing w:line="440" w:lineRule="exact"/>
        <w:rPr>
          <w:rFonts w:asciiTheme="minorEastAsia" w:hAnsiTheme="minorEastAsia" w:eastAsiaTheme="minorEastAsia" w:cstheme="minorEastAsia"/>
          <w:b/>
          <w:color w:val="auto"/>
          <w:szCs w:val="24"/>
          <w:highlight w:val="none"/>
        </w:rPr>
      </w:pPr>
      <w:bookmarkStart w:id="69" w:name="_Toc926"/>
      <w:bookmarkStart w:id="70" w:name="_Toc322615401"/>
      <w:bookmarkStart w:id="71" w:name="_Toc144974507"/>
      <w:bookmarkStart w:id="72" w:name="_Toc152042315"/>
      <w:bookmarkStart w:id="73" w:name="_Toc319407840"/>
      <w:bookmarkStart w:id="74" w:name="_Toc323711753"/>
      <w:bookmarkStart w:id="75" w:name="_Toc152045539"/>
      <w:bookmarkStart w:id="76" w:name="_Toc392345918"/>
      <w:bookmarkStart w:id="77" w:name="_Toc319408075"/>
      <w:bookmarkStart w:id="78" w:name="_Toc245036606"/>
      <w:r>
        <w:rPr>
          <w:rFonts w:hint="eastAsia" w:asciiTheme="minorEastAsia" w:hAnsiTheme="minorEastAsia" w:eastAsiaTheme="minorEastAsia" w:cstheme="minorEastAsia"/>
          <w:b/>
          <w:color w:val="auto"/>
          <w:szCs w:val="24"/>
          <w:highlight w:val="none"/>
        </w:rPr>
        <w:t>1.9 踏勘现场</w:t>
      </w:r>
      <w:bookmarkEnd w:id="69"/>
      <w:bookmarkEnd w:id="70"/>
      <w:bookmarkEnd w:id="71"/>
      <w:bookmarkEnd w:id="72"/>
      <w:bookmarkEnd w:id="73"/>
      <w:bookmarkEnd w:id="74"/>
      <w:bookmarkEnd w:id="75"/>
      <w:bookmarkEnd w:id="76"/>
      <w:bookmarkEnd w:id="77"/>
      <w:bookmarkEnd w:id="7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1.9.1 投标人须知前附表规定组织踏勘现场的，招标人按投标人须知前附表规定的时间、地点组织投标人踏勘项目现场。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1.9.2 投标人踏勘现场发生的费用自理。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1.9.3 除招标人的原因外，投标人自行负责在踏勘现场中所发生的人员伤亡和财产损失。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1.9.4 招标人在踏勘现场中介绍的工程场地和相关的周边环境情况，供投标人在编制投标文件时参考，招标人不对投标人据此作出的判断和决策负责。</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1.9.5 招标人提供的本工程的相关参考资料，并不构成合同文件的组成部分，投标人应对上述资料的解释、推论和应用负责，招标人不对投标人据此作出的判断和决策承担任何责任。</w:t>
      </w:r>
    </w:p>
    <w:p>
      <w:pPr>
        <w:pStyle w:val="42"/>
        <w:spacing w:line="440" w:lineRule="exact"/>
        <w:rPr>
          <w:rFonts w:asciiTheme="minorEastAsia" w:hAnsiTheme="minorEastAsia" w:eastAsiaTheme="minorEastAsia" w:cstheme="minorEastAsia"/>
          <w:b/>
          <w:color w:val="auto"/>
          <w:szCs w:val="24"/>
          <w:highlight w:val="none"/>
        </w:rPr>
      </w:pPr>
      <w:bookmarkStart w:id="79" w:name="_Toc152045540"/>
      <w:bookmarkStart w:id="80" w:name="_Toc392345919"/>
      <w:bookmarkStart w:id="81" w:name="_Toc323711754"/>
      <w:bookmarkStart w:id="82" w:name="_Toc152042316"/>
      <w:bookmarkStart w:id="83" w:name="_Toc245036607"/>
      <w:bookmarkStart w:id="84" w:name="_Toc322615402"/>
      <w:bookmarkStart w:id="85" w:name="_Toc319407841"/>
      <w:bookmarkStart w:id="86" w:name="_Toc319408076"/>
      <w:bookmarkStart w:id="87" w:name="_Toc144974508"/>
      <w:bookmarkStart w:id="88" w:name="_Toc1967"/>
      <w:r>
        <w:rPr>
          <w:rFonts w:hint="eastAsia" w:asciiTheme="minorEastAsia" w:hAnsiTheme="minorEastAsia" w:eastAsiaTheme="minorEastAsia" w:cstheme="minorEastAsia"/>
          <w:b/>
          <w:color w:val="auto"/>
          <w:szCs w:val="24"/>
          <w:highlight w:val="none"/>
        </w:rPr>
        <w:t xml:space="preserve">1.10 </w:t>
      </w:r>
      <w:bookmarkEnd w:id="79"/>
      <w:bookmarkEnd w:id="80"/>
      <w:bookmarkEnd w:id="81"/>
      <w:bookmarkEnd w:id="82"/>
      <w:bookmarkEnd w:id="83"/>
      <w:bookmarkEnd w:id="84"/>
      <w:bookmarkEnd w:id="85"/>
      <w:bookmarkEnd w:id="86"/>
      <w:bookmarkEnd w:id="87"/>
      <w:r>
        <w:rPr>
          <w:rFonts w:hint="eastAsia" w:asciiTheme="minorEastAsia" w:hAnsiTheme="minorEastAsia" w:eastAsiaTheme="minorEastAsia" w:cstheme="minorEastAsia"/>
          <w:b/>
          <w:color w:val="auto"/>
          <w:szCs w:val="24"/>
          <w:highlight w:val="none"/>
        </w:rPr>
        <w:t>投标预备会</w:t>
      </w:r>
      <w:bookmarkEnd w:id="8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1.10.1投标人须知前附表规定召开投标预备会的，招标人按投标人须知前附表规定的时间和地点召开投标预备会，澄清投标人提出的问题。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1.10.2投标人应在投标人须知前附表规定的时间前，以电子邮件的形式（可匿名）将提出的问题发至招标人的电子邮箱。</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1.10.3招标人在投标人须知前附表规定的时间内，将对投标人所提问题进行澄清和对招标文件的补充、修改，并在投标人须知前附表1.10.4指定的网站上公开发布。该澄清内容为招标文件的组成部分。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1.10.4上传疑问邮箱，下载澄清、修改、补充文件网址见投标人须知前附表。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89" w:name="_Toc27344"/>
      <w:r>
        <w:rPr>
          <w:rFonts w:hint="eastAsia" w:asciiTheme="minorEastAsia" w:hAnsiTheme="minorEastAsia" w:eastAsiaTheme="minorEastAsia" w:cstheme="minorEastAsia"/>
          <w:b/>
          <w:color w:val="auto"/>
          <w:szCs w:val="24"/>
          <w:highlight w:val="none"/>
        </w:rPr>
        <w:t>1.11分包</w:t>
      </w:r>
      <w:bookmarkEnd w:id="89"/>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投标人拟在中标后将中标项目的部分非主体、非关键性工作进行分包的，应符合投标人须知前附表规定的分包内容、分包金额和资质要求等限制性条件。</w:t>
      </w:r>
    </w:p>
    <w:p>
      <w:pPr>
        <w:pStyle w:val="42"/>
        <w:spacing w:line="440" w:lineRule="exact"/>
        <w:rPr>
          <w:rFonts w:asciiTheme="minorEastAsia" w:hAnsiTheme="minorEastAsia" w:eastAsiaTheme="minorEastAsia" w:cstheme="minorEastAsia"/>
          <w:b/>
          <w:color w:val="auto"/>
          <w:szCs w:val="24"/>
          <w:highlight w:val="none"/>
        </w:rPr>
      </w:pPr>
      <w:bookmarkStart w:id="90" w:name="_Toc13279"/>
      <w:r>
        <w:rPr>
          <w:rFonts w:hint="eastAsia" w:asciiTheme="minorEastAsia" w:hAnsiTheme="minorEastAsia" w:eastAsiaTheme="minorEastAsia" w:cstheme="minorEastAsia"/>
          <w:b/>
          <w:color w:val="auto"/>
          <w:szCs w:val="24"/>
          <w:highlight w:val="none"/>
        </w:rPr>
        <w:t>1.12偏离</w:t>
      </w:r>
      <w:bookmarkEnd w:id="90"/>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投标人须知前附表允许投标文件偏离招标文件某些要求的，偏离应当符合招标文件</w:t>
      </w:r>
      <w:r>
        <w:rPr>
          <w:rFonts w:hint="eastAsia" w:asciiTheme="minorEastAsia" w:hAnsiTheme="minorEastAsia" w:eastAsiaTheme="minorEastAsia" w:cstheme="minorEastAsia"/>
          <w:color w:val="auto"/>
          <w:sz w:val="24"/>
          <w:szCs w:val="24"/>
          <w:highlight w:val="none"/>
          <w:lang w:eastAsia="zh-CN"/>
        </w:rPr>
        <w:t>的</w:t>
      </w:r>
      <w:r>
        <w:rPr>
          <w:rFonts w:hint="eastAsia" w:asciiTheme="minorEastAsia" w:hAnsiTheme="minorEastAsia" w:eastAsiaTheme="minorEastAsia" w:cstheme="minorEastAsia"/>
          <w:color w:val="auto"/>
          <w:sz w:val="24"/>
          <w:szCs w:val="24"/>
          <w:highlight w:val="none"/>
        </w:rPr>
        <w:t>规定</w:t>
      </w:r>
      <w:r>
        <w:rPr>
          <w:rFonts w:hint="eastAsia" w:asciiTheme="minorEastAsia" w:hAnsiTheme="minorEastAsia" w:eastAsiaTheme="minorEastAsia" w:cstheme="minorEastAsia"/>
          <w:strike/>
          <w:color w:val="auto"/>
          <w:sz w:val="24"/>
          <w:szCs w:val="24"/>
          <w:highlight w:val="none"/>
        </w:rPr>
        <w:t>的偏离范围和幅度</w:t>
      </w:r>
      <w:r>
        <w:rPr>
          <w:rFonts w:hint="eastAsia" w:asciiTheme="minorEastAsia" w:hAnsiTheme="minorEastAsia" w:eastAsiaTheme="minorEastAsia" w:cstheme="minorEastAsia"/>
          <w:color w:val="auto"/>
          <w:sz w:val="24"/>
          <w:szCs w:val="24"/>
          <w:highlight w:val="none"/>
        </w:rPr>
        <w:t>。</w:t>
      </w:r>
    </w:p>
    <w:bookmarkEnd w:id="45"/>
    <w:bookmarkEnd w:id="46"/>
    <w:bookmarkEnd w:id="47"/>
    <w:bookmarkEnd w:id="48"/>
    <w:p>
      <w:pPr>
        <w:pStyle w:val="41"/>
        <w:spacing w:line="440" w:lineRule="exact"/>
        <w:rPr>
          <w:rFonts w:asciiTheme="minorEastAsia" w:hAnsiTheme="minorEastAsia" w:eastAsiaTheme="minorEastAsia" w:cstheme="minorEastAsia"/>
          <w:color w:val="auto"/>
          <w:sz w:val="24"/>
          <w:szCs w:val="24"/>
          <w:highlight w:val="none"/>
        </w:rPr>
      </w:pPr>
      <w:bookmarkStart w:id="91" w:name="_Toc245036610"/>
      <w:bookmarkStart w:id="92" w:name="_Toc323711757"/>
      <w:bookmarkStart w:id="93" w:name="_Toc17"/>
      <w:bookmarkStart w:id="94" w:name="_Toc392345920"/>
      <w:bookmarkStart w:id="95" w:name="_Toc152045546"/>
      <w:bookmarkStart w:id="96" w:name="_Toc152042322"/>
      <w:bookmarkStart w:id="97" w:name="_Toc144974514"/>
      <w:bookmarkStart w:id="98" w:name="_Toc229646728"/>
      <w:bookmarkStart w:id="99" w:name="_Toc152045548"/>
      <w:bookmarkStart w:id="100" w:name="_Toc144974516"/>
      <w:bookmarkStart w:id="101" w:name="_Toc152042324"/>
      <w:bookmarkStart w:id="102" w:name="_Toc229646730"/>
      <w:r>
        <w:rPr>
          <w:rFonts w:hint="eastAsia" w:asciiTheme="minorEastAsia" w:hAnsiTheme="minorEastAsia" w:eastAsiaTheme="minorEastAsia" w:cstheme="minorEastAsia"/>
          <w:color w:val="auto"/>
          <w:sz w:val="24"/>
          <w:szCs w:val="24"/>
          <w:highlight w:val="none"/>
        </w:rPr>
        <w:t>2. 招标文件</w:t>
      </w:r>
      <w:bookmarkEnd w:id="91"/>
      <w:bookmarkEnd w:id="92"/>
      <w:bookmarkEnd w:id="93"/>
      <w:bookmarkEnd w:id="94"/>
    </w:p>
    <w:p>
      <w:pPr>
        <w:pStyle w:val="42"/>
        <w:spacing w:line="440" w:lineRule="exact"/>
        <w:rPr>
          <w:rFonts w:asciiTheme="minorEastAsia" w:hAnsiTheme="minorEastAsia" w:eastAsiaTheme="minorEastAsia" w:cstheme="minorEastAsia"/>
          <w:b/>
          <w:color w:val="auto"/>
          <w:szCs w:val="24"/>
          <w:highlight w:val="none"/>
        </w:rPr>
      </w:pPr>
      <w:bookmarkStart w:id="103" w:name="_Toc152042319"/>
      <w:bookmarkStart w:id="104" w:name="_Toc322615406"/>
      <w:bookmarkStart w:id="105" w:name="_Toc392345921"/>
      <w:bookmarkStart w:id="106" w:name="_Toc144974511"/>
      <w:bookmarkStart w:id="107" w:name="_Toc26955"/>
      <w:bookmarkStart w:id="108" w:name="_Toc245036611"/>
      <w:bookmarkStart w:id="109" w:name="_Toc319408080"/>
      <w:bookmarkStart w:id="110" w:name="_Toc323711758"/>
      <w:bookmarkStart w:id="111" w:name="_Toc319407845"/>
      <w:bookmarkStart w:id="112" w:name="_Toc152045543"/>
      <w:r>
        <w:rPr>
          <w:rFonts w:hint="eastAsia" w:asciiTheme="minorEastAsia" w:hAnsiTheme="minorEastAsia" w:eastAsiaTheme="minorEastAsia" w:cstheme="minorEastAsia"/>
          <w:b/>
          <w:color w:val="auto"/>
          <w:szCs w:val="24"/>
          <w:highlight w:val="none"/>
        </w:rPr>
        <w:t>2.1 招标文件的组成</w:t>
      </w:r>
      <w:bookmarkEnd w:id="103"/>
      <w:bookmarkEnd w:id="104"/>
      <w:bookmarkEnd w:id="105"/>
      <w:bookmarkEnd w:id="106"/>
      <w:bookmarkEnd w:id="107"/>
      <w:bookmarkEnd w:id="108"/>
      <w:bookmarkEnd w:id="109"/>
      <w:bookmarkEnd w:id="110"/>
      <w:bookmarkEnd w:id="111"/>
      <w:bookmarkEnd w:id="11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本招标文件包括：</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（1）招标公告；</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（2）投标人须知；</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（3）评标办法；</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（4）合同条款及格式；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（5）招标内容和技术要求； </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（6）投标文件格式；</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（7）投标人须知前附表规定的其他材料。</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根据本章第1.10款、第2.2款对招标文件所作的澄清、修改，构成招标文件的组成部分。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招标文件、招标文件的澄清或修改等在同一内容的表述上不一致时，以最后发出的书面文件为准。</w:t>
      </w:r>
    </w:p>
    <w:p>
      <w:pPr>
        <w:pStyle w:val="42"/>
        <w:spacing w:line="440" w:lineRule="exact"/>
        <w:rPr>
          <w:rFonts w:asciiTheme="minorEastAsia" w:hAnsiTheme="minorEastAsia" w:eastAsiaTheme="minorEastAsia" w:cstheme="minorEastAsia"/>
          <w:b/>
          <w:color w:val="auto"/>
          <w:szCs w:val="24"/>
          <w:highlight w:val="none"/>
        </w:rPr>
      </w:pPr>
      <w:bookmarkStart w:id="113" w:name="_Toc144974512"/>
      <w:bookmarkStart w:id="114" w:name="_Toc152042320"/>
      <w:bookmarkStart w:id="115" w:name="_Toc392345922"/>
      <w:bookmarkStart w:id="116" w:name="_Toc319407846"/>
      <w:bookmarkStart w:id="117" w:name="_Toc319408081"/>
      <w:bookmarkStart w:id="118" w:name="_Toc245036612"/>
      <w:bookmarkStart w:id="119" w:name="_Toc323711759"/>
      <w:bookmarkStart w:id="120" w:name="_Toc14430"/>
      <w:bookmarkStart w:id="121" w:name="_Toc322615407"/>
      <w:bookmarkStart w:id="122" w:name="_Toc152045544"/>
      <w:r>
        <w:rPr>
          <w:rFonts w:hint="eastAsia" w:asciiTheme="minorEastAsia" w:hAnsiTheme="minorEastAsia" w:eastAsiaTheme="minorEastAsia" w:cstheme="minorEastAsia"/>
          <w:b/>
          <w:color w:val="auto"/>
          <w:szCs w:val="24"/>
          <w:highlight w:val="none"/>
        </w:rPr>
        <w:t>2.2 招标文件的澄清</w:t>
      </w:r>
      <w:bookmarkEnd w:id="113"/>
      <w:bookmarkEnd w:id="114"/>
      <w:bookmarkEnd w:id="115"/>
      <w:bookmarkEnd w:id="116"/>
      <w:bookmarkEnd w:id="117"/>
      <w:bookmarkEnd w:id="118"/>
      <w:bookmarkEnd w:id="119"/>
      <w:bookmarkEnd w:id="120"/>
      <w:bookmarkEnd w:id="121"/>
      <w:bookmarkEnd w:id="122"/>
      <w:r>
        <w:rPr>
          <w:rFonts w:hint="eastAsia" w:asciiTheme="minorEastAsia" w:hAnsiTheme="minorEastAsia" w:eastAsiaTheme="minorEastAsia" w:cstheme="minorEastAsia"/>
          <w:b/>
          <w:color w:val="auto"/>
          <w:szCs w:val="24"/>
          <w:highlight w:val="none"/>
        </w:rPr>
        <w:t>和修改</w:t>
      </w:r>
    </w:p>
    <w:p>
      <w:pPr>
        <w:spacing w:line="360" w:lineRule="exact"/>
        <w:ind w:firstLine="480" w:firstLineChars="200"/>
        <w:rPr>
          <w:rFonts w:ascii="宋体" w:hAnsi="宋体"/>
          <w:color w:val="auto"/>
          <w:sz w:val="24"/>
          <w:szCs w:val="24"/>
          <w:highlight w:val="none"/>
        </w:rPr>
      </w:pPr>
      <w:bookmarkStart w:id="123" w:name="_Toc3662"/>
      <w:bookmarkStart w:id="124" w:name="_Toc392345924"/>
      <w:r>
        <w:rPr>
          <w:rFonts w:hint="eastAsia" w:ascii="宋体" w:hAnsi="宋体"/>
          <w:color w:val="auto"/>
          <w:sz w:val="24"/>
          <w:szCs w:val="24"/>
          <w:highlight w:val="none"/>
        </w:rPr>
        <w:t>2.2.1 投标人应仔细阅读和检查招标文件的全部内容。如发现缺页或附件不全，应及时向招标人提出，以便补齐。如有疑问，应在投标人须知前附表规定的时间、形式提交，要求招标人对招标文件予以澄清。</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2.2.2 招标人可以对已发出的招标文件进行必要的澄清或修改。澄清或修改的内容可能影响投标文件编制的，招标人应当在投标截止时间至少</w:t>
      </w:r>
      <w:r>
        <w:rPr>
          <w:rFonts w:ascii="宋体" w:hAnsi="宋体"/>
          <w:color w:val="auto"/>
          <w:sz w:val="24"/>
          <w:szCs w:val="24"/>
          <w:highlight w:val="none"/>
        </w:rPr>
        <w:t>15日前通过绍兴公共资源交易服务平台进行发布，但不指明澄清问题的来源；不足15日的，招标人应当顺延提交投标文件的截止时间</w:t>
      </w:r>
      <w:r>
        <w:rPr>
          <w:rFonts w:hint="eastAsia" w:ascii="宋体" w:hAnsi="宋体"/>
          <w:color w:val="auto"/>
          <w:sz w:val="24"/>
          <w:szCs w:val="24"/>
          <w:highlight w:val="none"/>
        </w:rPr>
        <w:t>。</w:t>
      </w:r>
    </w:p>
    <w:p>
      <w:pPr>
        <w:spacing w:line="360" w:lineRule="exact"/>
        <w:ind w:firstLine="480" w:firstLineChars="200"/>
        <w:rPr>
          <w:rFonts w:ascii="宋体" w:hAnsi="宋体"/>
          <w:color w:val="auto"/>
          <w:sz w:val="24"/>
          <w:szCs w:val="24"/>
          <w:highlight w:val="none"/>
        </w:rPr>
      </w:pPr>
      <w:r>
        <w:rPr>
          <w:rFonts w:hint="eastAsia" w:ascii="宋体" w:hAnsi="宋体"/>
          <w:color w:val="auto"/>
          <w:sz w:val="24"/>
          <w:szCs w:val="24"/>
          <w:highlight w:val="none"/>
        </w:rPr>
        <w:t>2.2.3 投标人确认收到招标文件澄清和修改内容的时间：见投标人须知前附表。</w:t>
      </w:r>
    </w:p>
    <w:p>
      <w:pPr>
        <w:pStyle w:val="41"/>
        <w:spacing w:line="440" w:lineRule="exac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 投标文件</w:t>
      </w:r>
      <w:bookmarkEnd w:id="95"/>
      <w:bookmarkEnd w:id="96"/>
      <w:bookmarkEnd w:id="97"/>
      <w:bookmarkEnd w:id="98"/>
      <w:bookmarkEnd w:id="123"/>
      <w:bookmarkEnd w:id="124"/>
    </w:p>
    <w:p>
      <w:pPr>
        <w:pStyle w:val="42"/>
        <w:spacing w:line="440" w:lineRule="exact"/>
        <w:rPr>
          <w:rFonts w:asciiTheme="minorEastAsia" w:hAnsiTheme="minorEastAsia" w:eastAsiaTheme="minorEastAsia" w:cstheme="minorEastAsia"/>
          <w:b/>
          <w:color w:val="auto"/>
          <w:szCs w:val="24"/>
          <w:highlight w:val="none"/>
        </w:rPr>
      </w:pPr>
      <w:bookmarkStart w:id="125" w:name="_Toc229646729"/>
      <w:bookmarkStart w:id="126" w:name="_Toc22707"/>
      <w:bookmarkStart w:id="127" w:name="_Toc144974515"/>
      <w:bookmarkStart w:id="128" w:name="_Toc392345925"/>
      <w:bookmarkStart w:id="129" w:name="_Toc152042323"/>
      <w:bookmarkStart w:id="130" w:name="_Toc152045547"/>
      <w:r>
        <w:rPr>
          <w:rFonts w:hint="eastAsia" w:asciiTheme="minorEastAsia" w:hAnsiTheme="minorEastAsia" w:eastAsiaTheme="minorEastAsia" w:cstheme="minorEastAsia"/>
          <w:b/>
          <w:color w:val="auto"/>
          <w:szCs w:val="24"/>
          <w:highlight w:val="none"/>
        </w:rPr>
        <w:t>3.1 投标文件的组成</w:t>
      </w:r>
      <w:bookmarkEnd w:id="125"/>
      <w:bookmarkEnd w:id="126"/>
      <w:bookmarkEnd w:id="127"/>
      <w:bookmarkEnd w:id="128"/>
      <w:bookmarkEnd w:id="129"/>
      <w:bookmarkEnd w:id="130"/>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3.1.1商务标部分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3"/>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u w:val="single"/>
        </w:rPr>
        <w:t>（</w:t>
      </w:r>
      <w:r>
        <w:rPr>
          <w:rFonts w:hint="eastAsia" w:asciiTheme="minorEastAsia" w:hAnsiTheme="minorEastAsia" w:eastAsiaTheme="minorEastAsia" w:cstheme="minorEastAsia"/>
          <w:i/>
          <w:color w:val="auto"/>
          <w:sz w:val="24"/>
          <w:szCs w:val="24"/>
          <w:highlight w:val="none"/>
        </w:rPr>
        <w:t>招标人需要增加的其他商务内容）</w:t>
      </w:r>
      <w:r>
        <w:rPr>
          <w:rFonts w:hint="eastAsia" w:asciiTheme="minorEastAsia" w:hAnsiTheme="minorEastAsia" w:eastAsiaTheme="minorEastAsia" w:cstheme="minorEastAsia"/>
          <w:color w:val="auto"/>
          <w:sz w:val="24"/>
          <w:szCs w:val="24"/>
          <w:highlight w:val="none"/>
        </w:rPr>
        <w:t>。</w:t>
      </w:r>
    </w:p>
    <w:p>
      <w:pPr>
        <w:pStyle w:val="9"/>
        <w:ind w:firstLine="360" w:firstLineChars="1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3.1.2技术标部分</w:t>
      </w:r>
    </w:p>
    <w:p>
      <w:pPr>
        <w:pStyle w:val="9"/>
        <w:ind w:firstLine="410" w:firstLineChars="171"/>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☑（1）货物说明一览表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9"/>
        <w:ind w:firstLine="410" w:firstLineChars="171"/>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☑（2）技术响应表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9"/>
        <w:ind w:firstLine="410" w:firstLineChars="171"/>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☑（3）主要配置说明一览表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ind w:firstLine="410" w:firstLineChars="171"/>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☑（4）技术规格偏离表</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格式自拟</w:t>
      </w:r>
      <w:r>
        <w:rPr>
          <w:rFonts w:hint="eastAsia" w:asciiTheme="minorEastAsia" w:hAnsiTheme="minorEastAsia" w:eastAsiaTheme="minorEastAsia" w:cstheme="minorEastAsia"/>
          <w:color w:val="auto"/>
          <w:sz w:val="24"/>
          <w:szCs w:val="24"/>
          <w:highlight w:val="none"/>
          <w:lang w:eastAsia="zh-CN"/>
        </w:rPr>
        <w:t>）</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☑（5）投标方案图纸、产品详细技术规格书</w:t>
      </w:r>
      <w:r>
        <w:rPr>
          <w:rFonts w:hint="eastAsia" w:asciiTheme="minorEastAsia" w:hAnsiTheme="minorEastAsia" w:eastAsiaTheme="minorEastAsia" w:cstheme="minorEastAsia"/>
          <w:strike/>
          <w:color w:val="auto"/>
          <w:sz w:val="24"/>
          <w:szCs w:val="24"/>
          <w:highlight w:val="none"/>
        </w:rPr>
        <w:t>及所投产品的样本</w:t>
      </w:r>
      <w:r>
        <w:rPr>
          <w:rFonts w:hint="eastAsia" w:asciiTheme="minorEastAsia" w:hAnsiTheme="minorEastAsia" w:eastAsiaTheme="minorEastAsia" w:cstheme="minorEastAsia"/>
          <w:color w:val="auto"/>
          <w:sz w:val="24"/>
          <w:szCs w:val="24"/>
          <w:highlight w:val="none"/>
        </w:rPr>
        <w:t>及本招标文件中规定的其它必须提供的文件及资料。</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☑（6）产品的主要技术、结构、性能、特点和质量水平的详细描述</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☑（7）产品制造、安装、验收标准</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☑（8）主要工艺装备和主要检测设施的拥有情况和现状</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☑（9）质量手册或关于质量管理、质量体系、质量控制、质量保证的详细介绍</w:t>
      </w:r>
    </w:p>
    <w:p>
      <w:pPr>
        <w:pStyle w:val="9"/>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 产品的技术服务和售后服务的内容和措施</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（招标人需要增加的其他技术内容）</w:t>
      </w:r>
      <w:r>
        <w:rPr>
          <w:rFonts w:hint="eastAsia" w:asciiTheme="minorEastAsia" w:hAnsiTheme="minorEastAsia" w:eastAsiaTheme="minorEastAsia" w:cstheme="minorEastAsia"/>
          <w:color w:val="auto"/>
          <w:sz w:val="24"/>
          <w:szCs w:val="24"/>
          <w:highlight w:val="none"/>
        </w:rPr>
        <w:t>。</w:t>
      </w:r>
    </w:p>
    <w:p>
      <w:pPr>
        <w:widowControl/>
        <w:ind w:firstLine="482"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注：未尽事宜请各投标单位按技术部分评分标准制作</w:t>
      </w:r>
      <w:r>
        <w:rPr>
          <w:rFonts w:asciiTheme="minorEastAsia" w:hAnsiTheme="minorEastAsia" w:eastAsiaTheme="minorEastAsia" w:cstheme="minorEastAsia"/>
          <w:b/>
          <w:color w:val="auto"/>
          <w:sz w:val="24"/>
          <w:szCs w:val="24"/>
          <w:highlight w:val="none"/>
        </w:rPr>
        <w:t>(重要)！</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3.1.3资格审查资料</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详见投标人须知前附表第</w:t>
      </w:r>
      <w:r>
        <w:rPr>
          <w:rFonts w:asciiTheme="minorEastAsia" w:hAnsiTheme="minorEastAsia" w:eastAsiaTheme="minorEastAsia" w:cstheme="minorEastAsia"/>
          <w:color w:val="auto"/>
          <w:sz w:val="24"/>
          <w:szCs w:val="24"/>
          <w:highlight w:val="none"/>
          <w:lang w:bidi="ar"/>
        </w:rPr>
        <w:t xml:space="preserve"> 3.5 </w:t>
      </w:r>
      <w:r>
        <w:rPr>
          <w:rFonts w:hint="eastAsia" w:asciiTheme="minorEastAsia" w:hAnsiTheme="minorEastAsia" w:eastAsiaTheme="minorEastAsia" w:cstheme="minorEastAsia"/>
          <w:color w:val="auto"/>
          <w:sz w:val="24"/>
          <w:szCs w:val="24"/>
          <w:highlight w:val="none"/>
          <w:lang w:bidi="ar"/>
        </w:rPr>
        <w:t>条款。</w:t>
      </w:r>
    </w:p>
    <w:p>
      <w:pPr>
        <w:pStyle w:val="42"/>
        <w:spacing w:line="440" w:lineRule="exact"/>
        <w:rPr>
          <w:rFonts w:asciiTheme="minorEastAsia" w:hAnsiTheme="minorEastAsia" w:eastAsiaTheme="minorEastAsia" w:cstheme="minorEastAsia"/>
          <w:b/>
          <w:color w:val="auto"/>
          <w:szCs w:val="24"/>
          <w:highlight w:val="none"/>
        </w:rPr>
      </w:pPr>
      <w:bookmarkStart w:id="131" w:name="_Toc5081"/>
      <w:bookmarkStart w:id="132" w:name="_Toc392345926"/>
      <w:r>
        <w:rPr>
          <w:rFonts w:hint="eastAsia" w:asciiTheme="minorEastAsia" w:hAnsiTheme="minorEastAsia" w:eastAsiaTheme="minorEastAsia" w:cstheme="minorEastAsia"/>
          <w:b/>
          <w:color w:val="auto"/>
          <w:szCs w:val="24"/>
          <w:highlight w:val="none"/>
        </w:rPr>
        <w:t>3.2 投标报价</w:t>
      </w:r>
      <w:bookmarkEnd w:id="99"/>
      <w:bookmarkEnd w:id="100"/>
      <w:bookmarkEnd w:id="101"/>
      <w:bookmarkEnd w:id="102"/>
      <w:bookmarkEnd w:id="131"/>
      <w:bookmarkEnd w:id="132"/>
    </w:p>
    <w:p>
      <w:pPr>
        <w:ind w:firstLine="480" w:firstLineChars="200"/>
        <w:rPr>
          <w:rFonts w:asciiTheme="minorEastAsia" w:hAnsiTheme="minorEastAsia" w:eastAsiaTheme="minorEastAsia" w:cstheme="minorEastAsia"/>
          <w:color w:val="auto"/>
          <w:sz w:val="24"/>
          <w:szCs w:val="24"/>
          <w:highlight w:val="none"/>
        </w:rPr>
      </w:pPr>
      <w:bookmarkStart w:id="133" w:name="_Toc152042325"/>
      <w:bookmarkStart w:id="134" w:name="_Toc144974517"/>
      <w:bookmarkStart w:id="135" w:name="_Toc229646731"/>
      <w:bookmarkStart w:id="136" w:name="_Toc152045549"/>
      <w:r>
        <w:rPr>
          <w:rFonts w:hint="eastAsia" w:asciiTheme="minorEastAsia" w:hAnsiTheme="minorEastAsia" w:eastAsiaTheme="minorEastAsia" w:cstheme="minorEastAsia"/>
          <w:color w:val="auto"/>
          <w:sz w:val="24"/>
          <w:szCs w:val="24"/>
          <w:highlight w:val="none"/>
        </w:rPr>
        <w:t>3.2.1 投标人应按本招标文件中“投标文件格式”的要求填写相应表格。</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 投标人在投标截止时间前修改投标函中的投标总报价，应同时修改本招标文件中“投标文件格式”中的相应报价。此修改须符合本章第4.3款的有关要求。</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3.2.3招标人设有最高投标限价的，投标人的投标报价不得超过最高投标限价，最高投标限价详见投标人须知前附表。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3.2.4投标报价的其他要求详见投标人须知前附表。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37" w:name="_Toc22162"/>
      <w:bookmarkStart w:id="138" w:name="_Toc392345927"/>
      <w:r>
        <w:rPr>
          <w:rFonts w:hint="eastAsia" w:asciiTheme="minorEastAsia" w:hAnsiTheme="minorEastAsia" w:eastAsiaTheme="minorEastAsia" w:cstheme="minorEastAsia"/>
          <w:b/>
          <w:color w:val="auto"/>
          <w:szCs w:val="24"/>
          <w:highlight w:val="none"/>
        </w:rPr>
        <w:t>3.3 投标有效期</w:t>
      </w:r>
      <w:bookmarkEnd w:id="133"/>
      <w:bookmarkEnd w:id="134"/>
      <w:bookmarkEnd w:id="135"/>
      <w:bookmarkEnd w:id="136"/>
      <w:bookmarkEnd w:id="137"/>
      <w:bookmarkEnd w:id="138"/>
    </w:p>
    <w:p>
      <w:pPr>
        <w:ind w:firstLine="480" w:firstLineChars="200"/>
        <w:rPr>
          <w:rFonts w:asciiTheme="minorEastAsia" w:hAnsiTheme="minorEastAsia" w:eastAsiaTheme="minorEastAsia" w:cstheme="minorEastAsia"/>
          <w:color w:val="auto"/>
          <w:sz w:val="24"/>
          <w:szCs w:val="24"/>
          <w:highlight w:val="none"/>
        </w:rPr>
      </w:pPr>
      <w:bookmarkStart w:id="139" w:name="_Toc152042326"/>
      <w:bookmarkStart w:id="140" w:name="_Toc144974518"/>
      <w:bookmarkStart w:id="141" w:name="_Toc229646732"/>
      <w:bookmarkStart w:id="142" w:name="_Toc152045550"/>
      <w:r>
        <w:rPr>
          <w:rFonts w:hint="eastAsia" w:asciiTheme="minorEastAsia" w:hAnsiTheme="minorEastAsia" w:eastAsiaTheme="minorEastAsia" w:cstheme="minorEastAsia"/>
          <w:color w:val="auto"/>
          <w:sz w:val="24"/>
          <w:szCs w:val="24"/>
          <w:highlight w:val="none"/>
        </w:rPr>
        <w:t>3.3.1 在投标人须知前附表规定的投标有效期内，投标人不得撤销其投标文件。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 </w:t>
      </w:r>
    </w:p>
    <w:p>
      <w:pPr>
        <w:pStyle w:val="42"/>
        <w:spacing w:line="440" w:lineRule="exact"/>
        <w:rPr>
          <w:rFonts w:asciiTheme="minorEastAsia" w:hAnsiTheme="minorEastAsia" w:eastAsiaTheme="minorEastAsia" w:cstheme="minorEastAsia"/>
          <w:b/>
          <w:color w:val="auto"/>
          <w:szCs w:val="24"/>
          <w:highlight w:val="none"/>
        </w:rPr>
      </w:pPr>
      <w:bookmarkStart w:id="143" w:name="_Toc392345928"/>
      <w:bookmarkStart w:id="144" w:name="_Toc10327"/>
      <w:r>
        <w:rPr>
          <w:rFonts w:hint="eastAsia" w:asciiTheme="minorEastAsia" w:hAnsiTheme="minorEastAsia" w:eastAsiaTheme="minorEastAsia" w:cstheme="minorEastAsia"/>
          <w:b/>
          <w:color w:val="auto"/>
          <w:szCs w:val="24"/>
          <w:highlight w:val="none"/>
        </w:rPr>
        <w:t>3.4 投标保证金</w:t>
      </w:r>
      <w:bookmarkEnd w:id="139"/>
      <w:bookmarkEnd w:id="140"/>
      <w:bookmarkEnd w:id="141"/>
      <w:bookmarkEnd w:id="142"/>
      <w:bookmarkEnd w:id="143"/>
      <w:bookmarkEnd w:id="144"/>
    </w:p>
    <w:p>
      <w:pPr>
        <w:ind w:firstLine="480" w:firstLineChars="200"/>
        <w:rPr>
          <w:rFonts w:asciiTheme="minorEastAsia" w:hAnsiTheme="minorEastAsia" w:eastAsiaTheme="minorEastAsia" w:cstheme="minorEastAsia"/>
          <w:color w:val="auto"/>
          <w:sz w:val="24"/>
          <w:szCs w:val="24"/>
          <w:highlight w:val="none"/>
        </w:rPr>
      </w:pPr>
      <w:bookmarkStart w:id="145" w:name="_Toc152042328"/>
      <w:bookmarkStart w:id="146" w:name="_Toc144974520"/>
      <w:bookmarkStart w:id="147" w:name="_Toc229646733"/>
      <w:bookmarkStart w:id="148" w:name="_Toc152045552"/>
      <w:r>
        <w:rPr>
          <w:rFonts w:hint="eastAsia" w:asciiTheme="minorEastAsia" w:hAnsiTheme="minorEastAsia" w:eastAsiaTheme="minorEastAsia" w:cstheme="minorEastAsia"/>
          <w:color w:val="auto"/>
          <w:sz w:val="24"/>
          <w:szCs w:val="24"/>
          <w:highlight w:val="none"/>
        </w:rPr>
        <w:t>3.4.1 投标人应按投标人须知前附表规定的金额、时间及形式递交投标保证金，并作为其投标文件的组成部分。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3.4.2投标人应按本章第3.4.1 项要求提交投标保证金。</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3.4.3</w:t>
      </w:r>
      <w:r>
        <w:rPr>
          <w:rFonts w:hint="eastAsia" w:asciiTheme="minorEastAsia" w:hAnsiTheme="minorEastAsia" w:eastAsiaTheme="minorEastAsia" w:cstheme="minorEastAsia"/>
          <w:color w:val="auto"/>
          <w:sz w:val="24"/>
          <w:szCs w:val="24"/>
          <w:highlight w:val="none"/>
          <w:lang w:bidi="ar"/>
        </w:rPr>
        <w:t>投标保证金的退还：按现行规定退还（中标人的投标保证金在中标人缴纳履约保证金且签订中标合同后按规定程序无息退还）</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3.4.4</w:t>
      </w:r>
      <w:r>
        <w:rPr>
          <w:rFonts w:hint="eastAsia" w:asciiTheme="minorEastAsia" w:hAnsiTheme="minorEastAsia" w:eastAsiaTheme="minorEastAsia" w:cstheme="minorEastAsia"/>
          <w:color w:val="auto"/>
          <w:sz w:val="24"/>
          <w:szCs w:val="24"/>
          <w:highlight w:val="none"/>
          <w:lang w:bidi="ar"/>
        </w:rPr>
        <w:t>有下列情形之一的，投标保证金将不予退还：</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w:t>
      </w:r>
      <w:r>
        <w:rPr>
          <w:rFonts w:hint="eastAsia" w:asciiTheme="minorEastAsia" w:hAnsiTheme="minorEastAsia" w:eastAsiaTheme="minorEastAsia" w:cstheme="minorEastAsia"/>
          <w:color w:val="auto"/>
          <w:sz w:val="24"/>
          <w:szCs w:val="24"/>
          <w:highlight w:val="none"/>
          <w:lang w:bidi="ar"/>
        </w:rPr>
        <w:t>）投标人在规定的投标有效期内撤销或修改其投标文件；</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2</w:t>
      </w:r>
      <w:r>
        <w:rPr>
          <w:rFonts w:hint="eastAsia" w:asciiTheme="minorEastAsia" w:hAnsiTheme="minorEastAsia" w:eastAsiaTheme="minorEastAsia" w:cstheme="minorEastAsia"/>
          <w:color w:val="auto"/>
          <w:sz w:val="24"/>
          <w:szCs w:val="24"/>
          <w:highlight w:val="none"/>
          <w:lang w:bidi="ar"/>
        </w:rPr>
        <w:t>）中标人在收到中标通知书后，无正当理由拒签合同协议书或未按招标文件规定提交履约担保</w:t>
      </w:r>
      <w:r>
        <w:rPr>
          <w:rFonts w:hint="eastAsia" w:asciiTheme="minorEastAsia" w:hAnsiTheme="minorEastAsia" w:eastAsiaTheme="minorEastAsia" w:cstheme="minorEastAsia"/>
          <w:color w:val="auto"/>
          <w:sz w:val="24"/>
          <w:szCs w:val="24"/>
          <w:highlight w:val="none"/>
          <w:lang w:eastAsia="zh-CN" w:bidi="ar"/>
        </w:rPr>
        <w:t>；</w:t>
      </w:r>
      <w:r>
        <w:rPr>
          <w:rFonts w:asciiTheme="minorEastAsia" w:hAnsiTheme="minorEastAsia" w:eastAsiaTheme="minorEastAsia" w:cstheme="minorEastAsia"/>
          <w:color w:val="auto"/>
          <w:sz w:val="24"/>
          <w:szCs w:val="24"/>
          <w:highlight w:val="none"/>
          <w:lang w:bidi="ar"/>
        </w:rPr>
        <w:t xml:space="preserve"> </w:t>
      </w:r>
    </w:p>
    <w:p>
      <w:pPr>
        <w:widowControl/>
        <w:ind w:firstLine="480" w:firstLineChars="2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3</w:t>
      </w:r>
      <w:r>
        <w:rPr>
          <w:rFonts w:hint="eastAsia" w:asciiTheme="minorEastAsia" w:hAnsiTheme="minorEastAsia" w:eastAsiaTheme="minorEastAsia" w:cstheme="minorEastAsia"/>
          <w:color w:val="auto"/>
          <w:sz w:val="24"/>
          <w:szCs w:val="24"/>
          <w:highlight w:val="none"/>
          <w:lang w:bidi="ar"/>
        </w:rPr>
        <w:t>))经查实，投标人在投标过程中串通投标或弄虚作假或存在违反《招标投标法》第三十二条、第三十三条规定的违法情形的。</w:t>
      </w:r>
    </w:p>
    <w:p>
      <w:pPr>
        <w:widowControl/>
        <w:ind w:firstLine="480" w:firstLineChars="200"/>
        <w:jc w:val="left"/>
        <w:rPr>
          <w:rFonts w:hint="eastAsia"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hint="eastAsia" w:asciiTheme="minorEastAsia" w:hAnsiTheme="minorEastAsia" w:eastAsiaTheme="minorEastAsia" w:cstheme="minorEastAsia"/>
          <w:color w:val="auto"/>
          <w:sz w:val="24"/>
          <w:szCs w:val="24"/>
          <w:highlight w:val="none"/>
          <w:lang w:val="en-US" w:eastAsia="zh-CN" w:bidi="ar"/>
        </w:rPr>
        <w:t>4</w:t>
      </w:r>
      <w:r>
        <w:rPr>
          <w:rFonts w:hint="eastAsia" w:asciiTheme="minorEastAsia" w:hAnsiTheme="minorEastAsia" w:eastAsiaTheme="minorEastAsia" w:cstheme="minorEastAsia"/>
          <w:color w:val="auto"/>
          <w:sz w:val="24"/>
          <w:szCs w:val="24"/>
          <w:highlight w:val="none"/>
          <w:lang w:bidi="ar"/>
        </w:rPr>
        <w:t xml:space="preserve">）其他法律法规规定情形。 </w:t>
      </w:r>
    </w:p>
    <w:bookmarkEnd w:id="145"/>
    <w:bookmarkEnd w:id="146"/>
    <w:bookmarkEnd w:id="147"/>
    <w:bookmarkEnd w:id="148"/>
    <w:p>
      <w:pPr>
        <w:pStyle w:val="42"/>
        <w:spacing w:line="440" w:lineRule="exact"/>
        <w:rPr>
          <w:rFonts w:asciiTheme="minorEastAsia" w:hAnsiTheme="minorEastAsia" w:eastAsiaTheme="minorEastAsia" w:cstheme="minorEastAsia"/>
          <w:b/>
          <w:color w:val="auto"/>
          <w:szCs w:val="24"/>
          <w:highlight w:val="none"/>
        </w:rPr>
      </w:pPr>
      <w:bookmarkStart w:id="149" w:name="_Toc152042329"/>
      <w:bookmarkStart w:id="150" w:name="_Toc144974521"/>
      <w:bookmarkStart w:id="151" w:name="_Toc322615415"/>
      <w:bookmarkStart w:id="152" w:name="_Toc152045553"/>
      <w:bookmarkStart w:id="153" w:name="_Toc323711767"/>
      <w:bookmarkStart w:id="154" w:name="_Toc319407854"/>
      <w:bookmarkStart w:id="155" w:name="_Toc245036620"/>
      <w:bookmarkStart w:id="156" w:name="_Toc319408089"/>
      <w:bookmarkStart w:id="157" w:name="_Toc16875"/>
      <w:bookmarkStart w:id="158" w:name="_Toc392345930"/>
      <w:bookmarkStart w:id="159" w:name="_Toc229646740"/>
      <w:bookmarkStart w:id="160" w:name="_Toc152045559"/>
      <w:bookmarkStart w:id="161" w:name="_Toc152042335"/>
      <w:bookmarkStart w:id="162" w:name="_Toc144974527"/>
      <w:r>
        <w:rPr>
          <w:rFonts w:hint="eastAsia" w:asciiTheme="minorEastAsia" w:hAnsiTheme="minorEastAsia" w:eastAsiaTheme="minorEastAsia" w:cstheme="minorEastAsia"/>
          <w:b/>
          <w:color w:val="auto"/>
          <w:szCs w:val="24"/>
          <w:highlight w:val="none"/>
        </w:rPr>
        <w:t>3.</w:t>
      </w:r>
      <w:bookmarkEnd w:id="149"/>
      <w:bookmarkEnd w:id="150"/>
      <w:bookmarkEnd w:id="151"/>
      <w:bookmarkEnd w:id="152"/>
      <w:bookmarkEnd w:id="153"/>
      <w:bookmarkEnd w:id="154"/>
      <w:bookmarkEnd w:id="155"/>
      <w:bookmarkEnd w:id="156"/>
      <w:bookmarkStart w:id="163" w:name="_Toc319408090"/>
      <w:bookmarkStart w:id="164" w:name="_Toc319407855"/>
      <w:bookmarkStart w:id="165" w:name="_Toc323711768"/>
      <w:bookmarkStart w:id="166" w:name="_Toc322615416"/>
      <w:bookmarkStart w:id="167" w:name="_Toc245036621"/>
      <w:r>
        <w:rPr>
          <w:rFonts w:hint="eastAsia" w:asciiTheme="minorEastAsia" w:hAnsiTheme="minorEastAsia" w:eastAsiaTheme="minorEastAsia" w:cstheme="minorEastAsia"/>
          <w:b/>
          <w:color w:val="auto"/>
          <w:szCs w:val="24"/>
          <w:highlight w:val="none"/>
        </w:rPr>
        <w:t>5资格审查资料</w:t>
      </w:r>
      <w:bookmarkEnd w:id="157"/>
    </w:p>
    <w:p>
      <w:pPr>
        <w:ind w:firstLine="480" w:firstLineChars="200"/>
        <w:rPr>
          <w:rFonts w:asciiTheme="minorEastAsia" w:hAnsiTheme="minorEastAsia" w:eastAsiaTheme="minorEastAsia" w:cstheme="minorEastAsia"/>
          <w:strike/>
          <w:color w:val="auto"/>
          <w:sz w:val="24"/>
          <w:szCs w:val="24"/>
          <w:highlight w:val="none"/>
        </w:rPr>
      </w:pPr>
      <w:bookmarkStart w:id="168" w:name="_Toc152042330"/>
      <w:bookmarkStart w:id="169" w:name="_Toc229646735"/>
      <w:bookmarkStart w:id="170" w:name="_Toc247513977"/>
      <w:bookmarkStart w:id="171" w:name="_Toc144974522"/>
      <w:bookmarkStart w:id="172" w:name="_Toc152045554"/>
      <w:bookmarkStart w:id="173" w:name="_Toc300834974"/>
      <w:bookmarkStart w:id="174" w:name="_Toc247527578"/>
      <w:r>
        <w:rPr>
          <w:rFonts w:asciiTheme="minorEastAsia" w:hAnsiTheme="minorEastAsia" w:eastAsiaTheme="minorEastAsia" w:cstheme="minorEastAsia"/>
          <w:strike/>
          <w:color w:val="auto"/>
          <w:sz w:val="24"/>
          <w:szCs w:val="24"/>
          <w:highlight w:val="none"/>
        </w:rPr>
        <w:t xml:space="preserve">3.5.1 </w:t>
      </w:r>
      <w:r>
        <w:rPr>
          <w:rFonts w:hint="eastAsia" w:asciiTheme="minorEastAsia" w:hAnsiTheme="minorEastAsia" w:eastAsiaTheme="minorEastAsia" w:cstheme="minorEastAsia"/>
          <w:strike/>
          <w:color w:val="auto"/>
          <w:sz w:val="24"/>
          <w:szCs w:val="24"/>
          <w:highlight w:val="none"/>
        </w:rPr>
        <w:t>“投标人基本情况表”应附投标人营业执照副本、资质证书副本等材料的复印件。</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3.5.2 </w:t>
      </w:r>
      <w:r>
        <w:rPr>
          <w:rFonts w:hint="eastAsia" w:asciiTheme="minorEastAsia" w:hAnsiTheme="minorEastAsia" w:eastAsiaTheme="minorEastAsia" w:cstheme="minorEastAsia"/>
          <w:strike/>
          <w:color w:val="auto"/>
          <w:sz w:val="24"/>
          <w:szCs w:val="24"/>
          <w:highlight w:val="none"/>
        </w:rPr>
        <w:t>“近年完成的类似项目情况表”应附中标通知书、合同复印件及医院验收证明，具体年份要求见投标人须知前附表。每张表格只填写一个项目，并标明序号。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3.5.3“正在进行的项目和新承接的项目情况表”应附中标通知书和合同复印件。每张表格只填写一个项目，并标明序号。</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3.5.5 </w:t>
      </w:r>
      <w:r>
        <w:rPr>
          <w:rFonts w:hint="eastAsia" w:asciiTheme="minorEastAsia" w:hAnsiTheme="minorEastAsia" w:eastAsiaTheme="minorEastAsia" w:cstheme="minorEastAsia"/>
          <w:strike/>
          <w:color w:val="auto"/>
          <w:sz w:val="24"/>
          <w:szCs w:val="24"/>
          <w:highlight w:val="none"/>
        </w:rPr>
        <w:t>“近年发生的诉讼及仲裁情况”应说明相关情况，并附法院或仲裁机构作出的判决、裁决等有关法律文书复印件，具体年份要求见投标人须知前附表。</w:t>
      </w:r>
    </w:p>
    <w:p>
      <w:pPr>
        <w:ind w:firstLine="480" w:firstLineChars="200"/>
        <w:rPr>
          <w:rFonts w:asciiTheme="minorEastAsia" w:hAnsiTheme="minorEastAsia" w:eastAsiaTheme="minorEastAsia" w:cstheme="minorEastAsia"/>
          <w:bCs/>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3.5.6 </w:t>
      </w:r>
      <w:r>
        <w:rPr>
          <w:rFonts w:hint="eastAsia" w:asciiTheme="minorEastAsia" w:hAnsiTheme="minorEastAsia" w:eastAsiaTheme="minorEastAsia" w:cstheme="minorEastAsia"/>
          <w:strike/>
          <w:color w:val="auto"/>
          <w:sz w:val="24"/>
          <w:szCs w:val="24"/>
          <w:highlight w:val="none"/>
        </w:rPr>
        <w:t>投标单位应本着诚实信用的原则，提供真实可信的资格审查资料。若投标单位提供虚假资料，一经查实，</w:t>
      </w:r>
      <w:r>
        <w:rPr>
          <w:rFonts w:hint="eastAsia" w:asciiTheme="minorEastAsia" w:hAnsiTheme="minorEastAsia" w:eastAsiaTheme="minorEastAsia" w:cstheme="minorEastAsia"/>
          <w:bCs/>
          <w:strike/>
          <w:color w:val="auto"/>
          <w:sz w:val="24"/>
          <w:szCs w:val="24"/>
          <w:highlight w:val="none"/>
        </w:rPr>
        <w:t>除</w:t>
      </w:r>
      <w:r>
        <w:rPr>
          <w:rFonts w:hint="eastAsia" w:asciiTheme="minorEastAsia" w:hAnsiTheme="minorEastAsia" w:eastAsiaTheme="minorEastAsia" w:cstheme="minorEastAsia"/>
          <w:strike/>
          <w:color w:val="auto"/>
          <w:sz w:val="24"/>
          <w:szCs w:val="24"/>
          <w:highlight w:val="none"/>
        </w:rPr>
        <w:t>按否决投标处理</w:t>
      </w:r>
      <w:r>
        <w:rPr>
          <w:rFonts w:hint="eastAsia" w:asciiTheme="minorEastAsia" w:hAnsiTheme="minorEastAsia" w:eastAsiaTheme="minorEastAsia" w:cstheme="minorEastAsia"/>
          <w:bCs/>
          <w:strike/>
          <w:color w:val="auto"/>
          <w:sz w:val="24"/>
          <w:szCs w:val="24"/>
          <w:highlight w:val="none"/>
        </w:rPr>
        <w:t>外，其投标保证金不予退还。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3.5.7资格审查资料详见投标人须知前附表。</w:t>
      </w:r>
    </w:p>
    <w:bookmarkEnd w:id="168"/>
    <w:bookmarkEnd w:id="169"/>
    <w:bookmarkEnd w:id="170"/>
    <w:bookmarkEnd w:id="171"/>
    <w:bookmarkEnd w:id="172"/>
    <w:bookmarkEnd w:id="173"/>
    <w:bookmarkEnd w:id="174"/>
    <w:p>
      <w:pPr>
        <w:pStyle w:val="42"/>
        <w:spacing w:line="440" w:lineRule="exact"/>
        <w:rPr>
          <w:rFonts w:asciiTheme="minorEastAsia" w:hAnsiTheme="minorEastAsia" w:eastAsiaTheme="minorEastAsia" w:cstheme="minorEastAsia"/>
          <w:b/>
          <w:strike/>
          <w:color w:val="auto"/>
          <w:szCs w:val="24"/>
          <w:highlight w:val="none"/>
        </w:rPr>
      </w:pPr>
      <w:bookmarkStart w:id="175" w:name="_Toc29305"/>
      <w:r>
        <w:rPr>
          <w:rFonts w:asciiTheme="minorEastAsia" w:hAnsiTheme="minorEastAsia" w:eastAsiaTheme="minorEastAsia" w:cstheme="minorEastAsia"/>
          <w:b/>
          <w:strike/>
          <w:color w:val="auto"/>
          <w:szCs w:val="24"/>
          <w:highlight w:val="none"/>
        </w:rPr>
        <w:t>3.6备选投标方案</w:t>
      </w:r>
      <w:bookmarkEnd w:id="175"/>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pPr>
        <w:pStyle w:val="42"/>
        <w:spacing w:line="440" w:lineRule="exact"/>
        <w:rPr>
          <w:rFonts w:asciiTheme="minorEastAsia" w:hAnsiTheme="minorEastAsia" w:eastAsiaTheme="minorEastAsia" w:cstheme="minorEastAsia"/>
          <w:b/>
          <w:color w:val="auto"/>
          <w:szCs w:val="24"/>
          <w:highlight w:val="none"/>
        </w:rPr>
      </w:pPr>
      <w:bookmarkStart w:id="176" w:name="_Toc11039"/>
      <w:r>
        <w:rPr>
          <w:rFonts w:hint="eastAsia" w:asciiTheme="minorEastAsia" w:hAnsiTheme="minorEastAsia" w:eastAsiaTheme="minorEastAsia" w:cstheme="minorEastAsia"/>
          <w:b/>
          <w:color w:val="auto"/>
          <w:szCs w:val="24"/>
          <w:highlight w:val="none"/>
        </w:rPr>
        <w:t>3.7投标文件的编制</w:t>
      </w:r>
      <w:bookmarkEnd w:id="158"/>
      <w:bookmarkEnd w:id="163"/>
      <w:bookmarkEnd w:id="164"/>
      <w:bookmarkEnd w:id="165"/>
      <w:bookmarkEnd w:id="166"/>
      <w:bookmarkEnd w:id="167"/>
      <w:bookmarkEnd w:id="176"/>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3.7.2投标文件应用不褪色的材料书写或打印，并由投标人的法定代表人或其委托代理人签字或盖单位章。委托代理人签字的，投标文件应附法定代表人签署的授权委托书。投标文件应尽量避免涂改、行间插字或删除。如果出现上述情况，改动之处应加盖单位章或由投标人的法定代表人或其授权的代理人签字确认。签字或盖章的具体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3.7.3投标文件正本一份, 副本份数见投标人须知前附表。正本和副本的封面上应清楚地标记“正本”或“副本”的字样。当副本和正本不一致时，以正本为准。</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3.7.4投标文件的正本与副本应分别装订成册，并编制目录。</w:t>
      </w:r>
      <w:bookmarkStart w:id="177" w:name="_Toc144974523"/>
      <w:bookmarkStart w:id="178" w:name="_Toc245036622"/>
      <w:bookmarkStart w:id="179" w:name="_Toc152042331"/>
      <w:bookmarkStart w:id="180" w:name="_Toc392345931"/>
      <w:bookmarkStart w:id="181" w:name="_Toc323711769"/>
      <w:bookmarkStart w:id="182" w:name="_Toc152045555"/>
      <w:r>
        <w:rPr>
          <w:rFonts w:hint="eastAsia" w:asciiTheme="minorEastAsia" w:hAnsiTheme="minorEastAsia" w:eastAsiaTheme="minorEastAsia" w:cstheme="minorEastAsia"/>
          <w:color w:val="auto"/>
          <w:sz w:val="24"/>
          <w:szCs w:val="24"/>
          <w:highlight w:val="none"/>
        </w:rPr>
        <w:t>具体装订要求见投标人须知前附表规定。</w:t>
      </w:r>
    </w:p>
    <w:p>
      <w:pPr>
        <w:pStyle w:val="41"/>
        <w:spacing w:line="440" w:lineRule="exact"/>
        <w:rPr>
          <w:rFonts w:asciiTheme="minorEastAsia" w:hAnsiTheme="minorEastAsia" w:eastAsiaTheme="minorEastAsia" w:cstheme="minorEastAsia"/>
          <w:color w:val="auto"/>
          <w:sz w:val="24"/>
          <w:szCs w:val="24"/>
          <w:highlight w:val="none"/>
        </w:rPr>
      </w:pPr>
      <w:bookmarkStart w:id="183" w:name="_Toc7085"/>
      <w:r>
        <w:rPr>
          <w:rFonts w:hint="eastAsia" w:asciiTheme="minorEastAsia" w:hAnsiTheme="minorEastAsia" w:eastAsiaTheme="minorEastAsia" w:cstheme="minorEastAsia"/>
          <w:color w:val="auto"/>
          <w:sz w:val="24"/>
          <w:szCs w:val="24"/>
          <w:highlight w:val="none"/>
        </w:rPr>
        <w:t>4. 投标</w:t>
      </w:r>
      <w:bookmarkEnd w:id="177"/>
      <w:bookmarkEnd w:id="178"/>
      <w:bookmarkEnd w:id="179"/>
      <w:bookmarkEnd w:id="180"/>
      <w:bookmarkEnd w:id="181"/>
      <w:bookmarkEnd w:id="182"/>
      <w:bookmarkEnd w:id="183"/>
    </w:p>
    <w:p>
      <w:pPr>
        <w:pStyle w:val="42"/>
        <w:spacing w:line="440" w:lineRule="exact"/>
        <w:rPr>
          <w:rFonts w:asciiTheme="minorEastAsia" w:hAnsiTheme="minorEastAsia" w:eastAsiaTheme="minorEastAsia" w:cstheme="minorEastAsia"/>
          <w:b/>
          <w:color w:val="auto"/>
          <w:szCs w:val="24"/>
          <w:highlight w:val="none"/>
        </w:rPr>
      </w:pPr>
      <w:bookmarkStart w:id="184" w:name="_Toc392345932"/>
      <w:bookmarkStart w:id="185" w:name="_Toc319407857"/>
      <w:bookmarkStart w:id="186" w:name="_Toc319408092"/>
      <w:bookmarkStart w:id="187" w:name="_Toc323711770"/>
      <w:bookmarkStart w:id="188" w:name="_Toc245036623"/>
      <w:bookmarkStart w:id="189" w:name="_Toc144974524"/>
      <w:bookmarkStart w:id="190" w:name="_Toc20016"/>
      <w:bookmarkStart w:id="191" w:name="_Toc152042332"/>
      <w:bookmarkStart w:id="192" w:name="_Toc152045556"/>
      <w:bookmarkStart w:id="193" w:name="_Toc322615418"/>
      <w:r>
        <w:rPr>
          <w:rFonts w:hint="eastAsia" w:asciiTheme="minorEastAsia" w:hAnsiTheme="minorEastAsia" w:eastAsiaTheme="minorEastAsia" w:cstheme="minorEastAsia"/>
          <w:b/>
          <w:color w:val="auto"/>
          <w:szCs w:val="24"/>
          <w:highlight w:val="none"/>
        </w:rPr>
        <w:t>4.1 投标文件的密封和标记</w:t>
      </w:r>
      <w:bookmarkEnd w:id="184"/>
      <w:bookmarkEnd w:id="185"/>
      <w:bookmarkEnd w:id="186"/>
      <w:bookmarkEnd w:id="187"/>
      <w:bookmarkEnd w:id="188"/>
      <w:bookmarkEnd w:id="189"/>
      <w:bookmarkEnd w:id="190"/>
      <w:bookmarkEnd w:id="191"/>
      <w:bookmarkEnd w:id="192"/>
      <w:bookmarkEnd w:id="19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4.1.1投标文件的正本与副本可分开或合并密封包装（包装要求见投标人须知前附表）。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4.1.2 投标文件封套上应写明的内容见投标人须知前附表。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194" w:name="_Toc245036624"/>
      <w:bookmarkStart w:id="195" w:name="_Toc322615419"/>
      <w:bookmarkStart w:id="196" w:name="_Toc152045557"/>
      <w:bookmarkStart w:id="197" w:name="_Toc319408093"/>
      <w:bookmarkStart w:id="198" w:name="_Toc323711771"/>
      <w:bookmarkStart w:id="199" w:name="_Toc319407858"/>
      <w:bookmarkStart w:id="200" w:name="_Toc392345933"/>
      <w:bookmarkStart w:id="201" w:name="_Toc144974525"/>
      <w:bookmarkStart w:id="202" w:name="_Toc28433"/>
      <w:bookmarkStart w:id="203" w:name="_Toc152042333"/>
      <w:r>
        <w:rPr>
          <w:rFonts w:hint="eastAsia" w:asciiTheme="minorEastAsia" w:hAnsiTheme="minorEastAsia" w:eastAsiaTheme="minorEastAsia" w:cstheme="minorEastAsia"/>
          <w:b/>
          <w:color w:val="auto"/>
          <w:szCs w:val="24"/>
          <w:highlight w:val="none"/>
        </w:rPr>
        <w:t>4.2 投标文件的递交</w:t>
      </w:r>
      <w:bookmarkEnd w:id="194"/>
      <w:bookmarkEnd w:id="195"/>
      <w:bookmarkEnd w:id="196"/>
      <w:bookmarkEnd w:id="197"/>
      <w:bookmarkEnd w:id="198"/>
      <w:bookmarkEnd w:id="199"/>
      <w:bookmarkEnd w:id="200"/>
      <w:bookmarkEnd w:id="201"/>
      <w:bookmarkEnd w:id="202"/>
      <w:bookmarkEnd w:id="20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4.2.1 投标人应在前附表第2.2.2项规定的投标截止时间前递交投标文件。</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4.2.2 投标人递交投标文件的地点：见投标人须知前附表。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4.2.3 除投标人须知前附表另有规定外，投标人所递交的投标文件不予退还。</w:t>
      </w:r>
    </w:p>
    <w:p>
      <w:pPr>
        <w:ind w:firstLine="480" w:firstLineChars="200"/>
        <w:rPr>
          <w:rFonts w:asciiTheme="minorEastAsia" w:hAnsiTheme="minorEastAsia" w:eastAsiaTheme="minorEastAsia" w:cstheme="minorEastAsia"/>
          <w:strike/>
          <w:color w:val="auto"/>
          <w:sz w:val="24"/>
          <w:szCs w:val="24"/>
          <w:highlight w:val="none"/>
        </w:rPr>
      </w:pPr>
      <w:r>
        <w:rPr>
          <w:rFonts w:asciiTheme="minorEastAsia" w:hAnsiTheme="minorEastAsia" w:eastAsiaTheme="minorEastAsia" w:cstheme="minorEastAsia"/>
          <w:strike/>
          <w:color w:val="auto"/>
          <w:sz w:val="24"/>
          <w:szCs w:val="24"/>
          <w:highlight w:val="none"/>
        </w:rPr>
        <w:t xml:space="preserve">4.2.4 </w:t>
      </w:r>
      <w:r>
        <w:rPr>
          <w:rFonts w:hint="eastAsia" w:asciiTheme="minorEastAsia" w:hAnsiTheme="minorEastAsia" w:eastAsiaTheme="minorEastAsia" w:cstheme="minorEastAsia"/>
          <w:strike/>
          <w:color w:val="auto"/>
          <w:sz w:val="24"/>
          <w:szCs w:val="24"/>
          <w:highlight w:val="none"/>
        </w:rPr>
        <w:t>招标人收到投标文件后，向投标人出具签收凭证。</w:t>
      </w:r>
    </w:p>
    <w:p>
      <w:pPr>
        <w:pStyle w:val="42"/>
        <w:spacing w:line="440" w:lineRule="exact"/>
        <w:rPr>
          <w:rFonts w:asciiTheme="minorEastAsia" w:hAnsiTheme="minorEastAsia" w:eastAsiaTheme="minorEastAsia" w:cstheme="minorEastAsia"/>
          <w:b/>
          <w:color w:val="auto"/>
          <w:szCs w:val="24"/>
          <w:highlight w:val="none"/>
        </w:rPr>
      </w:pPr>
      <w:bookmarkStart w:id="204" w:name="_Toc322615420"/>
      <w:bookmarkStart w:id="205" w:name="_Toc392345934"/>
      <w:bookmarkStart w:id="206" w:name="_Toc152042334"/>
      <w:bookmarkStart w:id="207" w:name="_Toc152045558"/>
      <w:bookmarkStart w:id="208" w:name="_Toc21598"/>
      <w:bookmarkStart w:id="209" w:name="_Toc144974526"/>
      <w:bookmarkStart w:id="210" w:name="_Toc319407859"/>
      <w:bookmarkStart w:id="211" w:name="_Toc323711772"/>
      <w:bookmarkStart w:id="212" w:name="_Toc319408094"/>
      <w:bookmarkStart w:id="213" w:name="_Toc245036625"/>
      <w:r>
        <w:rPr>
          <w:rFonts w:hint="eastAsia" w:asciiTheme="minorEastAsia" w:hAnsiTheme="minorEastAsia" w:eastAsiaTheme="minorEastAsia" w:cstheme="minorEastAsia"/>
          <w:b/>
          <w:color w:val="auto"/>
          <w:szCs w:val="24"/>
          <w:highlight w:val="none"/>
        </w:rPr>
        <w:t>4.3 投标文件的修改与撤回</w:t>
      </w:r>
      <w:bookmarkEnd w:id="204"/>
      <w:bookmarkEnd w:id="205"/>
      <w:bookmarkEnd w:id="206"/>
      <w:bookmarkEnd w:id="207"/>
      <w:bookmarkEnd w:id="208"/>
      <w:bookmarkEnd w:id="209"/>
      <w:bookmarkEnd w:id="210"/>
      <w:bookmarkEnd w:id="211"/>
      <w:bookmarkEnd w:id="212"/>
      <w:bookmarkEnd w:id="21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4.3.1 在前附表第2.2.2项规定的投标截止时间前，投标人可以修改或撤回已递交的投标文件，但应以书面形式通知招标人。</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color w:val="auto"/>
          <w:sz w:val="24"/>
          <w:szCs w:val="24"/>
          <w:highlight w:val="none"/>
        </w:rPr>
        <w:t>4.3.2 投标人修改或撤回已递交投标文件的书面通知应按照本章第3.7.2项的要求签字或盖章。</w:t>
      </w:r>
      <w:r>
        <w:rPr>
          <w:rFonts w:hint="eastAsia" w:asciiTheme="minorEastAsia" w:hAnsiTheme="minorEastAsia" w:eastAsiaTheme="minorEastAsia" w:cstheme="minorEastAsia"/>
          <w:strike/>
          <w:color w:val="auto"/>
          <w:sz w:val="24"/>
          <w:szCs w:val="24"/>
          <w:highlight w:val="none"/>
        </w:rPr>
        <w:t>招标人收到书面通知后，向投标人出具签收凭证。</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4.3.3 修改的内容为投标文件的组成部分。修改的投标文件应按照本章第3条、第4条规定进行编制、密封、标记和递交，并标明“修改”字样。</w:t>
      </w:r>
    </w:p>
    <w:p>
      <w:pPr>
        <w:pStyle w:val="42"/>
        <w:spacing w:line="440" w:lineRule="exact"/>
        <w:rPr>
          <w:rFonts w:asciiTheme="minorEastAsia" w:hAnsiTheme="minorEastAsia" w:eastAsiaTheme="minorEastAsia" w:cstheme="minorEastAsia"/>
          <w:b/>
          <w:color w:val="auto"/>
          <w:szCs w:val="24"/>
          <w:highlight w:val="none"/>
        </w:rPr>
      </w:pPr>
      <w:bookmarkStart w:id="214" w:name="_Toc14614"/>
      <w:bookmarkStart w:id="215" w:name="_Toc392345935"/>
      <w:r>
        <w:rPr>
          <w:rFonts w:hint="eastAsia" w:asciiTheme="minorEastAsia" w:hAnsiTheme="minorEastAsia" w:eastAsiaTheme="minorEastAsia" w:cstheme="minorEastAsia"/>
          <w:b/>
          <w:color w:val="auto"/>
          <w:szCs w:val="24"/>
          <w:highlight w:val="none"/>
        </w:rPr>
        <w:t>4.4投标文件的拒收情形</w:t>
      </w:r>
      <w:bookmarkEnd w:id="214"/>
      <w:bookmarkEnd w:id="215"/>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详见投标人须知前附表。</w:t>
      </w:r>
    </w:p>
    <w:p>
      <w:pPr>
        <w:pStyle w:val="41"/>
        <w:spacing w:line="440" w:lineRule="exact"/>
        <w:rPr>
          <w:rFonts w:asciiTheme="minorEastAsia" w:hAnsiTheme="minorEastAsia" w:eastAsiaTheme="minorEastAsia" w:cstheme="minorEastAsia"/>
          <w:color w:val="auto"/>
          <w:sz w:val="24"/>
          <w:szCs w:val="24"/>
          <w:highlight w:val="none"/>
        </w:rPr>
      </w:pPr>
      <w:bookmarkStart w:id="216" w:name="_Toc18369"/>
      <w:bookmarkStart w:id="217" w:name="_Toc392345936"/>
      <w:r>
        <w:rPr>
          <w:rFonts w:hint="eastAsia" w:asciiTheme="minorEastAsia" w:hAnsiTheme="minorEastAsia" w:eastAsiaTheme="minorEastAsia" w:cstheme="minorEastAsia"/>
          <w:color w:val="auto"/>
          <w:sz w:val="24"/>
          <w:szCs w:val="24"/>
          <w:highlight w:val="none"/>
        </w:rPr>
        <w:t>5. 开标</w:t>
      </w:r>
      <w:bookmarkEnd w:id="159"/>
      <w:bookmarkEnd w:id="160"/>
      <w:bookmarkEnd w:id="161"/>
      <w:bookmarkEnd w:id="162"/>
      <w:r>
        <w:rPr>
          <w:rFonts w:hint="eastAsia" w:asciiTheme="minorEastAsia" w:hAnsiTheme="minorEastAsia" w:eastAsiaTheme="minorEastAsia" w:cstheme="minorEastAsia"/>
          <w:color w:val="auto"/>
          <w:sz w:val="24"/>
          <w:szCs w:val="24"/>
          <w:highlight w:val="none"/>
        </w:rPr>
        <w:t>程序</w:t>
      </w:r>
      <w:bookmarkEnd w:id="216"/>
      <w:bookmarkEnd w:id="217"/>
      <w:r>
        <w:rPr>
          <w:rFonts w:hint="eastAsia" w:asciiTheme="minorEastAsia" w:hAnsiTheme="minorEastAsia" w:eastAsiaTheme="minorEastAsia" w:cstheme="minorEastAsia"/>
          <w:b/>
          <w:bCs/>
          <w:color w:val="auto"/>
          <w:sz w:val="24"/>
          <w:szCs w:val="24"/>
          <w:highlight w:val="none"/>
        </w:rPr>
        <w:t>（为确保开评标现场的疫情防控安全，到现场参与开评标的各类人员应出示浙江省健康码。为减少人员聚集程度及滞留时间，招标人、招标代理工作人员原则上不超过三人，投标人不需在开标现场。）</w:t>
      </w:r>
    </w:p>
    <w:p>
      <w:pPr>
        <w:pStyle w:val="42"/>
        <w:spacing w:line="440" w:lineRule="exact"/>
        <w:rPr>
          <w:rFonts w:asciiTheme="minorEastAsia" w:hAnsiTheme="minorEastAsia" w:eastAsiaTheme="minorEastAsia" w:cstheme="minorEastAsia"/>
          <w:b/>
          <w:color w:val="auto"/>
          <w:szCs w:val="24"/>
          <w:highlight w:val="none"/>
        </w:rPr>
      </w:pPr>
      <w:bookmarkStart w:id="218" w:name="_Toc152045560"/>
      <w:bookmarkStart w:id="219" w:name="_Toc144974528"/>
      <w:bookmarkStart w:id="220" w:name="_Toc152042336"/>
      <w:bookmarkStart w:id="221" w:name="_Toc229646741"/>
      <w:bookmarkStart w:id="222" w:name="_Toc392345937"/>
      <w:bookmarkStart w:id="223" w:name="_Toc13624"/>
      <w:r>
        <w:rPr>
          <w:rFonts w:hint="eastAsia" w:asciiTheme="minorEastAsia" w:hAnsiTheme="minorEastAsia" w:eastAsiaTheme="minorEastAsia" w:cstheme="minorEastAsia"/>
          <w:b/>
          <w:color w:val="auto"/>
          <w:szCs w:val="24"/>
          <w:highlight w:val="none"/>
        </w:rPr>
        <w:t>5.1 开标时间和地点</w:t>
      </w:r>
      <w:bookmarkEnd w:id="218"/>
      <w:bookmarkEnd w:id="219"/>
      <w:bookmarkEnd w:id="220"/>
      <w:bookmarkEnd w:id="221"/>
      <w:bookmarkEnd w:id="222"/>
      <w:r>
        <w:rPr>
          <w:rFonts w:hint="eastAsia" w:asciiTheme="minorEastAsia" w:hAnsiTheme="minorEastAsia" w:eastAsiaTheme="minorEastAsia" w:cstheme="minorEastAsia"/>
          <w:b/>
          <w:color w:val="auto"/>
          <w:szCs w:val="24"/>
          <w:highlight w:val="none"/>
        </w:rPr>
        <w:t>、参加开标会议的要求</w:t>
      </w:r>
      <w:bookmarkEnd w:id="223"/>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招标人在投标人须知前附表第2.2.2项规定的投标截止时间（开标时间）和投标人须知前附表规定的地点公开开标，参加开标会议的要求见投标人须知前附表。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24" w:name="_Toc144974529"/>
      <w:bookmarkStart w:id="225" w:name="_Toc392345938"/>
      <w:bookmarkStart w:id="226" w:name="_Toc152042337"/>
      <w:bookmarkStart w:id="227" w:name="_Toc152045561"/>
      <w:bookmarkStart w:id="228" w:name="_Toc28832"/>
      <w:bookmarkStart w:id="229" w:name="_Toc229646742"/>
      <w:r>
        <w:rPr>
          <w:rFonts w:hint="eastAsia" w:asciiTheme="minorEastAsia" w:hAnsiTheme="minorEastAsia" w:eastAsiaTheme="minorEastAsia" w:cstheme="minorEastAsia"/>
          <w:b/>
          <w:color w:val="auto"/>
          <w:szCs w:val="24"/>
          <w:highlight w:val="none"/>
        </w:rPr>
        <w:t>5.2开标</w:t>
      </w:r>
      <w:bookmarkEnd w:id="224"/>
      <w:bookmarkEnd w:id="225"/>
      <w:bookmarkEnd w:id="226"/>
      <w:bookmarkEnd w:id="227"/>
      <w:bookmarkEnd w:id="228"/>
      <w:bookmarkEnd w:id="229"/>
    </w:p>
    <w:p>
      <w:pPr>
        <w:ind w:firstLine="480" w:firstLineChars="200"/>
        <w:rPr>
          <w:rFonts w:asciiTheme="minorEastAsia" w:hAnsiTheme="minorEastAsia" w:eastAsiaTheme="minorEastAsia" w:cstheme="minorEastAsia"/>
          <w:color w:val="auto"/>
          <w:sz w:val="24"/>
          <w:szCs w:val="24"/>
          <w:highlight w:val="none"/>
        </w:rPr>
      </w:pPr>
      <w:bookmarkStart w:id="230" w:name="_Toc144974530"/>
      <w:bookmarkStart w:id="231" w:name="_Toc152045562"/>
      <w:bookmarkStart w:id="232" w:name="_Toc152042338"/>
      <w:r>
        <w:rPr>
          <w:rFonts w:hint="eastAsia" w:asciiTheme="minorEastAsia" w:hAnsiTheme="minorEastAsia" w:eastAsiaTheme="minorEastAsia" w:cstheme="minorEastAsia"/>
          <w:color w:val="auto"/>
          <w:sz w:val="24"/>
          <w:szCs w:val="24"/>
          <w:highlight w:val="none"/>
        </w:rPr>
        <w:t>主持人按下列程序进行开标：</w:t>
      </w:r>
    </w:p>
    <w:p>
      <w:pPr>
        <w:ind w:firstLine="480" w:firstLineChars="200"/>
        <w:rPr>
          <w:rFonts w:asciiTheme="minorEastAsia" w:hAnsiTheme="minorEastAsia" w:eastAsiaTheme="minorEastAsia" w:cstheme="minorEastAsia"/>
          <w:color w:val="auto"/>
          <w:sz w:val="24"/>
          <w:szCs w:val="24"/>
          <w:highlight w:val="none"/>
        </w:rPr>
      </w:pPr>
      <w:bookmarkStart w:id="233" w:name="_Toc296602450"/>
      <w:r>
        <w:rPr>
          <w:rFonts w:hint="eastAsia" w:asciiTheme="minorEastAsia" w:hAnsiTheme="minorEastAsia" w:eastAsiaTheme="minorEastAsia" w:cstheme="minorEastAsia"/>
          <w:color w:val="auto"/>
          <w:sz w:val="24"/>
          <w:szCs w:val="24"/>
          <w:highlight w:val="none"/>
        </w:rPr>
        <w:t>（1）宣布开标纪律；</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（2）公布在投标截止时间前递交投标文件的投标人名称，</w:t>
      </w:r>
      <w:r>
        <w:rPr>
          <w:rFonts w:hint="eastAsia" w:asciiTheme="minorEastAsia" w:hAnsiTheme="minorEastAsia" w:eastAsiaTheme="minorEastAsia" w:cstheme="minorEastAsia"/>
          <w:b/>
          <w:bCs/>
          <w:color w:val="auto"/>
          <w:sz w:val="24"/>
          <w:szCs w:val="24"/>
          <w:highlight w:val="none"/>
        </w:rPr>
        <w:t>投标人不需到场</w:t>
      </w:r>
      <w:r>
        <w:rPr>
          <w:rFonts w:hint="eastAsia" w:asciiTheme="minorEastAsia" w:hAnsiTheme="minorEastAsia" w:eastAsiaTheme="minorEastAsia" w:cstheme="minorEastAsia"/>
          <w:color w:val="auto"/>
          <w:sz w:val="24"/>
          <w:szCs w:val="24"/>
          <w:highlight w:val="none"/>
        </w:rPr>
        <w:t>。</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（3）宣布开标人、唱标人、记录人、监标人等有关人员姓名；</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（4）按照投标人须知前附表规定检查投标文件的密封情况；</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（5）按照投标人须知前附表的规定确定并宣布投标文件开标顺序；</w:t>
      </w:r>
    </w:p>
    <w:p>
      <w:pPr>
        <w:ind w:firstLine="480" w:firstLineChars="200"/>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w:t>
      </w:r>
      <w:r>
        <w:rPr>
          <w:rFonts w:asciiTheme="minorEastAsia" w:hAnsiTheme="minorEastAsia" w:eastAsiaTheme="minorEastAsia" w:cstheme="minorEastAsia"/>
          <w:strike/>
          <w:color w:val="auto"/>
          <w:sz w:val="24"/>
          <w:szCs w:val="24"/>
          <w:highlight w:val="none"/>
        </w:rPr>
        <w:t xml:space="preserve">6）设有标底的，公布标底； </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（7）按照宣布的开标顺序当众开标，公布投标人名称、标段名称、投标保证金的递交情况</w:t>
      </w:r>
      <w:r>
        <w:rPr>
          <w:rFonts w:hint="eastAsia" w:asciiTheme="minorEastAsia" w:hAnsiTheme="minorEastAsia" w:eastAsiaTheme="minorEastAsia" w:cstheme="minorEastAsia"/>
          <w:color w:val="auto"/>
          <w:sz w:val="24"/>
          <w:szCs w:val="24"/>
          <w:highlight w:val="none"/>
          <w:lang w:bidi="ar"/>
        </w:rPr>
        <w:t>，评标委</w:t>
      </w:r>
      <w:r>
        <w:rPr>
          <w:rFonts w:asciiTheme="minorEastAsia" w:hAnsiTheme="minorEastAsia" w:eastAsiaTheme="minorEastAsia" w:cstheme="minorEastAsia"/>
          <w:color w:val="auto"/>
          <w:sz w:val="24"/>
          <w:szCs w:val="24"/>
          <w:highlight w:val="none"/>
          <w:lang w:bidi="ar"/>
        </w:rPr>
        <w:t xml:space="preserve"> </w:t>
      </w:r>
      <w:r>
        <w:rPr>
          <w:rFonts w:hint="eastAsia" w:asciiTheme="minorEastAsia" w:hAnsiTheme="minorEastAsia" w:eastAsiaTheme="minorEastAsia" w:cstheme="minorEastAsia"/>
          <w:color w:val="auto"/>
          <w:sz w:val="24"/>
          <w:szCs w:val="24"/>
          <w:highlight w:val="none"/>
          <w:lang w:bidi="ar"/>
        </w:rPr>
        <w:t>员会先对投标人进行资格审查</w:t>
      </w:r>
      <w:r>
        <w:rPr>
          <w:rFonts w:hint="eastAsia" w:asciiTheme="minorEastAsia" w:hAnsiTheme="minorEastAsia" w:eastAsiaTheme="minorEastAsia" w:cstheme="minorEastAsia"/>
          <w:color w:val="auto"/>
          <w:sz w:val="24"/>
          <w:szCs w:val="24"/>
          <w:highlight w:val="none"/>
        </w:rPr>
        <w:t>；</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8）启封技术标，由评标委员会对投标人的技术标进行综合评议并打分，宣布各投标人技术标得</w:t>
      </w:r>
      <w:r>
        <w:rPr>
          <w:rFonts w:hint="eastAsia" w:asciiTheme="minorEastAsia" w:hAnsiTheme="minorEastAsia" w:eastAsiaTheme="minorEastAsia" w:cstheme="minorEastAsia"/>
          <w:color w:val="auto"/>
          <w:sz w:val="24"/>
          <w:szCs w:val="24"/>
          <w:highlight w:val="none"/>
          <w:lang w:bidi="ar"/>
        </w:rPr>
        <w:t>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9）启封商务标，评标委员会对商务标进行评议并计算得分，宣布商务标得分；</w:t>
      </w:r>
    </w:p>
    <w:p>
      <w:pPr>
        <w:widowControl/>
        <w:ind w:firstLine="480" w:firstLineChars="200"/>
        <w:jc w:val="left"/>
        <w:rPr>
          <w:rFonts w:asciiTheme="minorEastAsia" w:hAnsiTheme="minorEastAsia" w:eastAsiaTheme="minorEastAsia" w:cstheme="minorEastAsia"/>
          <w:color w:val="auto"/>
          <w:sz w:val="24"/>
          <w:szCs w:val="24"/>
          <w:highlight w:val="none"/>
          <w:lang w:bidi="ar"/>
        </w:rPr>
      </w:pPr>
      <w:r>
        <w:rPr>
          <w:rFonts w:hint="eastAsia" w:asciiTheme="minorEastAsia" w:hAnsiTheme="minorEastAsia" w:eastAsiaTheme="minorEastAsia" w:cstheme="minorEastAsia"/>
          <w:color w:val="auto"/>
          <w:sz w:val="24"/>
          <w:szCs w:val="24"/>
          <w:highlight w:val="none"/>
          <w:lang w:bidi="ar"/>
        </w:rPr>
        <w:t>（</w:t>
      </w:r>
      <w:r>
        <w:rPr>
          <w:rFonts w:asciiTheme="minorEastAsia" w:hAnsiTheme="minorEastAsia" w:eastAsiaTheme="minorEastAsia" w:cstheme="minorEastAsia"/>
          <w:color w:val="auto"/>
          <w:sz w:val="24"/>
          <w:szCs w:val="24"/>
          <w:highlight w:val="none"/>
          <w:lang w:bidi="ar"/>
        </w:rPr>
        <w:t>10）宣布各投标人总得分，宣布中标候选人；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r>
        <w:rPr>
          <w:rFonts w:hint="eastAsia" w:asciiTheme="minorEastAsia" w:hAnsiTheme="minorEastAsia" w:eastAsiaTheme="minorEastAsia" w:cstheme="minorEastAsia"/>
          <w:strike/>
          <w:color w:val="auto"/>
          <w:sz w:val="24"/>
          <w:szCs w:val="24"/>
          <w:highlight w:val="none"/>
        </w:rPr>
        <w:t>投标人代表</w:t>
      </w:r>
      <w:r>
        <w:rPr>
          <w:rFonts w:hint="eastAsia" w:asciiTheme="minorEastAsia" w:hAnsiTheme="minorEastAsia" w:eastAsiaTheme="minorEastAsia" w:cstheme="minorEastAsia"/>
          <w:b/>
          <w:bCs/>
          <w:color w:val="auto"/>
          <w:sz w:val="24"/>
          <w:szCs w:val="24"/>
          <w:highlight w:val="none"/>
        </w:rPr>
        <w:t>（投标人不需签字确认）</w:t>
      </w:r>
      <w:r>
        <w:rPr>
          <w:rFonts w:hint="eastAsia" w:asciiTheme="minorEastAsia" w:hAnsiTheme="minorEastAsia" w:eastAsiaTheme="minorEastAsia" w:cstheme="minorEastAsia"/>
          <w:color w:val="auto"/>
          <w:sz w:val="24"/>
          <w:szCs w:val="24"/>
          <w:highlight w:val="none"/>
        </w:rPr>
        <w:t>、招标人代表、监标人、记录人等有关人员在开标记录上签字确认；</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r>
        <w:rPr>
          <w:rFonts w:hint="eastAsia" w:asciiTheme="minorEastAsia" w:hAnsiTheme="minorEastAsia" w:eastAsiaTheme="minorEastAsia" w:cstheme="minorEastAsia"/>
          <w:color w:val="auto"/>
          <w:sz w:val="24"/>
          <w:szCs w:val="24"/>
          <w:highlight w:val="none"/>
          <w:lang w:bidi="ar"/>
        </w:rPr>
        <w:t>根据招标人要求，公证员对开标评标全过程进行公证</w:t>
      </w:r>
      <w:r>
        <w:rPr>
          <w:rFonts w:hint="eastAsia" w:asciiTheme="minorEastAsia" w:hAnsiTheme="minorEastAsia" w:eastAsiaTheme="minorEastAsia" w:cstheme="minorEastAsia"/>
          <w:color w:val="auto"/>
          <w:sz w:val="24"/>
          <w:szCs w:val="24"/>
          <w:highlight w:val="none"/>
        </w:rPr>
        <w:t>。</w:t>
      </w:r>
    </w:p>
    <w:p>
      <w:pPr>
        <w:pStyle w:val="42"/>
        <w:spacing w:line="440" w:lineRule="exact"/>
        <w:rPr>
          <w:rFonts w:asciiTheme="minorEastAsia" w:hAnsiTheme="minorEastAsia" w:eastAsiaTheme="minorEastAsia" w:cstheme="minorEastAsia"/>
          <w:b/>
          <w:color w:val="auto"/>
          <w:szCs w:val="24"/>
          <w:highlight w:val="none"/>
        </w:rPr>
      </w:pPr>
      <w:bookmarkStart w:id="234" w:name="_Toc392345939"/>
      <w:bookmarkStart w:id="235" w:name="_Toc624"/>
      <w:r>
        <w:rPr>
          <w:rFonts w:hint="eastAsia" w:asciiTheme="minorEastAsia" w:hAnsiTheme="minorEastAsia" w:eastAsiaTheme="minorEastAsia" w:cstheme="minorEastAsia"/>
          <w:b/>
          <w:color w:val="auto"/>
          <w:szCs w:val="24"/>
          <w:highlight w:val="none"/>
        </w:rPr>
        <w:t>5.3 开标异议</w:t>
      </w:r>
      <w:bookmarkEnd w:id="233"/>
      <w:bookmarkEnd w:id="234"/>
      <w:bookmarkEnd w:id="235"/>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投标人对开标有异议的，应当在开标现场提出，招标人当场作出答复，并制作记录。</w:t>
      </w:r>
    </w:p>
    <w:p>
      <w:pPr>
        <w:pStyle w:val="41"/>
        <w:spacing w:line="440" w:lineRule="exact"/>
        <w:rPr>
          <w:rFonts w:asciiTheme="minorEastAsia" w:hAnsiTheme="minorEastAsia" w:eastAsiaTheme="minorEastAsia" w:cstheme="minorEastAsia"/>
          <w:color w:val="auto"/>
          <w:sz w:val="24"/>
          <w:szCs w:val="24"/>
          <w:highlight w:val="none"/>
        </w:rPr>
      </w:pPr>
      <w:bookmarkStart w:id="236" w:name="_Toc21142"/>
      <w:bookmarkStart w:id="237" w:name="_Toc392345940"/>
      <w:bookmarkStart w:id="238" w:name="_Toc229646744"/>
      <w:r>
        <w:rPr>
          <w:rFonts w:hint="eastAsia" w:asciiTheme="minorEastAsia" w:hAnsiTheme="minorEastAsia" w:eastAsiaTheme="minorEastAsia" w:cstheme="minorEastAsia"/>
          <w:color w:val="auto"/>
          <w:sz w:val="24"/>
          <w:szCs w:val="24"/>
          <w:highlight w:val="none"/>
        </w:rPr>
        <w:t>6. 评标</w:t>
      </w:r>
      <w:bookmarkEnd w:id="230"/>
      <w:bookmarkEnd w:id="231"/>
      <w:bookmarkEnd w:id="232"/>
      <w:bookmarkEnd w:id="236"/>
      <w:bookmarkEnd w:id="237"/>
      <w:bookmarkEnd w:id="238"/>
    </w:p>
    <w:p>
      <w:pPr>
        <w:pStyle w:val="42"/>
        <w:spacing w:line="440" w:lineRule="exact"/>
        <w:rPr>
          <w:rFonts w:asciiTheme="minorEastAsia" w:hAnsiTheme="minorEastAsia" w:eastAsiaTheme="minorEastAsia" w:cstheme="minorEastAsia"/>
          <w:b/>
          <w:color w:val="auto"/>
          <w:szCs w:val="24"/>
          <w:highlight w:val="none"/>
        </w:rPr>
      </w:pPr>
      <w:bookmarkStart w:id="239" w:name="_Toc144974531"/>
      <w:bookmarkStart w:id="240" w:name="_Toc392345941"/>
      <w:bookmarkStart w:id="241" w:name="_Toc152045563"/>
      <w:bookmarkStart w:id="242" w:name="_Toc229646745"/>
      <w:bookmarkStart w:id="243" w:name="_Toc152042339"/>
      <w:bookmarkStart w:id="244" w:name="_Toc7251"/>
      <w:r>
        <w:rPr>
          <w:rFonts w:hint="eastAsia" w:asciiTheme="minorEastAsia" w:hAnsiTheme="minorEastAsia" w:eastAsiaTheme="minorEastAsia" w:cstheme="minorEastAsia"/>
          <w:b/>
          <w:color w:val="auto"/>
          <w:szCs w:val="24"/>
          <w:highlight w:val="none"/>
        </w:rPr>
        <w:t>6.1 评标委员会</w:t>
      </w:r>
      <w:bookmarkEnd w:id="239"/>
      <w:bookmarkEnd w:id="240"/>
      <w:bookmarkEnd w:id="241"/>
      <w:bookmarkEnd w:id="242"/>
      <w:bookmarkEnd w:id="243"/>
      <w:bookmarkEnd w:id="244"/>
    </w:p>
    <w:p>
      <w:pPr>
        <w:ind w:firstLine="480" w:firstLineChars="200"/>
        <w:rPr>
          <w:rFonts w:asciiTheme="minorEastAsia" w:hAnsiTheme="minorEastAsia" w:eastAsiaTheme="minorEastAsia" w:cstheme="minorEastAsia"/>
          <w:color w:val="auto"/>
          <w:sz w:val="24"/>
          <w:szCs w:val="24"/>
          <w:highlight w:val="none"/>
        </w:rPr>
      </w:pPr>
      <w:bookmarkStart w:id="245" w:name="_Toc152042340"/>
      <w:bookmarkStart w:id="246" w:name="_Toc152045564"/>
      <w:bookmarkStart w:id="247" w:name="_Toc144974532"/>
      <w:bookmarkStart w:id="248" w:name="_Toc229646746"/>
      <w:r>
        <w:rPr>
          <w:rFonts w:hint="eastAsia" w:asciiTheme="minorEastAsia" w:hAnsiTheme="minorEastAsia" w:eastAsiaTheme="minorEastAsia" w:cstheme="minorEastAsia"/>
          <w:color w:val="auto"/>
          <w:sz w:val="24"/>
          <w:szCs w:val="24"/>
          <w:highlight w:val="none"/>
        </w:rPr>
        <w:t>6.1.1 评标由招标人依法组建的评标委员会负责。评标委员会成员人数以及技术、经济等方面专家的确定方式见投标人须知前附表。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6.1.2 评标委员会成员有下列情形之一的，应当回避：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（1）招标人或投标人的主要负责人的近亲属；</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（2）项目主管部门或者行政监督部门的人员；</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（3）与投标人有经济利益关系，可能影响对投标公正评审的；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（4）曾因在招标、评标以及其他与招标投标有关活动中从事违法行为而受过行政处罚或刑事处罚的。</w:t>
      </w:r>
    </w:p>
    <w:p>
      <w:pPr>
        <w:pStyle w:val="42"/>
        <w:tabs>
          <w:tab w:val="left" w:pos="2620"/>
        </w:tabs>
        <w:spacing w:line="440" w:lineRule="exact"/>
        <w:rPr>
          <w:rFonts w:asciiTheme="minorEastAsia" w:hAnsiTheme="minorEastAsia" w:eastAsiaTheme="minorEastAsia" w:cstheme="minorEastAsia"/>
          <w:b/>
          <w:color w:val="auto"/>
          <w:szCs w:val="24"/>
          <w:highlight w:val="none"/>
        </w:rPr>
      </w:pPr>
      <w:bookmarkStart w:id="249" w:name="_Toc28610"/>
      <w:bookmarkStart w:id="250" w:name="_Toc392345942"/>
      <w:r>
        <w:rPr>
          <w:rFonts w:hint="eastAsia" w:asciiTheme="minorEastAsia" w:hAnsiTheme="minorEastAsia" w:eastAsiaTheme="minorEastAsia" w:cstheme="minorEastAsia"/>
          <w:b/>
          <w:color w:val="auto"/>
          <w:szCs w:val="24"/>
          <w:highlight w:val="none"/>
        </w:rPr>
        <w:t>6.2 评标原则</w:t>
      </w:r>
      <w:bookmarkEnd w:id="245"/>
      <w:bookmarkEnd w:id="246"/>
      <w:bookmarkEnd w:id="247"/>
      <w:bookmarkEnd w:id="248"/>
      <w:bookmarkEnd w:id="249"/>
      <w:bookmarkEnd w:id="250"/>
      <w:r>
        <w:rPr>
          <w:rFonts w:hint="eastAsia" w:asciiTheme="minorEastAsia" w:hAnsiTheme="minorEastAsia" w:eastAsiaTheme="minorEastAsia" w:cstheme="minorEastAsia"/>
          <w:b/>
          <w:color w:val="auto"/>
          <w:szCs w:val="24"/>
          <w:highlight w:val="none"/>
        </w:rPr>
        <w:tab/>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pPr>
        <w:pStyle w:val="42"/>
        <w:spacing w:line="440" w:lineRule="exact"/>
        <w:rPr>
          <w:rFonts w:asciiTheme="minorEastAsia" w:hAnsiTheme="minorEastAsia" w:eastAsiaTheme="minorEastAsia" w:cstheme="minorEastAsia"/>
          <w:b/>
          <w:color w:val="auto"/>
          <w:szCs w:val="24"/>
          <w:highlight w:val="none"/>
          <w:u w:val="single"/>
        </w:rPr>
      </w:pPr>
      <w:bookmarkStart w:id="251" w:name="_Toc144974533"/>
      <w:bookmarkStart w:id="252" w:name="_Toc392345943"/>
      <w:bookmarkStart w:id="253" w:name="_Toc229646747"/>
      <w:bookmarkStart w:id="254" w:name="_Toc1522"/>
      <w:bookmarkStart w:id="255" w:name="_Toc152045565"/>
      <w:bookmarkStart w:id="256" w:name="_Toc152042341"/>
      <w:r>
        <w:rPr>
          <w:rFonts w:hint="eastAsia" w:asciiTheme="minorEastAsia" w:hAnsiTheme="minorEastAsia" w:eastAsiaTheme="minorEastAsia" w:cstheme="minorEastAsia"/>
          <w:b/>
          <w:color w:val="auto"/>
          <w:szCs w:val="24"/>
          <w:highlight w:val="none"/>
        </w:rPr>
        <w:t>6.3 评标</w:t>
      </w:r>
      <w:bookmarkEnd w:id="251"/>
      <w:bookmarkEnd w:id="252"/>
      <w:bookmarkEnd w:id="253"/>
      <w:bookmarkEnd w:id="254"/>
      <w:bookmarkEnd w:id="255"/>
      <w:bookmarkEnd w:id="256"/>
    </w:p>
    <w:p>
      <w:pPr>
        <w:ind w:firstLine="480" w:firstLineChars="200"/>
        <w:rPr>
          <w:rFonts w:asciiTheme="minorEastAsia" w:hAnsiTheme="minorEastAsia" w:eastAsiaTheme="minorEastAsia" w:cstheme="minorEastAsia"/>
          <w:color w:val="auto"/>
          <w:sz w:val="24"/>
          <w:szCs w:val="24"/>
          <w:highlight w:val="none"/>
        </w:rPr>
      </w:pPr>
      <w:bookmarkStart w:id="257" w:name="_Toc229646748"/>
      <w:bookmarkStart w:id="258" w:name="_Toc152045566"/>
      <w:bookmarkStart w:id="259" w:name="_Toc152042342"/>
      <w:bookmarkStart w:id="260" w:name="_Toc144974534"/>
      <w:r>
        <w:rPr>
          <w:rFonts w:hint="eastAsia" w:asciiTheme="minorEastAsia" w:hAnsiTheme="minorEastAsia" w:eastAsiaTheme="minorEastAsia" w:cstheme="minorEastAsia"/>
          <w:color w:val="auto"/>
          <w:sz w:val="24"/>
          <w:szCs w:val="24"/>
          <w:highlight w:val="none"/>
        </w:rPr>
        <w:t>评标方法见投标人须知前附表，评标委员会按照招标文件规定的评标标准和方法，客观、公正地对投标文件提出评审意见。招标文件没有规定的评标标准和方法，不作为评标依据。</w:t>
      </w:r>
    </w:p>
    <w:p>
      <w:pPr>
        <w:pStyle w:val="42"/>
        <w:spacing w:line="440" w:lineRule="exact"/>
        <w:rPr>
          <w:rFonts w:asciiTheme="minorEastAsia" w:hAnsiTheme="minorEastAsia" w:eastAsiaTheme="minorEastAsia" w:cstheme="minorEastAsia"/>
          <w:b/>
          <w:color w:val="auto"/>
          <w:szCs w:val="24"/>
          <w:highlight w:val="none"/>
        </w:rPr>
      </w:pPr>
      <w:bookmarkStart w:id="261" w:name="_Toc27286"/>
      <w:bookmarkStart w:id="262" w:name="_Toc413488678"/>
      <w:r>
        <w:rPr>
          <w:rFonts w:hint="eastAsia" w:asciiTheme="minorEastAsia" w:hAnsiTheme="minorEastAsia" w:eastAsiaTheme="minorEastAsia" w:cstheme="minorEastAsia"/>
          <w:b/>
          <w:color w:val="auto"/>
          <w:szCs w:val="24"/>
          <w:highlight w:val="none"/>
        </w:rPr>
        <w:t>6.4中标候选人公示媒介</w:t>
      </w:r>
      <w:bookmarkEnd w:id="261"/>
      <w:bookmarkEnd w:id="262"/>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见投标人须知前附表。</w:t>
      </w:r>
    </w:p>
    <w:p>
      <w:pPr>
        <w:pStyle w:val="41"/>
        <w:spacing w:line="440" w:lineRule="exact"/>
        <w:rPr>
          <w:rFonts w:asciiTheme="minorEastAsia" w:hAnsiTheme="minorEastAsia" w:eastAsiaTheme="minorEastAsia" w:cstheme="minorEastAsia"/>
          <w:color w:val="auto"/>
          <w:sz w:val="24"/>
          <w:szCs w:val="24"/>
          <w:highlight w:val="none"/>
        </w:rPr>
      </w:pPr>
      <w:bookmarkStart w:id="263" w:name="_Toc31997"/>
      <w:bookmarkStart w:id="264" w:name="_Toc392345944"/>
      <w:r>
        <w:rPr>
          <w:rFonts w:hint="eastAsia" w:asciiTheme="minorEastAsia" w:hAnsiTheme="minorEastAsia" w:eastAsiaTheme="minorEastAsia" w:cstheme="minorEastAsia"/>
          <w:color w:val="auto"/>
          <w:sz w:val="24"/>
          <w:szCs w:val="24"/>
          <w:highlight w:val="none"/>
        </w:rPr>
        <w:t>7. 合同授予</w:t>
      </w:r>
      <w:bookmarkEnd w:id="257"/>
      <w:bookmarkEnd w:id="258"/>
      <w:bookmarkEnd w:id="259"/>
      <w:bookmarkEnd w:id="260"/>
      <w:bookmarkEnd w:id="263"/>
      <w:bookmarkEnd w:id="264"/>
    </w:p>
    <w:p>
      <w:pPr>
        <w:pStyle w:val="42"/>
        <w:spacing w:line="440" w:lineRule="exact"/>
        <w:rPr>
          <w:rFonts w:asciiTheme="minorEastAsia" w:hAnsiTheme="minorEastAsia" w:eastAsiaTheme="minorEastAsia" w:cstheme="minorEastAsia"/>
          <w:b/>
          <w:color w:val="auto"/>
          <w:szCs w:val="24"/>
          <w:highlight w:val="none"/>
        </w:rPr>
      </w:pPr>
      <w:bookmarkStart w:id="265" w:name="_Toc152045567"/>
      <w:bookmarkStart w:id="266" w:name="_Toc8962"/>
      <w:bookmarkStart w:id="267" w:name="_Toc392345945"/>
      <w:bookmarkStart w:id="268" w:name="_Toc144974535"/>
      <w:bookmarkStart w:id="269" w:name="_Toc152042343"/>
      <w:bookmarkStart w:id="270" w:name="_Toc229646749"/>
      <w:r>
        <w:rPr>
          <w:rFonts w:hint="eastAsia" w:asciiTheme="minorEastAsia" w:hAnsiTheme="minorEastAsia" w:eastAsiaTheme="minorEastAsia" w:cstheme="minorEastAsia"/>
          <w:b/>
          <w:color w:val="auto"/>
          <w:szCs w:val="24"/>
          <w:highlight w:val="none"/>
        </w:rPr>
        <w:t>7.1 定标方式</w:t>
      </w:r>
      <w:bookmarkEnd w:id="265"/>
      <w:bookmarkEnd w:id="266"/>
      <w:bookmarkEnd w:id="267"/>
      <w:bookmarkEnd w:id="268"/>
      <w:bookmarkEnd w:id="269"/>
      <w:bookmarkEnd w:id="270"/>
    </w:p>
    <w:p>
      <w:pPr>
        <w:ind w:firstLine="480" w:firstLineChars="200"/>
        <w:rPr>
          <w:rFonts w:asciiTheme="minorEastAsia" w:hAnsiTheme="minorEastAsia" w:eastAsiaTheme="minorEastAsia" w:cstheme="minorEastAsia"/>
          <w:color w:val="auto"/>
          <w:sz w:val="24"/>
          <w:szCs w:val="24"/>
          <w:highlight w:val="none"/>
        </w:rPr>
      </w:pPr>
      <w:bookmarkStart w:id="271" w:name="_Toc144974536"/>
      <w:bookmarkStart w:id="272" w:name="_Toc152042344"/>
      <w:bookmarkStart w:id="273" w:name="_Toc152045568"/>
      <w:bookmarkStart w:id="274" w:name="_Toc229646750"/>
      <w:r>
        <w:rPr>
          <w:rFonts w:hint="eastAsia" w:asciiTheme="minorEastAsia" w:hAnsiTheme="minorEastAsia" w:eastAsiaTheme="minorEastAsia" w:cstheme="minorEastAsia"/>
          <w:color w:val="auto"/>
          <w:sz w:val="24"/>
          <w:szCs w:val="24"/>
          <w:highlight w:val="none"/>
        </w:rPr>
        <w:t>除投标人须知前附表规定评标委员会直接确定中标人外，招标人依据评标委员会推荐的中标候选人确定中标人，评标委员会推荐中标候选人的人数及定标方式见投标人须知前附表。</w:t>
      </w:r>
    </w:p>
    <w:p>
      <w:pPr>
        <w:pStyle w:val="42"/>
        <w:spacing w:line="440" w:lineRule="exact"/>
        <w:rPr>
          <w:rFonts w:asciiTheme="minorEastAsia" w:hAnsiTheme="minorEastAsia" w:eastAsiaTheme="minorEastAsia" w:cstheme="minorEastAsia"/>
          <w:b/>
          <w:color w:val="auto"/>
          <w:szCs w:val="24"/>
          <w:highlight w:val="none"/>
        </w:rPr>
      </w:pPr>
      <w:bookmarkStart w:id="275" w:name="_Toc392345946"/>
      <w:bookmarkStart w:id="276" w:name="_Toc32437"/>
      <w:r>
        <w:rPr>
          <w:rFonts w:hint="eastAsia" w:asciiTheme="minorEastAsia" w:hAnsiTheme="minorEastAsia" w:eastAsiaTheme="minorEastAsia" w:cstheme="minorEastAsia"/>
          <w:b/>
          <w:color w:val="auto"/>
          <w:szCs w:val="24"/>
          <w:highlight w:val="none"/>
        </w:rPr>
        <w:t>7.2中标公示</w:t>
      </w:r>
      <w:bookmarkEnd w:id="271"/>
      <w:bookmarkEnd w:id="272"/>
      <w:bookmarkEnd w:id="273"/>
      <w:bookmarkEnd w:id="274"/>
      <w:bookmarkEnd w:id="275"/>
      <w:bookmarkEnd w:id="276"/>
    </w:p>
    <w:p>
      <w:pPr>
        <w:ind w:firstLine="480" w:firstLineChars="200"/>
        <w:rPr>
          <w:rFonts w:asciiTheme="minorEastAsia" w:hAnsiTheme="minorEastAsia" w:eastAsiaTheme="minorEastAsia" w:cstheme="minorEastAsia"/>
          <w:color w:val="auto"/>
          <w:sz w:val="24"/>
          <w:szCs w:val="24"/>
          <w:highlight w:val="none"/>
        </w:rPr>
      </w:pPr>
      <w:bookmarkStart w:id="277" w:name="_Toc144974537"/>
      <w:bookmarkStart w:id="278" w:name="_Toc152042345"/>
      <w:bookmarkStart w:id="279" w:name="_Toc152045569"/>
      <w:bookmarkStart w:id="280" w:name="_Toc229646751"/>
      <w:r>
        <w:rPr>
          <w:rFonts w:hint="eastAsia" w:asciiTheme="minorEastAsia" w:hAnsiTheme="minorEastAsia" w:eastAsiaTheme="minorEastAsia" w:cstheme="minorEastAsia"/>
          <w:color w:val="auto"/>
          <w:sz w:val="24"/>
          <w:szCs w:val="24"/>
          <w:highlight w:val="none"/>
        </w:rPr>
        <w:t>招标人自确定中标候选人之日起，应在与发布招标公告或资格预审公告一致的媒介上发布中标公示 ，公示期为3个工作日。</w:t>
      </w:r>
    </w:p>
    <w:bookmarkEnd w:id="277"/>
    <w:bookmarkEnd w:id="278"/>
    <w:bookmarkEnd w:id="279"/>
    <w:bookmarkEnd w:id="280"/>
    <w:p>
      <w:pPr>
        <w:pStyle w:val="42"/>
        <w:spacing w:line="440" w:lineRule="exact"/>
        <w:rPr>
          <w:rFonts w:asciiTheme="minorEastAsia" w:hAnsiTheme="minorEastAsia" w:eastAsiaTheme="minorEastAsia" w:cstheme="minorEastAsia"/>
          <w:b/>
          <w:color w:val="auto"/>
          <w:szCs w:val="24"/>
          <w:highlight w:val="none"/>
        </w:rPr>
      </w:pPr>
      <w:bookmarkStart w:id="281" w:name="_Toc392345947"/>
      <w:bookmarkStart w:id="282" w:name="_Toc296602458"/>
      <w:bookmarkStart w:id="283" w:name="_Toc246996955"/>
      <w:bookmarkStart w:id="284" w:name="_Toc4618"/>
      <w:bookmarkStart w:id="285" w:name="_Toc247085726"/>
      <w:bookmarkStart w:id="286" w:name="_Toc246996212"/>
      <w:bookmarkStart w:id="287" w:name="_Toc179632586"/>
      <w:r>
        <w:rPr>
          <w:rFonts w:hint="eastAsia" w:asciiTheme="minorEastAsia" w:hAnsiTheme="minorEastAsia" w:eastAsiaTheme="minorEastAsia" w:cstheme="minorEastAsia"/>
          <w:b/>
          <w:color w:val="auto"/>
          <w:szCs w:val="24"/>
          <w:highlight w:val="none"/>
        </w:rPr>
        <w:t>7.3 中标通知</w:t>
      </w:r>
      <w:bookmarkEnd w:id="281"/>
      <w:bookmarkEnd w:id="282"/>
      <w:bookmarkEnd w:id="283"/>
      <w:bookmarkEnd w:id="284"/>
      <w:bookmarkEnd w:id="285"/>
      <w:bookmarkEnd w:id="286"/>
      <w:bookmarkEnd w:id="287"/>
    </w:p>
    <w:p>
      <w:pPr>
        <w:pStyle w:val="9"/>
        <w:ind w:firstLine="480"/>
        <w:rPr>
          <w:rFonts w:asciiTheme="minorEastAsia" w:hAnsiTheme="minorEastAsia" w:eastAsiaTheme="minorEastAsia" w:cstheme="minorEastAsia"/>
          <w:color w:val="auto"/>
          <w:sz w:val="24"/>
          <w:szCs w:val="24"/>
          <w:highlight w:val="none"/>
        </w:rPr>
      </w:pPr>
      <w:bookmarkStart w:id="288" w:name="_Toc179632587"/>
      <w:bookmarkStart w:id="289" w:name="_Toc246996213"/>
      <w:bookmarkStart w:id="290" w:name="_Toc246996956"/>
      <w:bookmarkStart w:id="291" w:name="_Toc296602459"/>
      <w:bookmarkStart w:id="292" w:name="_Toc392345948"/>
      <w:bookmarkStart w:id="293" w:name="_Toc247085727"/>
      <w:r>
        <w:rPr>
          <w:rFonts w:hint="eastAsia" w:asciiTheme="minorEastAsia" w:hAnsiTheme="minorEastAsia" w:eastAsiaTheme="minorEastAsia" w:cstheme="minorEastAsia"/>
          <w:color w:val="auto"/>
          <w:sz w:val="24"/>
          <w:szCs w:val="24"/>
          <w:highlight w:val="none"/>
        </w:rPr>
        <w:t>7.3.1中标人确定后，招标人将在投标有效期内以书面形式向中标人发出中标通知书。</w:t>
      </w:r>
    </w:p>
    <w:p>
      <w:pPr>
        <w:pStyle w:val="9"/>
        <w:ind w:firstLine="48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7.3.2招标人将在发出中标通知书的同时，将中标结果以书面形式通知所有未中标的投标人。</w:t>
      </w:r>
    </w:p>
    <w:p>
      <w:pPr>
        <w:pStyle w:val="42"/>
        <w:spacing w:line="440" w:lineRule="exact"/>
        <w:rPr>
          <w:rFonts w:asciiTheme="minorEastAsia" w:hAnsiTheme="minorEastAsia" w:eastAsiaTheme="minorEastAsia" w:cstheme="minorEastAsia"/>
          <w:b/>
          <w:color w:val="auto"/>
          <w:szCs w:val="24"/>
          <w:highlight w:val="none"/>
        </w:rPr>
      </w:pPr>
      <w:bookmarkStart w:id="294" w:name="_Toc30125"/>
      <w:r>
        <w:rPr>
          <w:rFonts w:hint="eastAsia" w:asciiTheme="minorEastAsia" w:hAnsiTheme="minorEastAsia" w:eastAsiaTheme="minorEastAsia" w:cstheme="minorEastAsia"/>
          <w:b/>
          <w:color w:val="auto"/>
          <w:szCs w:val="24"/>
          <w:highlight w:val="none"/>
        </w:rPr>
        <w:t>7.4 履约担保</w:t>
      </w:r>
      <w:bookmarkEnd w:id="288"/>
      <w:bookmarkEnd w:id="289"/>
      <w:bookmarkEnd w:id="290"/>
      <w:bookmarkEnd w:id="291"/>
      <w:bookmarkEnd w:id="292"/>
      <w:bookmarkEnd w:id="293"/>
      <w:bookmarkEnd w:id="294"/>
    </w:p>
    <w:p>
      <w:pPr>
        <w:ind w:firstLine="480" w:firstLineChars="200"/>
        <w:rPr>
          <w:rFonts w:asciiTheme="minorEastAsia" w:hAnsiTheme="minorEastAsia" w:eastAsiaTheme="minorEastAsia" w:cstheme="minorEastAsia"/>
          <w:color w:val="auto"/>
          <w:sz w:val="24"/>
          <w:szCs w:val="24"/>
          <w:highlight w:val="none"/>
        </w:rPr>
      </w:pPr>
      <w:bookmarkStart w:id="295" w:name="_Toc179632588"/>
      <w:bookmarkStart w:id="296" w:name="_Toc144974538"/>
      <w:bookmarkStart w:id="297" w:name="_Toc296602460"/>
      <w:bookmarkStart w:id="298" w:name="_Toc152042346"/>
      <w:bookmarkStart w:id="299" w:name="_Toc246996214"/>
      <w:bookmarkStart w:id="300" w:name="_Toc246996957"/>
      <w:bookmarkStart w:id="301" w:name="_Toc247085728"/>
      <w:bookmarkStart w:id="302" w:name="_Toc152045570"/>
      <w:r>
        <w:rPr>
          <w:rFonts w:hint="eastAsia" w:asciiTheme="minorEastAsia" w:hAnsiTheme="minorEastAsia" w:eastAsiaTheme="minorEastAsia" w:cstheme="minorEastAsia"/>
          <w:color w:val="auto"/>
          <w:sz w:val="24"/>
          <w:szCs w:val="24"/>
          <w:highlight w:val="none"/>
        </w:rPr>
        <w:t>7.4.1在签订合同前，中标人应按投标人须知前附表规定的金额、担保形式和招标文件第四章“合同条款及格式”规定的履约担保格式向招标人提交履约担保。</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7.4.2 中标人不能按本章第7.4.1项要求提交履约担保的，视为放弃中标，其投标保证金不予退还，给招标人造成的损失超过投标保证金数额的，中标人还应当对超过部分予以赔偿。</w:t>
      </w:r>
    </w:p>
    <w:p>
      <w:pPr>
        <w:pStyle w:val="42"/>
        <w:spacing w:line="440" w:lineRule="exact"/>
        <w:rPr>
          <w:rFonts w:asciiTheme="minorEastAsia" w:hAnsiTheme="minorEastAsia" w:eastAsiaTheme="minorEastAsia" w:cstheme="minorEastAsia"/>
          <w:b/>
          <w:color w:val="auto"/>
          <w:szCs w:val="24"/>
          <w:highlight w:val="none"/>
        </w:rPr>
      </w:pPr>
      <w:bookmarkStart w:id="303" w:name="_Toc392345949"/>
      <w:bookmarkStart w:id="304" w:name="_Toc32528"/>
      <w:r>
        <w:rPr>
          <w:rFonts w:hint="eastAsia" w:asciiTheme="minorEastAsia" w:hAnsiTheme="minorEastAsia" w:eastAsiaTheme="minorEastAsia" w:cstheme="minorEastAsia"/>
          <w:b/>
          <w:color w:val="auto"/>
          <w:szCs w:val="24"/>
          <w:highlight w:val="none"/>
        </w:rPr>
        <w:t>7.5 签订合同</w:t>
      </w:r>
      <w:bookmarkEnd w:id="295"/>
      <w:bookmarkEnd w:id="296"/>
      <w:bookmarkEnd w:id="297"/>
      <w:bookmarkEnd w:id="298"/>
      <w:bookmarkEnd w:id="299"/>
      <w:bookmarkEnd w:id="300"/>
      <w:bookmarkEnd w:id="301"/>
      <w:bookmarkEnd w:id="302"/>
      <w:bookmarkEnd w:id="303"/>
      <w:bookmarkEnd w:id="30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7.5.1招标人和中标人应在中标通知书规定的时间内，根据招标文件和中标人的投标文件订立书面合同。中标人无正当理由拒签合同的，招标人取消其中标资格，其投标保证金不予退还；给招标人造成的损失超过投标保证金数额的，中标人还应当对超过部分予以赔偿。</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7.5.2 发出中标通知书后，招标人无正当理由拒签合同的，招标人向中标人退还投标保证金；给中标人造成损失的，还应当赔偿损失。</w:t>
      </w:r>
    </w:p>
    <w:p>
      <w:pPr>
        <w:pStyle w:val="41"/>
        <w:spacing w:line="440" w:lineRule="exact"/>
        <w:rPr>
          <w:rFonts w:asciiTheme="minorEastAsia" w:hAnsiTheme="minorEastAsia" w:eastAsiaTheme="minorEastAsia" w:cstheme="minorEastAsia"/>
          <w:color w:val="auto"/>
          <w:sz w:val="24"/>
          <w:szCs w:val="24"/>
          <w:highlight w:val="none"/>
        </w:rPr>
      </w:pPr>
      <w:bookmarkStart w:id="305" w:name="_Toc152045571"/>
      <w:bookmarkStart w:id="306" w:name="_Toc392345950"/>
      <w:bookmarkStart w:id="307" w:name="_Toc24179"/>
      <w:bookmarkStart w:id="308" w:name="_Toc323711786"/>
      <w:bookmarkStart w:id="309" w:name="_Toc245036638"/>
      <w:bookmarkStart w:id="310" w:name="_Toc152042347"/>
      <w:bookmarkStart w:id="311" w:name="_Toc144974539"/>
      <w:r>
        <w:rPr>
          <w:rFonts w:hint="eastAsia" w:asciiTheme="minorEastAsia" w:hAnsiTheme="minorEastAsia" w:eastAsiaTheme="minorEastAsia" w:cstheme="minorEastAsia"/>
          <w:color w:val="auto"/>
          <w:sz w:val="24"/>
          <w:szCs w:val="24"/>
          <w:highlight w:val="none"/>
        </w:rPr>
        <w:t>8. 重新招标和不再招标</w:t>
      </w:r>
      <w:bookmarkEnd w:id="305"/>
      <w:bookmarkEnd w:id="306"/>
      <w:bookmarkEnd w:id="307"/>
      <w:bookmarkEnd w:id="308"/>
      <w:bookmarkEnd w:id="309"/>
      <w:bookmarkEnd w:id="310"/>
      <w:bookmarkEnd w:id="311"/>
    </w:p>
    <w:p>
      <w:pPr>
        <w:pStyle w:val="42"/>
        <w:spacing w:line="440" w:lineRule="exact"/>
        <w:rPr>
          <w:rFonts w:asciiTheme="minorEastAsia" w:hAnsiTheme="minorEastAsia" w:eastAsiaTheme="minorEastAsia" w:cstheme="minorEastAsia"/>
          <w:b/>
          <w:color w:val="auto"/>
          <w:szCs w:val="24"/>
          <w:highlight w:val="none"/>
        </w:rPr>
      </w:pPr>
      <w:bookmarkStart w:id="312" w:name="_Toc152045572"/>
      <w:bookmarkStart w:id="313" w:name="_Toc152042348"/>
      <w:bookmarkStart w:id="314" w:name="_Toc319408108"/>
      <w:bookmarkStart w:id="315" w:name="_Toc323711787"/>
      <w:bookmarkStart w:id="316" w:name="_Toc322615435"/>
      <w:bookmarkStart w:id="317" w:name="_Toc144974540"/>
      <w:bookmarkStart w:id="318" w:name="_Toc392345951"/>
      <w:bookmarkStart w:id="319" w:name="_Toc17490"/>
      <w:bookmarkStart w:id="320" w:name="_Toc319407873"/>
      <w:bookmarkStart w:id="321" w:name="_Toc245036639"/>
      <w:r>
        <w:rPr>
          <w:rFonts w:hint="eastAsia" w:asciiTheme="minorEastAsia" w:hAnsiTheme="minorEastAsia" w:eastAsiaTheme="minorEastAsia" w:cstheme="minorEastAsia"/>
          <w:b/>
          <w:color w:val="auto"/>
          <w:szCs w:val="24"/>
          <w:highlight w:val="none"/>
        </w:rPr>
        <w:t>8.1 重新招标</w:t>
      </w:r>
      <w:bookmarkEnd w:id="312"/>
      <w:bookmarkEnd w:id="313"/>
      <w:bookmarkEnd w:id="314"/>
      <w:bookmarkEnd w:id="315"/>
      <w:bookmarkEnd w:id="316"/>
      <w:bookmarkEnd w:id="317"/>
      <w:bookmarkEnd w:id="318"/>
      <w:bookmarkEnd w:id="319"/>
      <w:bookmarkEnd w:id="320"/>
      <w:bookmarkEnd w:id="32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有下列情形之一的，招标人将重新招标：</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（1）投标截止时间止，投标人少于3个的；</w:t>
      </w:r>
    </w:p>
    <w:p>
      <w:pPr>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（2）经评标委员会评审后确定的有效投标少于3个的。</w:t>
      </w:r>
    </w:p>
    <w:p>
      <w:pPr>
        <w:pStyle w:val="42"/>
        <w:spacing w:line="440" w:lineRule="exact"/>
        <w:rPr>
          <w:rFonts w:asciiTheme="minorEastAsia" w:hAnsiTheme="minorEastAsia" w:eastAsiaTheme="minorEastAsia" w:cstheme="minorEastAsia"/>
          <w:b/>
          <w:color w:val="auto"/>
          <w:szCs w:val="24"/>
          <w:highlight w:val="none"/>
        </w:rPr>
      </w:pPr>
      <w:bookmarkStart w:id="322" w:name="_Toc392345952"/>
      <w:bookmarkStart w:id="323" w:name="_Toc323711788"/>
      <w:bookmarkStart w:id="324" w:name="_Toc245036640"/>
      <w:bookmarkStart w:id="325" w:name="_Toc319408109"/>
      <w:bookmarkStart w:id="326" w:name="_Toc152042349"/>
      <w:bookmarkStart w:id="327" w:name="_Toc319407874"/>
      <w:bookmarkStart w:id="328" w:name="_Toc152045573"/>
      <w:bookmarkStart w:id="329" w:name="_Toc144974541"/>
      <w:bookmarkStart w:id="330" w:name="_Toc322615436"/>
      <w:bookmarkStart w:id="331" w:name="_Toc25234"/>
      <w:r>
        <w:rPr>
          <w:rFonts w:hint="eastAsia" w:asciiTheme="minorEastAsia" w:hAnsiTheme="minorEastAsia" w:eastAsiaTheme="minorEastAsia" w:cstheme="minorEastAsia"/>
          <w:b/>
          <w:color w:val="auto"/>
          <w:szCs w:val="24"/>
          <w:highlight w:val="none"/>
        </w:rPr>
        <w:t>8.2 不再招标</w:t>
      </w:r>
      <w:bookmarkEnd w:id="322"/>
      <w:bookmarkEnd w:id="323"/>
      <w:bookmarkEnd w:id="324"/>
      <w:bookmarkEnd w:id="325"/>
      <w:bookmarkEnd w:id="326"/>
      <w:bookmarkEnd w:id="327"/>
      <w:bookmarkEnd w:id="328"/>
      <w:bookmarkEnd w:id="329"/>
      <w:bookmarkEnd w:id="330"/>
      <w:bookmarkEnd w:id="331"/>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重新招标后投标人仍少于3个的，经原审批或核准部门批准后不再进行招标。</w:t>
      </w:r>
    </w:p>
    <w:p>
      <w:pPr>
        <w:pStyle w:val="41"/>
        <w:spacing w:line="440" w:lineRule="exact"/>
        <w:rPr>
          <w:rFonts w:asciiTheme="minorEastAsia" w:hAnsiTheme="minorEastAsia" w:eastAsiaTheme="minorEastAsia" w:cstheme="minorEastAsia"/>
          <w:color w:val="auto"/>
          <w:sz w:val="24"/>
          <w:szCs w:val="24"/>
          <w:highlight w:val="none"/>
        </w:rPr>
      </w:pPr>
      <w:bookmarkStart w:id="332" w:name="_Toc152042350"/>
      <w:bookmarkStart w:id="333" w:name="_Toc17513"/>
      <w:bookmarkStart w:id="334" w:name="_Toc323711789"/>
      <w:bookmarkStart w:id="335" w:name="_Toc152045574"/>
      <w:bookmarkStart w:id="336" w:name="_Toc392345953"/>
      <w:bookmarkStart w:id="337" w:name="_Toc144974542"/>
      <w:bookmarkStart w:id="338" w:name="_Toc245036641"/>
      <w:r>
        <w:rPr>
          <w:rFonts w:hint="eastAsia" w:asciiTheme="minorEastAsia" w:hAnsiTheme="minorEastAsia" w:eastAsiaTheme="minorEastAsia" w:cstheme="minorEastAsia"/>
          <w:color w:val="auto"/>
          <w:sz w:val="24"/>
          <w:szCs w:val="24"/>
          <w:highlight w:val="none"/>
        </w:rPr>
        <w:t>9. 纪律和监督</w:t>
      </w:r>
      <w:bookmarkEnd w:id="332"/>
      <w:bookmarkEnd w:id="333"/>
      <w:bookmarkEnd w:id="334"/>
      <w:bookmarkEnd w:id="335"/>
      <w:bookmarkEnd w:id="336"/>
      <w:bookmarkEnd w:id="337"/>
      <w:bookmarkEnd w:id="338"/>
    </w:p>
    <w:p>
      <w:pPr>
        <w:pStyle w:val="42"/>
        <w:spacing w:line="440" w:lineRule="exact"/>
        <w:rPr>
          <w:rFonts w:asciiTheme="minorEastAsia" w:hAnsiTheme="minorEastAsia" w:eastAsiaTheme="minorEastAsia" w:cstheme="minorEastAsia"/>
          <w:b/>
          <w:color w:val="auto"/>
          <w:szCs w:val="24"/>
          <w:highlight w:val="none"/>
        </w:rPr>
      </w:pPr>
      <w:bookmarkStart w:id="339" w:name="_Toc152045575"/>
      <w:bookmarkStart w:id="340" w:name="_Toc392345954"/>
      <w:bookmarkStart w:id="341" w:name="_Toc144974543"/>
      <w:bookmarkStart w:id="342" w:name="_Toc323711790"/>
      <w:bookmarkStart w:id="343" w:name="_Toc245036642"/>
      <w:bookmarkStart w:id="344" w:name="_Toc322615438"/>
      <w:bookmarkStart w:id="345" w:name="_Toc152042351"/>
      <w:bookmarkStart w:id="346" w:name="_Toc319408111"/>
      <w:bookmarkStart w:id="347" w:name="_Toc9358"/>
      <w:bookmarkStart w:id="348" w:name="_Toc319407876"/>
      <w:r>
        <w:rPr>
          <w:rFonts w:hint="eastAsia" w:asciiTheme="minorEastAsia" w:hAnsiTheme="minorEastAsia" w:eastAsiaTheme="minorEastAsia" w:cstheme="minorEastAsia"/>
          <w:b/>
          <w:color w:val="auto"/>
          <w:szCs w:val="24"/>
          <w:highlight w:val="none"/>
        </w:rPr>
        <w:t>9.1 对招标人的纪律要求</w:t>
      </w:r>
      <w:bookmarkEnd w:id="339"/>
      <w:bookmarkEnd w:id="340"/>
      <w:bookmarkEnd w:id="341"/>
      <w:bookmarkEnd w:id="342"/>
      <w:bookmarkEnd w:id="343"/>
      <w:bookmarkEnd w:id="344"/>
      <w:bookmarkEnd w:id="345"/>
      <w:bookmarkEnd w:id="346"/>
      <w:bookmarkEnd w:id="347"/>
      <w:bookmarkEnd w:id="34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招标人不得泄漏招标投标活动中应当保密的情况和资料，不得与投标人串通损害国家利益、社会公共利益或者他人合法权益。</w:t>
      </w:r>
    </w:p>
    <w:p>
      <w:pPr>
        <w:pStyle w:val="42"/>
        <w:spacing w:line="440" w:lineRule="exact"/>
        <w:rPr>
          <w:rFonts w:asciiTheme="minorEastAsia" w:hAnsiTheme="minorEastAsia" w:eastAsiaTheme="minorEastAsia" w:cstheme="minorEastAsia"/>
          <w:b/>
          <w:color w:val="auto"/>
          <w:szCs w:val="24"/>
          <w:highlight w:val="none"/>
        </w:rPr>
      </w:pPr>
      <w:bookmarkStart w:id="349" w:name="_Toc392345955"/>
      <w:bookmarkStart w:id="350" w:name="_Toc319408112"/>
      <w:bookmarkStart w:id="351" w:name="_Toc152042352"/>
      <w:bookmarkStart w:id="352" w:name="_Toc144974544"/>
      <w:bookmarkStart w:id="353" w:name="_Toc319407877"/>
      <w:bookmarkStart w:id="354" w:name="_Toc152045576"/>
      <w:bookmarkStart w:id="355" w:name="_Toc214"/>
      <w:bookmarkStart w:id="356" w:name="_Toc245036643"/>
      <w:bookmarkStart w:id="357" w:name="_Toc322615439"/>
      <w:bookmarkStart w:id="358" w:name="_Toc323711791"/>
      <w:r>
        <w:rPr>
          <w:rFonts w:hint="eastAsia" w:asciiTheme="minorEastAsia" w:hAnsiTheme="minorEastAsia" w:eastAsiaTheme="minorEastAsia" w:cstheme="minorEastAsia"/>
          <w:b/>
          <w:color w:val="auto"/>
          <w:szCs w:val="24"/>
          <w:highlight w:val="none"/>
        </w:rPr>
        <w:t>9.2 对投标人的纪律要求</w:t>
      </w:r>
      <w:bookmarkEnd w:id="349"/>
      <w:bookmarkEnd w:id="350"/>
      <w:bookmarkEnd w:id="351"/>
      <w:bookmarkEnd w:id="352"/>
      <w:bookmarkEnd w:id="353"/>
      <w:bookmarkEnd w:id="354"/>
      <w:bookmarkEnd w:id="355"/>
      <w:bookmarkEnd w:id="356"/>
      <w:bookmarkEnd w:id="357"/>
      <w:bookmarkEnd w:id="35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pPr>
        <w:pStyle w:val="42"/>
        <w:spacing w:line="440" w:lineRule="exact"/>
        <w:rPr>
          <w:rFonts w:asciiTheme="minorEastAsia" w:hAnsiTheme="minorEastAsia" w:eastAsiaTheme="minorEastAsia" w:cstheme="minorEastAsia"/>
          <w:b/>
          <w:color w:val="auto"/>
          <w:szCs w:val="24"/>
          <w:highlight w:val="none"/>
        </w:rPr>
      </w:pPr>
      <w:bookmarkStart w:id="359" w:name="_Toc3266"/>
      <w:bookmarkStart w:id="360" w:name="_Toc319407878"/>
      <w:bookmarkStart w:id="361" w:name="_Toc322615440"/>
      <w:bookmarkStart w:id="362" w:name="_Toc144974545"/>
      <w:bookmarkStart w:id="363" w:name="_Toc152042353"/>
      <w:bookmarkStart w:id="364" w:name="_Toc245036644"/>
      <w:bookmarkStart w:id="365" w:name="_Toc152045577"/>
      <w:bookmarkStart w:id="366" w:name="_Toc392345956"/>
      <w:bookmarkStart w:id="367" w:name="_Toc319408113"/>
      <w:bookmarkStart w:id="368" w:name="_Toc323711792"/>
      <w:r>
        <w:rPr>
          <w:rFonts w:hint="eastAsia" w:asciiTheme="minorEastAsia" w:hAnsiTheme="minorEastAsia" w:eastAsiaTheme="minorEastAsia" w:cstheme="minorEastAsia"/>
          <w:b/>
          <w:color w:val="auto"/>
          <w:szCs w:val="24"/>
          <w:highlight w:val="none"/>
        </w:rPr>
        <w:t>9.3 对评标委员会成员的纪律要求</w:t>
      </w:r>
      <w:bookmarkEnd w:id="359"/>
      <w:bookmarkEnd w:id="360"/>
      <w:bookmarkEnd w:id="361"/>
      <w:bookmarkEnd w:id="362"/>
      <w:bookmarkEnd w:id="363"/>
      <w:bookmarkEnd w:id="364"/>
      <w:bookmarkEnd w:id="365"/>
      <w:bookmarkEnd w:id="366"/>
      <w:bookmarkEnd w:id="367"/>
      <w:bookmarkEnd w:id="368"/>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成员不得收受他人的财物或者其他好处，不得向他人透漏对投标文件的评审和比较、中标候选人的推荐情况以及评标有关的其他情况。在评标活动中，评标委员会成员不得擅离职守，影响评标程序正常进行，不得使用第三章“评标办法”没有规定的评审因素和标准进行评标。</w:t>
      </w:r>
    </w:p>
    <w:p>
      <w:pPr>
        <w:pStyle w:val="42"/>
        <w:spacing w:line="440" w:lineRule="exact"/>
        <w:rPr>
          <w:rFonts w:asciiTheme="minorEastAsia" w:hAnsiTheme="minorEastAsia" w:eastAsiaTheme="minorEastAsia" w:cstheme="minorEastAsia"/>
          <w:b/>
          <w:color w:val="auto"/>
          <w:szCs w:val="24"/>
          <w:highlight w:val="none"/>
        </w:rPr>
      </w:pPr>
      <w:bookmarkStart w:id="369" w:name="_Toc152042354"/>
      <w:bookmarkStart w:id="370" w:name="_Toc319407879"/>
      <w:bookmarkStart w:id="371" w:name="_Toc152045578"/>
      <w:bookmarkStart w:id="372" w:name="_Toc322615441"/>
      <w:bookmarkStart w:id="373" w:name="_Toc392345957"/>
      <w:bookmarkStart w:id="374" w:name="_Toc323711793"/>
      <w:bookmarkStart w:id="375" w:name="_Toc319408114"/>
      <w:bookmarkStart w:id="376" w:name="_Toc480"/>
      <w:bookmarkStart w:id="377" w:name="_Toc245036645"/>
      <w:bookmarkStart w:id="378" w:name="_Toc144974546"/>
      <w:r>
        <w:rPr>
          <w:rFonts w:hint="eastAsia" w:asciiTheme="minorEastAsia" w:hAnsiTheme="minorEastAsia" w:eastAsiaTheme="minorEastAsia" w:cstheme="minorEastAsia"/>
          <w:b/>
          <w:color w:val="auto"/>
          <w:szCs w:val="24"/>
          <w:highlight w:val="none"/>
        </w:rPr>
        <w:t>9.4 对与评标活动有关的工作人员的纪律要求</w:t>
      </w:r>
      <w:bookmarkEnd w:id="369"/>
      <w:bookmarkEnd w:id="370"/>
      <w:bookmarkEnd w:id="371"/>
      <w:bookmarkEnd w:id="372"/>
      <w:bookmarkEnd w:id="373"/>
      <w:bookmarkEnd w:id="374"/>
      <w:bookmarkEnd w:id="375"/>
      <w:bookmarkEnd w:id="376"/>
      <w:bookmarkEnd w:id="377"/>
    </w:p>
    <w:p>
      <w:pPr>
        <w:ind w:firstLine="480" w:firstLineChars="200"/>
        <w:rPr>
          <w:rFonts w:asciiTheme="minorEastAsia" w:hAnsiTheme="minorEastAsia" w:eastAsiaTheme="minorEastAsia" w:cstheme="minorEastAsia"/>
          <w:color w:val="auto"/>
          <w:sz w:val="24"/>
          <w:szCs w:val="24"/>
          <w:highlight w:val="none"/>
        </w:rPr>
      </w:pPr>
      <w:bookmarkStart w:id="379" w:name="_Toc152042355"/>
      <w:r>
        <w:rPr>
          <w:rFonts w:hint="eastAsia" w:asciiTheme="minorEastAsia" w:hAnsiTheme="minorEastAsia" w:eastAsiaTheme="minorEastAsia" w:cstheme="minorEastAsia"/>
          <w:color w:val="auto"/>
          <w:sz w:val="24"/>
          <w:szCs w:val="24"/>
          <w:highlight w:val="none"/>
        </w:rPr>
        <w:t>与评标活动有关的工作人员不得收受他人的财物或者其他好处，不得向他人透漏对投标文件的评审和比较、中标候选人的推荐情况以及评标有关的其他情况。在评标活动中，与评标活动有关的工作人员不得擅离职守，影响评标程序正常进行。</w:t>
      </w:r>
      <w:bookmarkEnd w:id="379"/>
    </w:p>
    <w:p>
      <w:pPr>
        <w:pStyle w:val="42"/>
        <w:spacing w:line="440" w:lineRule="exact"/>
        <w:rPr>
          <w:rFonts w:asciiTheme="minorEastAsia" w:hAnsiTheme="minorEastAsia" w:eastAsiaTheme="minorEastAsia" w:cstheme="minorEastAsia"/>
          <w:b/>
          <w:color w:val="auto"/>
          <w:szCs w:val="24"/>
          <w:highlight w:val="none"/>
        </w:rPr>
      </w:pPr>
      <w:bookmarkStart w:id="380" w:name="_Toc323711794"/>
      <w:bookmarkStart w:id="381" w:name="_Toc245036646"/>
      <w:bookmarkStart w:id="382" w:name="_Toc392345958"/>
      <w:bookmarkStart w:id="383" w:name="_Toc319407880"/>
      <w:bookmarkStart w:id="384" w:name="_Toc322615442"/>
      <w:bookmarkStart w:id="385" w:name="_Toc152045579"/>
      <w:bookmarkStart w:id="386" w:name="_Toc152042356"/>
      <w:bookmarkStart w:id="387" w:name="_Toc319408115"/>
      <w:bookmarkStart w:id="388" w:name="_Toc9812"/>
      <w:r>
        <w:rPr>
          <w:rFonts w:hint="eastAsia" w:asciiTheme="minorEastAsia" w:hAnsiTheme="minorEastAsia" w:eastAsiaTheme="minorEastAsia" w:cstheme="minorEastAsia"/>
          <w:b/>
          <w:color w:val="auto"/>
          <w:szCs w:val="24"/>
          <w:highlight w:val="none"/>
        </w:rPr>
        <w:t>9.5</w:t>
      </w:r>
      <w:bookmarkEnd w:id="378"/>
      <w:bookmarkEnd w:id="380"/>
      <w:bookmarkEnd w:id="381"/>
      <w:bookmarkEnd w:id="382"/>
      <w:bookmarkEnd w:id="383"/>
      <w:bookmarkEnd w:id="384"/>
      <w:bookmarkEnd w:id="385"/>
      <w:bookmarkEnd w:id="386"/>
      <w:bookmarkEnd w:id="387"/>
      <w:bookmarkStart w:id="389" w:name="_Toc357955317"/>
      <w:bookmarkStart w:id="390" w:name="_Toc246996223"/>
      <w:bookmarkStart w:id="391" w:name="_Toc179632597"/>
      <w:bookmarkStart w:id="392" w:name="_Toc296602466"/>
      <w:bookmarkStart w:id="393" w:name="_Toc246996966"/>
      <w:bookmarkStart w:id="394" w:name="_Toc247085737"/>
      <w:bookmarkStart w:id="395" w:name="_Toc323711795"/>
      <w:bookmarkStart w:id="396" w:name="_Toc392345959"/>
      <w:bookmarkStart w:id="397" w:name="_Toc144974547"/>
      <w:bookmarkStart w:id="398" w:name="_Toc152042357"/>
      <w:bookmarkStart w:id="399" w:name="_Toc152045580"/>
      <w:bookmarkStart w:id="400" w:name="_Toc245036647"/>
      <w:r>
        <w:rPr>
          <w:rFonts w:hint="eastAsia" w:asciiTheme="minorEastAsia" w:hAnsiTheme="minorEastAsia" w:eastAsiaTheme="minorEastAsia" w:cstheme="minorEastAsia"/>
          <w:b/>
          <w:color w:val="auto"/>
          <w:szCs w:val="24"/>
          <w:highlight w:val="none"/>
        </w:rPr>
        <w:t>异议与投诉</w:t>
      </w:r>
      <w:bookmarkEnd w:id="388"/>
      <w:bookmarkEnd w:id="389"/>
      <w:bookmarkEnd w:id="390"/>
      <w:bookmarkEnd w:id="391"/>
      <w:bookmarkEnd w:id="392"/>
      <w:bookmarkEnd w:id="393"/>
      <w:bookmarkEnd w:id="394"/>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iCs/>
          <w:color w:val="auto"/>
          <w:sz w:val="24"/>
          <w:szCs w:val="24"/>
          <w:highlight w:val="none"/>
        </w:rPr>
        <w:t>投标人及其他利害关系人由提出异议与投诉的权利，但应遵守国家相关法律法规的规定和本章第10.2条的要求。</w:t>
      </w:r>
    </w:p>
    <w:p>
      <w:pPr>
        <w:pStyle w:val="42"/>
        <w:spacing w:line="440" w:lineRule="exact"/>
        <w:rPr>
          <w:rFonts w:asciiTheme="minorEastAsia" w:hAnsiTheme="minorEastAsia" w:eastAsiaTheme="minorEastAsia" w:cstheme="minorEastAsia"/>
          <w:color w:val="auto"/>
          <w:szCs w:val="24"/>
          <w:highlight w:val="none"/>
        </w:rPr>
      </w:pPr>
      <w:bookmarkStart w:id="401" w:name="_Toc576"/>
      <w:r>
        <w:rPr>
          <w:rFonts w:hint="eastAsia" w:asciiTheme="minorEastAsia" w:hAnsiTheme="minorEastAsia" w:eastAsiaTheme="minorEastAsia" w:cstheme="minorEastAsia"/>
          <w:color w:val="auto"/>
          <w:szCs w:val="24"/>
          <w:highlight w:val="none"/>
        </w:rPr>
        <w:t xml:space="preserve">10. </w:t>
      </w:r>
      <w:bookmarkEnd w:id="395"/>
      <w:bookmarkEnd w:id="396"/>
      <w:bookmarkEnd w:id="397"/>
      <w:bookmarkEnd w:id="398"/>
      <w:bookmarkEnd w:id="399"/>
      <w:bookmarkEnd w:id="400"/>
      <w:r>
        <w:rPr>
          <w:rFonts w:hint="eastAsia" w:asciiTheme="minorEastAsia" w:hAnsiTheme="minorEastAsia" w:eastAsiaTheme="minorEastAsia" w:cstheme="minorEastAsia"/>
          <w:color w:val="auto"/>
          <w:szCs w:val="24"/>
          <w:highlight w:val="none"/>
        </w:rPr>
        <w:t>需要补充的其他内容</w:t>
      </w:r>
      <w:bookmarkEnd w:id="401"/>
    </w:p>
    <w:p>
      <w:pPr>
        <w:ind w:firstLine="480" w:firstLineChars="200"/>
        <w:rPr>
          <w:rFonts w:asciiTheme="minorEastAsia" w:hAnsiTheme="minorEastAsia" w:eastAsiaTheme="minorEastAsia" w:cstheme="minorEastAsia"/>
          <w:color w:val="auto"/>
          <w:sz w:val="24"/>
          <w:szCs w:val="24"/>
          <w:highlight w:val="none"/>
        </w:rPr>
      </w:pPr>
      <w:bookmarkStart w:id="402" w:name="_Toc323711796"/>
      <w:bookmarkStart w:id="403" w:name="_Toc322615444"/>
      <w:r>
        <w:rPr>
          <w:rFonts w:hint="eastAsia" w:asciiTheme="minorEastAsia" w:hAnsiTheme="minorEastAsia" w:eastAsiaTheme="minorEastAsia" w:cstheme="minorEastAsia"/>
          <w:color w:val="auto"/>
          <w:sz w:val="24"/>
          <w:szCs w:val="24"/>
          <w:highlight w:val="none"/>
        </w:rPr>
        <w:t>10.1否决投标的情形</w:t>
      </w:r>
      <w:bookmarkEnd w:id="402"/>
      <w:bookmarkEnd w:id="403"/>
      <w:r>
        <w:rPr>
          <w:rFonts w:hint="eastAsia" w:asciiTheme="minorEastAsia" w:hAnsiTheme="minorEastAsia" w:eastAsiaTheme="minorEastAsia" w:cstheme="minorEastAsia"/>
          <w:color w:val="auto"/>
          <w:sz w:val="24"/>
          <w:szCs w:val="24"/>
          <w:highlight w:val="none"/>
        </w:rPr>
        <w:t>：见投标人须知前附表</w:t>
      </w:r>
    </w:p>
    <w:p>
      <w:pPr>
        <w:ind w:firstLine="480" w:firstLineChars="200"/>
        <w:rPr>
          <w:rFonts w:asciiTheme="minorEastAsia" w:hAnsiTheme="minorEastAsia" w:eastAsiaTheme="minorEastAsia" w:cstheme="minorEastAsia"/>
          <w:color w:val="auto"/>
          <w:sz w:val="24"/>
          <w:szCs w:val="24"/>
          <w:highlight w:val="none"/>
        </w:rPr>
      </w:pPr>
      <w:bookmarkStart w:id="404" w:name="_Toc322615445"/>
      <w:bookmarkStart w:id="405" w:name="_Toc323711797"/>
      <w:r>
        <w:rPr>
          <w:rFonts w:hint="eastAsia" w:asciiTheme="minorEastAsia" w:hAnsiTheme="minorEastAsia" w:eastAsiaTheme="minorEastAsia" w:cstheme="minorEastAsia"/>
          <w:color w:val="auto"/>
          <w:sz w:val="24"/>
          <w:szCs w:val="24"/>
          <w:highlight w:val="none"/>
        </w:rPr>
        <w:t>10.2</w:t>
      </w:r>
      <w:bookmarkEnd w:id="404"/>
      <w:bookmarkEnd w:id="405"/>
      <w:r>
        <w:rPr>
          <w:rFonts w:hint="eastAsia" w:asciiTheme="minorEastAsia" w:hAnsiTheme="minorEastAsia" w:eastAsiaTheme="minorEastAsia" w:cstheme="minorEastAsia"/>
          <w:color w:val="auto"/>
          <w:sz w:val="24"/>
          <w:szCs w:val="24"/>
          <w:highlight w:val="none"/>
        </w:rPr>
        <w:t>异议与投诉：见投标人须知前附表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10.3定标：见投标人须知前附表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10.4特别说明：见投标人须知前附表</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p>
    <w:p>
      <w:pPr>
        <w:pStyle w:val="6"/>
        <w:ind w:firstLine="482"/>
        <w:rPr>
          <w:rFonts w:asciiTheme="minorEastAsia" w:hAnsiTheme="minorEastAsia" w:eastAsiaTheme="minorEastAsia" w:cstheme="minorEastAsia"/>
          <w:color w:val="auto"/>
          <w:sz w:val="24"/>
          <w:szCs w:val="24"/>
          <w:highlight w:val="none"/>
        </w:rPr>
      </w:pPr>
      <w:bookmarkStart w:id="406" w:name="_Toc21652"/>
      <w:bookmarkStart w:id="407" w:name="_Toc323711800"/>
      <w:bookmarkStart w:id="408" w:name="_Toc184635081"/>
      <w:bookmarkStart w:id="409" w:name="_Toc413527432"/>
      <w:r>
        <w:rPr>
          <w:rFonts w:hint="eastAsia" w:asciiTheme="minorEastAsia" w:hAnsiTheme="minorEastAsia" w:eastAsiaTheme="minorEastAsia" w:cstheme="minorEastAsia"/>
          <w:color w:val="auto"/>
          <w:sz w:val="24"/>
          <w:szCs w:val="24"/>
          <w:highlight w:val="none"/>
        </w:rPr>
        <w:t>附表一：开标记录表</w:t>
      </w:r>
      <w:bookmarkEnd w:id="406"/>
      <w:r>
        <w:rPr>
          <w:rFonts w:hint="eastAsia" w:asciiTheme="minorEastAsia" w:hAnsiTheme="minorEastAsia" w:eastAsiaTheme="minorEastAsia" w:cstheme="minorEastAsia"/>
          <w:color w:val="auto"/>
          <w:sz w:val="24"/>
          <w:szCs w:val="24"/>
          <w:highlight w:val="none"/>
        </w:rPr>
        <w:t>（略）</w:t>
      </w:r>
    </w:p>
    <w:p>
      <w:pPr>
        <w:pStyle w:val="6"/>
        <w:ind w:firstLine="482"/>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附表二：问题澄清通知</w:t>
      </w:r>
    </w:p>
    <w:p>
      <w:pPr>
        <w:rPr>
          <w:color w:val="auto"/>
          <w:highlight w:val="none"/>
        </w:rPr>
      </w:pPr>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问题澄清通知</w:t>
      </w:r>
    </w:p>
    <w:p>
      <w:pPr>
        <w:spacing w:line="360" w:lineRule="auto"/>
        <w:ind w:firstLine="480"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（投标人名称）: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（项目名称）招标的评标委员会，对你方的投标文件进行了仔细的审查，现需你方对下列问题以书面形式予以澄清：</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请将上述问题的澄清于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（详细地址）或传真至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（传真号码）。采用传真方式的，应在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时前将原件递交至</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（详细地址）。</w:t>
      </w: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880" w:firstLineChars="2450"/>
        <w:rPr>
          <w:rFonts w:asciiTheme="minorEastAsia" w:hAnsiTheme="minorEastAsia" w:eastAsiaTheme="minorEastAsia" w:cstheme="minorEastAsia"/>
          <w:color w:val="auto"/>
          <w:sz w:val="24"/>
          <w:szCs w:val="24"/>
          <w:highlight w:val="none"/>
        </w:rPr>
      </w:pP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评标委员会负责人：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6240" w:firstLineChars="26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6240" w:firstLineChars="2600"/>
        <w:rPr>
          <w:rFonts w:asciiTheme="minorEastAsia" w:hAnsiTheme="minorEastAsia" w:eastAsiaTheme="minorEastAsia" w:cstheme="minorEastAsia"/>
          <w:color w:val="auto"/>
          <w:sz w:val="24"/>
          <w:szCs w:val="24"/>
          <w:highlight w:val="none"/>
        </w:rPr>
        <w:sectPr>
          <w:footerReference r:id="rId4" w:type="default"/>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0" w:name="_Toc9597"/>
      <w:r>
        <w:rPr>
          <w:rFonts w:hint="eastAsia" w:asciiTheme="minorEastAsia" w:hAnsiTheme="minorEastAsia" w:eastAsiaTheme="minorEastAsia" w:cstheme="minorEastAsia"/>
          <w:color w:val="auto"/>
          <w:sz w:val="24"/>
          <w:szCs w:val="24"/>
          <w:highlight w:val="none"/>
        </w:rPr>
        <w:t>附表三：问题的澄清</w:t>
      </w:r>
      <w:bookmarkEnd w:id="410"/>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问题的澄清</w:t>
      </w:r>
    </w:p>
    <w:p>
      <w:pPr>
        <w:spacing w:line="360" w:lineRule="auto"/>
        <w:ind w:firstLine="5280" w:firstLineChars="2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编号：</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(项目名称）招标评标委员会：</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问题澄清通知（编号：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）已收悉，现澄清如下：</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200" w:firstLineChars="17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法定代表人或其委托代理人：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w:t>
      </w:r>
    </w:p>
    <w:p>
      <w:pPr>
        <w:spacing w:line="360" w:lineRule="auto"/>
        <w:ind w:firstLine="5880" w:firstLineChars="2450"/>
        <w:rPr>
          <w:rFonts w:asciiTheme="minorEastAsia" w:hAnsiTheme="minorEastAsia" w:eastAsiaTheme="minorEastAsia" w:cstheme="minorEastAsia"/>
          <w:color w:val="auto"/>
          <w:sz w:val="24"/>
          <w:szCs w:val="24"/>
          <w:highlight w:val="none"/>
          <w:u w:val="single"/>
        </w:rPr>
      </w:pPr>
    </w:p>
    <w:p>
      <w:pPr>
        <w:spacing w:line="360" w:lineRule="auto"/>
        <w:ind w:firstLine="5880" w:firstLineChars="24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5880" w:firstLineChars="245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1" w:name="_Toc11393"/>
      <w:r>
        <w:rPr>
          <w:rFonts w:hint="eastAsia" w:asciiTheme="minorEastAsia" w:hAnsiTheme="minorEastAsia" w:eastAsiaTheme="minorEastAsia" w:cstheme="minorEastAsia"/>
          <w:color w:val="auto"/>
          <w:sz w:val="24"/>
          <w:szCs w:val="24"/>
          <w:highlight w:val="none"/>
        </w:rPr>
        <w:t>附表四：中标通知书</w:t>
      </w:r>
      <w:bookmarkEnd w:id="411"/>
    </w:p>
    <w:p>
      <w:pPr>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中标通知书</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中标通知书为招标人向中标的投标人发出的告知其中标的书面通知文件，中标结果根据投标人提交的投标文件经评标委员会评审做出。本中标通知书对招标人和中标人具有法律效力，一经发出后，中标人放弃中标项目的应当依法承担法律责任。</w:t>
      </w:r>
      <w:r>
        <w:rPr>
          <w:rFonts w:hint="eastAsia" w:asciiTheme="minorEastAsia" w:hAnsiTheme="minorEastAsia" w:eastAsiaTheme="minorEastAsia" w:cstheme="minorEastAsia"/>
          <w:color w:val="auto"/>
          <w:sz w:val="24"/>
          <w:szCs w:val="24"/>
          <w:highlight w:val="none"/>
          <w:lang w:eastAsia="zh-CN"/>
        </w:rPr>
        <w:t>履约保证金为中标金额的</w:t>
      </w:r>
      <w:r>
        <w:rPr>
          <w:rFonts w:hint="eastAsia" w:asciiTheme="minorEastAsia" w:hAnsiTheme="minorEastAsia" w:eastAsiaTheme="minorEastAsia" w:cstheme="minorEastAsia"/>
          <w:color w:val="auto"/>
          <w:sz w:val="24"/>
          <w:szCs w:val="24"/>
          <w:highlight w:val="none"/>
          <w:lang w:val="en-US" w:eastAsia="zh-CN"/>
        </w:rPr>
        <w:t>2%，应在合同签订后15日内缴纳。</w:t>
      </w:r>
      <w:r>
        <w:rPr>
          <w:rFonts w:hint="eastAsia" w:asciiTheme="minorEastAsia" w:hAnsiTheme="minorEastAsia" w:eastAsiaTheme="minorEastAsia" w:cstheme="minorEastAsia"/>
          <w:color w:val="auto"/>
          <w:sz w:val="24"/>
          <w:szCs w:val="24"/>
          <w:highlight w:val="none"/>
        </w:rPr>
        <w:t>中标具体内容如下：</w:t>
      </w:r>
    </w:p>
    <w:p>
      <w:pPr>
        <w:spacing w:line="360" w:lineRule="auto"/>
        <w:ind w:firstLine="480" w:firstLineChars="200"/>
        <w:rPr>
          <w:rFonts w:asciiTheme="minorEastAsia" w:hAnsiTheme="minorEastAsia" w:eastAsiaTheme="minorEastAsia" w:cstheme="minorEastAsia"/>
          <w:color w:val="auto"/>
          <w:sz w:val="24"/>
          <w:szCs w:val="24"/>
          <w:highlight w:val="none"/>
        </w:rPr>
      </w:pPr>
    </w:p>
    <w:tbl>
      <w:tblPr>
        <w:tblStyle w:val="26"/>
        <w:tblW w:w="100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08"/>
        <w:gridCol w:w="81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招标项目名称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中标人名称</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中标金额</w:t>
            </w:r>
          </w:p>
        </w:tc>
        <w:tc>
          <w:tcPr>
            <w:tcW w:w="8106" w:type="dxa"/>
            <w:vAlign w:val="center"/>
          </w:tcPr>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（大写）：                     （小写：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中标内容范围</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中标人与招标人签订中标合同期限</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签订中标合同地址</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908"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其他需说明内容</w:t>
            </w:r>
          </w:p>
        </w:tc>
        <w:tc>
          <w:tcPr>
            <w:tcW w:w="8106" w:type="dxa"/>
            <w:vAlign w:val="center"/>
          </w:tcPr>
          <w:p>
            <w:pPr>
              <w:spacing w:line="360" w:lineRule="auto"/>
              <w:ind w:firstLine="210"/>
              <w:jc w:val="center"/>
              <w:rPr>
                <w:rFonts w:asciiTheme="minorEastAsia" w:hAnsiTheme="minorEastAsia" w:eastAsiaTheme="minorEastAsia" w:cstheme="minorEastAsia"/>
                <w:color w:val="auto"/>
                <w:sz w:val="24"/>
                <w:szCs w:val="24"/>
                <w:highlight w:val="none"/>
              </w:rPr>
            </w:pPr>
          </w:p>
        </w:tc>
      </w:tr>
    </w:tbl>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ind w:firstLine="210"/>
        <w:jc w:val="right"/>
        <w:rPr>
          <w:rFonts w:ascii="宋体" w:hAnsi="宋体" w:cs="宋体"/>
          <w:color w:val="auto"/>
          <w:sz w:val="24"/>
          <w:szCs w:val="24"/>
          <w:highlight w:val="none"/>
          <w:u w:val="single"/>
        </w:rPr>
      </w:pPr>
      <w:r>
        <w:rPr>
          <w:rFonts w:hint="eastAsia" w:ascii="宋体" w:hAnsi="宋体" w:cs="宋体"/>
          <w:color w:val="auto"/>
          <w:sz w:val="24"/>
          <w:szCs w:val="24"/>
          <w:highlight w:val="none"/>
        </w:rPr>
        <w:t>招标人：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招标代理：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p>
    <w:p>
      <w:pPr>
        <w:jc w:val="right"/>
        <w:rPr>
          <w:rFonts w:ascii="宋体" w:hAnsi="宋体" w:cs="宋体"/>
          <w:color w:val="auto"/>
          <w:sz w:val="24"/>
          <w:szCs w:val="24"/>
          <w:highlight w:val="none"/>
        </w:rPr>
      </w:pPr>
      <w:r>
        <w:rPr>
          <w:rFonts w:hint="eastAsia" w:ascii="宋体" w:hAnsi="宋体" w:cs="宋体"/>
          <w:color w:val="auto"/>
          <w:sz w:val="24"/>
          <w:szCs w:val="24"/>
          <w:highlight w:val="none"/>
          <w:u w:val="single"/>
        </w:rPr>
        <w:t>备案部门：              （</w:t>
      </w:r>
      <w:r>
        <w:rPr>
          <w:rFonts w:hint="eastAsia" w:ascii="宋体" w:hAnsi="宋体" w:cs="宋体"/>
          <w:color w:val="auto"/>
          <w:sz w:val="24"/>
          <w:szCs w:val="24"/>
          <w:highlight w:val="none"/>
        </w:rPr>
        <w:t>盖章</w:t>
      </w:r>
      <w:r>
        <w:rPr>
          <w:rFonts w:hint="eastAsia" w:ascii="宋体" w:hAnsi="宋体" w:cs="宋体"/>
          <w:color w:val="auto"/>
          <w:sz w:val="24"/>
          <w:szCs w:val="24"/>
          <w:highlight w:val="none"/>
          <w:u w:val="single"/>
        </w:rPr>
        <w:t>）</w:t>
      </w:r>
      <w:r>
        <w:rPr>
          <w:rFonts w:hint="eastAsia" w:ascii="宋体" w:hAnsi="宋体" w:cs="宋体"/>
          <w:color w:val="auto"/>
          <w:sz w:val="24"/>
          <w:szCs w:val="24"/>
          <w:highlight w:val="none"/>
        </w:rPr>
        <w:t xml:space="preserve">            </w:t>
      </w:r>
    </w:p>
    <w:p>
      <w:pPr>
        <w:spacing w:line="360" w:lineRule="auto"/>
        <w:ind w:firstLine="210"/>
        <w:jc w:val="right"/>
        <w:rPr>
          <w:rFonts w:asciiTheme="minorEastAsia" w:hAnsiTheme="minorEastAsia" w:eastAsiaTheme="minorEastAsia" w:cstheme="minorEastAsia"/>
          <w:color w:val="auto"/>
          <w:sz w:val="24"/>
          <w:szCs w:val="24"/>
          <w:highlight w:val="none"/>
        </w:rPr>
      </w:pPr>
      <w:r>
        <w:rPr>
          <w:rFonts w:hint="eastAsia" w:ascii="宋体" w:hAnsi="宋体" w:cs="宋体"/>
          <w:color w:val="auto"/>
          <w:sz w:val="24"/>
          <w:szCs w:val="24"/>
          <w:highlight w:val="none"/>
        </w:rPr>
        <w:t>年   月   日</w:t>
      </w:r>
    </w:p>
    <w:p>
      <w:pPr>
        <w:pStyle w:val="6"/>
        <w:ind w:firstLine="0" w:firstLineChars="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br w:type="page"/>
      </w:r>
      <w:bookmarkStart w:id="412" w:name="_Toc30185"/>
      <w:r>
        <w:rPr>
          <w:rFonts w:hint="eastAsia" w:asciiTheme="minorEastAsia" w:hAnsiTheme="minorEastAsia" w:eastAsiaTheme="minorEastAsia" w:cstheme="minorEastAsia"/>
          <w:color w:val="auto"/>
          <w:sz w:val="24"/>
          <w:szCs w:val="24"/>
          <w:highlight w:val="none"/>
        </w:rPr>
        <w:t>附表五：中标结果通知书</w:t>
      </w:r>
      <w:bookmarkEnd w:id="412"/>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中标结果通知书</w:t>
      </w: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（未中标人名称）: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我方已接受</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（投标日期）所递交的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（项目名称）投标文件，确定</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（中标人名称）为中标人。</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感谢你单位对我们工作的大力支持！</w:t>
      </w: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p>
    <w:p>
      <w:pPr>
        <w:spacing w:line="360" w:lineRule="auto"/>
        <w:ind w:firstLine="4800" w:firstLineChars="20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520" w:firstLineChars="2300"/>
        <w:rPr>
          <w:rFonts w:asciiTheme="minorEastAsia" w:hAnsiTheme="minorEastAsia" w:eastAsiaTheme="minorEastAsia" w:cstheme="minorEastAsia"/>
          <w:color w:val="auto"/>
          <w:sz w:val="24"/>
          <w:szCs w:val="24"/>
          <w:highlight w:val="none"/>
          <w:u w:val="single"/>
        </w:rPr>
      </w:pPr>
    </w:p>
    <w:p>
      <w:pPr>
        <w:spacing w:line="360" w:lineRule="auto"/>
        <w:ind w:firstLine="5520" w:firstLineChars="23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月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tabs>
          <w:tab w:val="left" w:pos="6624"/>
        </w:tabs>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b/>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sectPr>
          <w:pgSz w:w="11906" w:h="16838"/>
          <w:pgMar w:top="1418" w:right="1134" w:bottom="1418" w:left="1134" w:header="851" w:footer="992" w:gutter="0"/>
          <w:cols w:space="720" w:num="1"/>
          <w:docGrid w:type="lines" w:linePitch="312" w:charSpace="0"/>
        </w:sectPr>
      </w:pPr>
    </w:p>
    <w:p>
      <w:pPr>
        <w:pStyle w:val="6"/>
        <w:ind w:firstLine="482"/>
        <w:rPr>
          <w:rFonts w:asciiTheme="minorEastAsia" w:hAnsiTheme="minorEastAsia" w:eastAsiaTheme="minorEastAsia" w:cstheme="minorEastAsia"/>
          <w:color w:val="auto"/>
          <w:sz w:val="24"/>
          <w:szCs w:val="24"/>
          <w:highlight w:val="none"/>
        </w:rPr>
      </w:pPr>
      <w:bookmarkStart w:id="413" w:name="_Toc23370"/>
      <w:r>
        <w:rPr>
          <w:rFonts w:hint="eastAsia" w:asciiTheme="minorEastAsia" w:hAnsiTheme="minorEastAsia" w:eastAsiaTheme="minorEastAsia" w:cstheme="minorEastAsia"/>
          <w:color w:val="auto"/>
          <w:sz w:val="24"/>
          <w:szCs w:val="24"/>
          <w:highlight w:val="none"/>
        </w:rPr>
        <w:t>附表六：确认通知</w:t>
      </w:r>
      <w:bookmarkEnd w:id="413"/>
    </w:p>
    <w:p>
      <w:pPr>
        <w:spacing w:line="360" w:lineRule="auto"/>
        <w:ind w:firstLine="482" w:firstLineChars="200"/>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确认通知</w:t>
      </w:r>
    </w:p>
    <w:p>
      <w:pPr>
        <w:spacing w:line="360" w:lineRule="auto"/>
        <w:ind w:firstLine="480" w:firstLineChars="200"/>
        <w:rPr>
          <w:rFonts w:asciiTheme="minorEastAsia" w:hAnsiTheme="minorEastAsia" w:eastAsiaTheme="minorEastAsia" w:cstheme="minorEastAsia"/>
          <w:color w:val="auto"/>
          <w:sz w:val="24"/>
          <w:szCs w:val="24"/>
          <w:highlight w:val="none"/>
          <w:u w:val="single"/>
        </w:rPr>
      </w:pP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（招标人名称）: </w:t>
      </w: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我方已接到你方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日发出的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（项目名称）招标关于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的通知，我方已于</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日收到。</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特此确认。</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480" w:firstLineChars="200"/>
        <w:rPr>
          <w:rFonts w:asciiTheme="minorEastAsia" w:hAnsiTheme="minorEastAsia" w:eastAsiaTheme="minorEastAsia" w:cstheme="minorEastAsia"/>
          <w:color w:val="auto"/>
          <w:sz w:val="24"/>
          <w:szCs w:val="24"/>
          <w:highlight w:val="none"/>
        </w:rPr>
      </w:pPr>
    </w:p>
    <w:p>
      <w:pPr>
        <w:spacing w:line="360" w:lineRule="auto"/>
        <w:ind w:firstLine="5400" w:firstLineChars="225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盖单位公章）</w:t>
      </w:r>
    </w:p>
    <w:p>
      <w:pPr>
        <w:spacing w:line="360" w:lineRule="auto"/>
        <w:ind w:firstLine="480" w:firstLineChars="20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bookmarkEnd w:id="407"/>
    <w:bookmarkEnd w:id="408"/>
    <w:bookmarkEnd w:id="409"/>
    <w:p>
      <w:pPr>
        <w:rPr>
          <w:rFonts w:asciiTheme="minorEastAsia" w:hAnsiTheme="minorEastAsia" w:eastAsiaTheme="minorEastAsia" w:cstheme="minorEastAsia"/>
          <w:color w:val="auto"/>
          <w:sz w:val="24"/>
          <w:szCs w:val="24"/>
          <w:highlight w:val="none"/>
          <w:u w:val="single"/>
        </w:rPr>
      </w:pPr>
    </w:p>
    <w:p>
      <w:pPr>
        <w:rPr>
          <w:rFonts w:asciiTheme="minorEastAsia" w:hAnsiTheme="minorEastAsia" w:eastAsiaTheme="minorEastAsia" w:cstheme="minorEastAsia"/>
          <w:color w:val="auto"/>
          <w:sz w:val="24"/>
          <w:szCs w:val="24"/>
          <w:highlight w:val="none"/>
        </w:rPr>
      </w:pPr>
      <w:bookmarkStart w:id="414" w:name="_Toc321687881"/>
      <w:bookmarkStart w:id="415" w:name="_Toc413527636"/>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16" w:name="_Toc3979"/>
      <w:r>
        <w:rPr>
          <w:rFonts w:hint="eastAsia"/>
          <w:color w:val="auto"/>
          <w:highlight w:val="none"/>
        </w:rPr>
        <w:t>第三章</w:t>
      </w:r>
      <w:r>
        <w:rPr>
          <w:color w:val="auto"/>
          <w:highlight w:val="none"/>
        </w:rPr>
        <w:t xml:space="preserve"> </w:t>
      </w:r>
      <w:r>
        <w:rPr>
          <w:rFonts w:hint="eastAsia"/>
          <w:color w:val="auto"/>
          <w:highlight w:val="none"/>
        </w:rPr>
        <w:t>评标办法</w:t>
      </w:r>
      <w:bookmarkEnd w:id="414"/>
      <w:bookmarkEnd w:id="415"/>
      <w:bookmarkEnd w:id="416"/>
    </w:p>
    <w:p>
      <w:pPr>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中华人民共和国招标投标法》、《中华人民共和国招标投标法实施条例》、《浙江省招标投标条例》、《评标委员会和评标办法暂行规定》（国家发展计划委员会第12号）、《浙江省综合性评标专家库管理办法实施细则》、</w:t>
      </w:r>
      <w:r>
        <w:rPr>
          <w:rFonts w:hint="eastAsia" w:asciiTheme="minorEastAsia" w:hAnsiTheme="minorEastAsia" w:eastAsiaTheme="minorEastAsia" w:cstheme="minorEastAsia"/>
          <w:i/>
          <w:color w:val="auto"/>
          <w:sz w:val="24"/>
          <w:szCs w:val="24"/>
          <w:highlight w:val="none"/>
        </w:rPr>
        <w:t>《</w:t>
      </w:r>
      <w:r>
        <w:rPr>
          <w:rFonts w:hint="eastAsia" w:asciiTheme="minorEastAsia" w:hAnsiTheme="minorEastAsia" w:eastAsiaTheme="minorEastAsia" w:cstheme="minorEastAsia"/>
          <w:color w:val="auto"/>
          <w:sz w:val="24"/>
          <w:szCs w:val="24"/>
          <w:highlight w:val="none"/>
        </w:rPr>
        <w:t>浙江省人民政府关于进一步严格规范工程建设项目招标投标活动的意见》(浙政发〔2014〕39号)等有关规定，制定本办法。</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一、评标原则</w:t>
      </w:r>
    </w:p>
    <w:p>
      <w:pPr>
        <w:snapToGrid w:val="0"/>
        <w:ind w:firstLine="540" w:firstLineChars="225"/>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评标应遵循公平、公正、科学、择优的原则。</w:t>
      </w:r>
    </w:p>
    <w:p>
      <w:pPr>
        <w:snapToGrid w:val="0"/>
        <w:ind w:firstLine="472" w:firstLineChars="196"/>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二、评标组织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评标工作由招标人依法组建的评标委员会负责，评标委员会的组建见投标人须知前附表，评标委员会成员为不少于5人的单数。</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评标委员会组建后报绍兴公共资源交易中心备案。</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评标委员会应当按照招标文件确定的评标标准和方法，客观、公正对投标文件进行评审和比较，招标文件没有规定的评标标准和方法不得作为评标的依据。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评标委员会对投标文件作出的评审结论，应当符合有关法律、法规、规章和招标文件的规定。</w:t>
      </w:r>
    </w:p>
    <w:p>
      <w:pPr>
        <w:snapToGrid w:val="0"/>
        <w:ind w:firstLine="559" w:firstLineChars="232"/>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三、评标程序和内容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（一）熟悉招标文件和评标办法；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（三）投标文件的资信、业绩评审；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（四）投标文件的技术标评审；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（五）投标文件的商务标评审；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（六）必要时对投标文件中的问题进行询标，包括拟作出否决投标决定前对相关投标人进行的询问核实；</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（七）根据评标办法和标准对投标文件进行综合评分、排序；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（八）完成评标报告，推荐中标候选人。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四、评审细则</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（一）投标文件的符合性评审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1.评标委员会应依照招标文件的要求和规定，首先对投标人的投标资格和投标文件进行符合性评审。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如评标委员会发现投标文件存在招标文件投标人须知前附表10.1“否决投标的情形” 第二款内容之一的，经询问核实并认定后，即可判定该投标文件符合性评审不通过予以否决，不再进入后续的综合评分程序。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（1）投标文件中有含义不明确的内容、明显文字或计算错误，评标委员会认为需要投标人作出必要澄清、说明的，应当组织询标。</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凡是评标委员会拟做出否决投标认定的，须组织相关投标人询问核实。未进行询问核实的，不得做出否决投标的认定，投标人放弃询问核实机会的除外（投标人所留联系方式无法联系上、在规定的时限内投标人不参加询问核实活动或不予答复的）。</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（3）询标应通过专用录音电话通知相关投标人。询标内容及投标人的澄清、说明应当采用书面形式，并不得超出投标文件的范围或者改变投标文件的实质性内容。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（4）评标委员会不得暗示或者诱导投标人作出澄清、说明，不得接受投标人主动提出的澄清、说明。</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（5）投标人不得通过补充、修改或撤消投标文件中的内容使其成为实质性响应的投标，投标人在投标截止时间以后不得提交任何资料作为评标依据。</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（二）资信、技术评审（满分70分）</w:t>
      </w:r>
    </w:p>
    <w:tbl>
      <w:tblPr>
        <w:tblStyle w:val="26"/>
        <w:tblW w:w="9924" w:type="dxa"/>
        <w:jc w:val="center"/>
        <w:tblLayout w:type="fixed"/>
        <w:tblCellMar>
          <w:top w:w="0" w:type="dxa"/>
          <w:left w:w="10" w:type="dxa"/>
          <w:bottom w:w="0" w:type="dxa"/>
          <w:right w:w="10" w:type="dxa"/>
        </w:tblCellMar>
      </w:tblPr>
      <w:tblGrid>
        <w:gridCol w:w="694"/>
        <w:gridCol w:w="1443"/>
        <w:gridCol w:w="2127"/>
        <w:gridCol w:w="5660"/>
      </w:tblGrid>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评审因素</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评审标准</w:t>
            </w:r>
          </w:p>
        </w:tc>
      </w:tr>
      <w:tr>
        <w:tblPrEx>
          <w:tblCellMar>
            <w:top w:w="0" w:type="dxa"/>
            <w:left w:w="10" w:type="dxa"/>
            <w:bottom w:w="0" w:type="dxa"/>
            <w:right w:w="10" w:type="dxa"/>
          </w:tblCellMar>
        </w:tblPrEx>
        <w:trPr>
          <w:jc w:val="center"/>
        </w:trPr>
        <w:tc>
          <w:tcPr>
            <w:tcW w:w="2137" w:type="dxa"/>
            <w:gridSpan w:val="2"/>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分值构成</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（总分70分）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A=资信部分评审：</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19</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B=技术部分评审：</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51</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资信部分</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评分标准</w:t>
            </w:r>
            <w:r>
              <w:rPr>
                <w:rFonts w:hint="eastAsia" w:asciiTheme="minorEastAsia" w:hAnsiTheme="minorEastAsia" w:eastAsiaTheme="minorEastAsia" w:cstheme="minorEastAsia"/>
                <w:color w:val="auto"/>
                <w:sz w:val="24"/>
                <w:szCs w:val="24"/>
                <w:highlight w:val="none"/>
              </w:rPr>
              <w:br w:type="textWrapping"/>
            </w:r>
            <w:r>
              <w:rPr>
                <w:rFonts w:hint="eastAsia" w:asciiTheme="minorEastAsia" w:hAnsiTheme="minorEastAsia" w:eastAsiaTheme="minorEastAsia" w:cstheme="minorEastAsia"/>
                <w:color w:val="auto"/>
                <w:sz w:val="24"/>
                <w:szCs w:val="24"/>
                <w:highlight w:val="none"/>
              </w:rPr>
              <w:t>（A=</w:t>
            </w: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制造商资质</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投标品牌制造商通过ISO9001质量管理体系认证、ISO14001环境管理体系认证、ISO45001职业健康安全管理体系认证</w:t>
            </w:r>
            <w:r>
              <w:rPr>
                <w:rFonts w:hint="eastAsia" w:asciiTheme="minorEastAsia" w:hAnsiTheme="minorEastAsia" w:eastAsiaTheme="minorEastAsia" w:cstheme="minorEastAsia"/>
                <w:color w:val="auto"/>
                <w:sz w:val="24"/>
                <w:szCs w:val="24"/>
                <w:highlight w:val="none"/>
                <w:lang w:eastAsia="zh-CN"/>
              </w:rPr>
              <w:t>的，</w:t>
            </w:r>
            <w:r>
              <w:rPr>
                <w:rFonts w:hint="eastAsia" w:asciiTheme="minorEastAsia" w:hAnsiTheme="minorEastAsia" w:eastAsiaTheme="minorEastAsia" w:cstheme="minorEastAsia"/>
                <w:color w:val="auto"/>
                <w:sz w:val="24"/>
                <w:szCs w:val="24"/>
                <w:highlight w:val="none"/>
                <w:lang w:val="en-US" w:eastAsia="zh-CN"/>
              </w:rPr>
              <w:t>每项得1分，最高得3分</w:t>
            </w:r>
            <w:r>
              <w:rPr>
                <w:rFonts w:hint="eastAsia" w:asciiTheme="minorEastAsia" w:hAnsiTheme="minorEastAsia" w:eastAsiaTheme="minorEastAsia" w:cstheme="minorEastAsia"/>
                <w:color w:val="auto"/>
                <w:sz w:val="24"/>
                <w:szCs w:val="24"/>
                <w:highlight w:val="none"/>
              </w:rPr>
              <w:t>。</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注：投标文件中须提供有效认证证书复印件加盖投标人公章，否则不得分。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技术研发</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1、投标品牌具有物流系统相关软件著作权的，并在有效期内证书,每提供一份得0.5分，</w:t>
            </w:r>
            <w:r>
              <w:rPr>
                <w:rFonts w:hint="eastAsia" w:asciiTheme="minorEastAsia" w:hAnsiTheme="minorEastAsia" w:eastAsiaTheme="minorEastAsia" w:cstheme="minorEastAsia"/>
                <w:b/>
                <w:bCs/>
                <w:color w:val="auto"/>
                <w:sz w:val="24"/>
                <w:szCs w:val="24"/>
                <w:highlight w:val="none"/>
              </w:rPr>
              <w:t>最高得1分</w:t>
            </w:r>
            <w:r>
              <w:rPr>
                <w:rFonts w:hint="eastAsia" w:asciiTheme="minorEastAsia" w:hAnsiTheme="minorEastAsia" w:eastAsiaTheme="minorEastAsia" w:cstheme="minorEastAsia"/>
                <w:color w:val="auto"/>
                <w:sz w:val="24"/>
                <w:szCs w:val="24"/>
                <w:highlight w:val="none"/>
              </w:rPr>
              <w:t>。</w:t>
            </w:r>
          </w:p>
          <w:p>
            <w:pPr>
              <w:widowControl/>
              <w:jc w:val="left"/>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注：</w:t>
            </w:r>
            <w:r>
              <w:rPr>
                <w:rFonts w:hint="eastAsia" w:asciiTheme="minorEastAsia" w:hAnsiTheme="minorEastAsia" w:eastAsiaTheme="minorEastAsia" w:cstheme="minorEastAsia"/>
                <w:b/>
                <w:bCs/>
                <w:color w:val="auto"/>
                <w:sz w:val="24"/>
                <w:szCs w:val="24"/>
                <w:highlight w:val="none"/>
                <w:lang w:bidi="ar"/>
              </w:rPr>
              <w:t>投标文件中须提供软件著作权证书复印</w:t>
            </w:r>
            <w:r>
              <w:rPr>
                <w:rFonts w:hint="eastAsia" w:asciiTheme="minorEastAsia" w:hAnsiTheme="minorEastAsia" w:eastAsiaTheme="minorEastAsia" w:cstheme="minorEastAsia"/>
                <w:b/>
                <w:bCs/>
                <w:color w:val="auto"/>
                <w:sz w:val="24"/>
                <w:szCs w:val="24"/>
                <w:highlight w:val="none"/>
              </w:rPr>
              <w:t>件加盖投标人公章，否则不得分。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2、投标品牌具有物流系统相关专利的在有效期内证书每提供一份得0.5分，</w:t>
            </w:r>
            <w:r>
              <w:rPr>
                <w:rFonts w:hint="eastAsia" w:asciiTheme="minorEastAsia" w:hAnsiTheme="minorEastAsia" w:eastAsiaTheme="minorEastAsia" w:cstheme="minorEastAsia"/>
                <w:b/>
                <w:bCs/>
                <w:color w:val="auto"/>
                <w:sz w:val="24"/>
                <w:szCs w:val="24"/>
                <w:highlight w:val="none"/>
              </w:rPr>
              <w:t>最高得1分</w:t>
            </w:r>
            <w:r>
              <w:rPr>
                <w:rFonts w:hint="eastAsia" w:asciiTheme="minorEastAsia" w:hAnsiTheme="minorEastAsia" w:eastAsiaTheme="minorEastAsia" w:cstheme="minorEastAsia"/>
                <w:color w:val="auto"/>
                <w:sz w:val="24"/>
                <w:szCs w:val="24"/>
                <w:highlight w:val="none"/>
              </w:rPr>
              <w:t>。</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注：投标文件中须提供专利证书复印件加盖投标人公章，否则不得分。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资信能力</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投标人具有信用评级机构出具的资信等级证书，AAA级的得2分，AA级的得1.5分，A级的得1分。</w:t>
            </w:r>
          </w:p>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注：投标文件中须提供相关证书复印件加盖投标人公章，否则不得分。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成功案例及业绩</w:t>
            </w:r>
          </w:p>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投标品牌具有自2016年01月01日以来（以验收证明时间为准）完成过国内同类物流系统</w:t>
            </w:r>
            <w:r>
              <w:rPr>
                <w:rFonts w:hint="eastAsia" w:asciiTheme="minorEastAsia" w:hAnsiTheme="minorEastAsia" w:eastAsiaTheme="minorEastAsia" w:cstheme="minorEastAsia"/>
                <w:color w:val="auto"/>
                <w:sz w:val="24"/>
                <w:szCs w:val="24"/>
                <w:highlight w:val="none"/>
                <w:lang w:bidi="ar"/>
              </w:rPr>
              <w:t>并通过验收且已经 投运项目的业绩</w:t>
            </w:r>
            <w:r>
              <w:rPr>
                <w:rFonts w:hint="eastAsia" w:asciiTheme="minorEastAsia" w:hAnsiTheme="minorEastAsia" w:eastAsiaTheme="minorEastAsia" w:cstheme="minorEastAsia"/>
                <w:color w:val="auto"/>
                <w:sz w:val="24"/>
                <w:szCs w:val="24"/>
                <w:highlight w:val="none"/>
              </w:rPr>
              <w:t>：</w:t>
            </w:r>
          </w:p>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1、箱式物流系统单项合同金额大于1500万元的，每提供一个业绩得</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分；箱式物流系统单项合同金额1000万元（不含）--1500万元（含）的，每提供一个业绩得</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分。本项最多提供3个业绩，最高得</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分，没有不得分。</w:t>
            </w:r>
          </w:p>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2、提供气动物流系统运行案例的，得</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分，没有不得分。</w:t>
            </w:r>
          </w:p>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注：投标文件中须提供项目合同、</w:t>
            </w:r>
            <w:r>
              <w:rPr>
                <w:rFonts w:hint="eastAsia" w:asciiTheme="minorEastAsia" w:hAnsiTheme="minorEastAsia" w:eastAsiaTheme="minorEastAsia" w:cstheme="minorEastAsia"/>
                <w:b/>
                <w:bCs/>
                <w:color w:val="auto"/>
                <w:sz w:val="24"/>
                <w:szCs w:val="24"/>
                <w:highlight w:val="none"/>
                <w:lang w:bidi="ar"/>
              </w:rPr>
              <w:t>验收证明（医院方盖章）</w:t>
            </w:r>
            <w:r>
              <w:rPr>
                <w:rFonts w:hint="eastAsia" w:asciiTheme="minorEastAsia" w:hAnsiTheme="minorEastAsia" w:eastAsiaTheme="minorEastAsia" w:cstheme="minorEastAsia"/>
                <w:b/>
                <w:bCs/>
                <w:color w:val="auto"/>
                <w:sz w:val="24"/>
                <w:szCs w:val="24"/>
                <w:highlight w:val="none"/>
              </w:rPr>
              <w:t>复印件加盖投标人公章，否则不得分。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资质（2分）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投标人具备机电工程施工总承包三级或建筑机电安装工程专业承包三级资质的，得1分；具备机电工程施工总承包二级及以上或建筑机电安装工程专业承包二级资质及以上的，得2分。</w:t>
            </w:r>
          </w:p>
          <w:p>
            <w:pPr>
              <w:tabs>
                <w:tab w:val="left" w:pos="3060"/>
              </w:tabs>
              <w:rPr>
                <w:rFonts w:ascii="宋体" w:hAnsi="宋体" w:cs="宋体"/>
                <w:color w:val="auto"/>
                <w:sz w:val="24"/>
                <w:szCs w:val="24"/>
                <w:highlight w:val="none"/>
              </w:rPr>
            </w:pPr>
            <w:r>
              <w:rPr>
                <w:rFonts w:hint="eastAsia" w:ascii="宋体" w:hAnsi="宋体" w:cs="宋体"/>
                <w:b/>
                <w:bCs/>
                <w:color w:val="auto"/>
                <w:sz w:val="24"/>
                <w:szCs w:val="24"/>
                <w:highlight w:val="none"/>
              </w:rPr>
              <w:t>注：投标文件中须提供相关资质证书复印件加盖公章，否则不得分。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人员配置（2分）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rPr>
                <w:rFonts w:ascii="宋体" w:hAnsi="宋体" w:cs="宋体"/>
                <w:color w:val="auto"/>
                <w:sz w:val="24"/>
                <w:szCs w:val="24"/>
                <w:highlight w:val="none"/>
              </w:rPr>
            </w:pPr>
            <w:r>
              <w:rPr>
                <w:rFonts w:hint="eastAsia" w:ascii="宋体" w:hAnsi="宋体" w:cs="宋体"/>
                <w:color w:val="auto"/>
                <w:sz w:val="24"/>
                <w:szCs w:val="24"/>
                <w:highlight w:val="none"/>
              </w:rPr>
              <w:t>拟派本项目的项目负责人具有机电工程二级及以上注册建造师证书的，得2分。</w:t>
            </w:r>
          </w:p>
          <w:p>
            <w:pPr>
              <w:pStyle w:val="25"/>
              <w:ind w:firstLine="0" w:firstLineChars="0"/>
              <w:rPr>
                <w:rFonts w:ascii="宋体" w:hAnsi="宋体" w:cs="宋体"/>
                <w:color w:val="auto"/>
                <w:sz w:val="24"/>
                <w:szCs w:val="24"/>
                <w:highlight w:val="none"/>
              </w:rPr>
            </w:pPr>
            <w:r>
              <w:rPr>
                <w:rFonts w:hint="eastAsia" w:ascii="宋体" w:hAnsi="宋体" w:cs="宋体"/>
                <w:color w:val="auto"/>
                <w:kern w:val="2"/>
                <w:sz w:val="24"/>
                <w:szCs w:val="24"/>
                <w:highlight w:val="none"/>
              </w:rPr>
              <w:t xml:space="preserve">注：投标文件中提供证书复印件，同时须提供拟派项目负责人缴费期限包含 </w:t>
            </w:r>
            <w:r>
              <w:rPr>
                <w:rFonts w:hint="eastAsia" w:ascii="宋体" w:hAnsi="宋体" w:cs="宋体"/>
                <w:b/>
                <w:bCs/>
                <w:color w:val="auto"/>
                <w:kern w:val="2"/>
                <w:sz w:val="24"/>
                <w:szCs w:val="24"/>
                <w:highlight w:val="none"/>
              </w:rPr>
              <w:t>2021年0</w:t>
            </w:r>
            <w:r>
              <w:rPr>
                <w:rFonts w:hint="eastAsia" w:ascii="宋体" w:hAnsi="宋体" w:cs="宋体"/>
                <w:b/>
                <w:bCs/>
                <w:color w:val="auto"/>
                <w:kern w:val="2"/>
                <w:sz w:val="24"/>
                <w:szCs w:val="24"/>
                <w:highlight w:val="none"/>
                <w:lang w:val="en-US" w:eastAsia="zh-CN"/>
              </w:rPr>
              <w:t>6</w:t>
            </w:r>
            <w:r>
              <w:rPr>
                <w:rFonts w:hint="eastAsia" w:ascii="宋体" w:hAnsi="宋体" w:cs="宋体"/>
                <w:b/>
                <w:bCs/>
                <w:color w:val="auto"/>
                <w:kern w:val="2"/>
                <w:sz w:val="24"/>
                <w:szCs w:val="24"/>
                <w:highlight w:val="none"/>
              </w:rPr>
              <w:t>月至 2021年 0</w:t>
            </w:r>
            <w:r>
              <w:rPr>
                <w:rFonts w:hint="eastAsia" w:ascii="宋体" w:hAnsi="宋体" w:cs="宋体"/>
                <w:b/>
                <w:bCs/>
                <w:color w:val="auto"/>
                <w:kern w:val="2"/>
                <w:sz w:val="24"/>
                <w:szCs w:val="24"/>
                <w:highlight w:val="none"/>
                <w:lang w:val="en-US" w:eastAsia="zh-CN"/>
              </w:rPr>
              <w:t>8</w:t>
            </w:r>
            <w:r>
              <w:rPr>
                <w:rFonts w:hint="eastAsia" w:ascii="宋体" w:hAnsi="宋体" w:cs="宋体"/>
                <w:b/>
                <w:bCs/>
                <w:color w:val="auto"/>
                <w:kern w:val="2"/>
                <w:sz w:val="24"/>
                <w:szCs w:val="24"/>
                <w:highlight w:val="none"/>
              </w:rPr>
              <w:t>月的投标人所属社保机构养老保险交纳清单或证明</w:t>
            </w:r>
            <w:r>
              <w:rPr>
                <w:rFonts w:hint="eastAsia" w:ascii="宋体" w:hAnsi="宋体" w:cs="宋体"/>
                <w:color w:val="auto"/>
                <w:kern w:val="2"/>
                <w:sz w:val="24"/>
                <w:szCs w:val="24"/>
                <w:highlight w:val="none"/>
              </w:rPr>
              <w:t>（缴费单位和投标单位名称必须一致</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lang w:val="en-US" w:eastAsia="zh-CN"/>
              </w:rPr>
              <w:t>非独立法人的分公司社保也予以认可</w:t>
            </w:r>
            <w:r>
              <w:rPr>
                <w:rFonts w:hint="eastAsia" w:ascii="宋体" w:hAnsi="宋体" w:cs="宋体"/>
                <w:color w:val="auto"/>
                <w:kern w:val="2"/>
                <w:sz w:val="24"/>
                <w:szCs w:val="24"/>
                <w:highlight w:val="none"/>
                <w:lang w:eastAsia="zh-CN"/>
              </w:rPr>
              <w:t>）</w:t>
            </w:r>
            <w:r>
              <w:rPr>
                <w:rFonts w:hint="eastAsia" w:ascii="宋体" w:hAnsi="宋体" w:cs="宋体"/>
                <w:color w:val="auto"/>
                <w:kern w:val="2"/>
                <w:sz w:val="24"/>
                <w:szCs w:val="24"/>
                <w:highlight w:val="none"/>
              </w:rPr>
              <w:t>，并加盖社保缴费证明专用章），否则不得分。</w:t>
            </w:r>
          </w:p>
        </w:tc>
      </w:tr>
      <w:tr>
        <w:tblPrEx>
          <w:tblCellMar>
            <w:top w:w="0" w:type="dxa"/>
            <w:left w:w="10" w:type="dxa"/>
            <w:bottom w:w="0" w:type="dxa"/>
            <w:right w:w="10" w:type="dxa"/>
          </w:tblCellMar>
        </w:tblPrEx>
        <w:trPr>
          <w:jc w:val="center"/>
        </w:trPr>
        <w:tc>
          <w:tcPr>
            <w:tcW w:w="694"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443" w:type="dxa"/>
            <w:vMerge w:val="restart"/>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技术部分评分标准（B=</w:t>
            </w:r>
            <w:r>
              <w:rPr>
                <w:rFonts w:hint="eastAsia" w:asciiTheme="minorEastAsia" w:hAnsiTheme="minorEastAsia" w:eastAsiaTheme="minorEastAsia" w:cstheme="minorEastAsia"/>
                <w:color w:val="auto"/>
                <w:sz w:val="24"/>
                <w:szCs w:val="24"/>
                <w:highlight w:val="none"/>
                <w:lang w:val="en-US" w:eastAsia="zh-CN"/>
              </w:rPr>
              <w:t>51</w:t>
            </w:r>
            <w:r>
              <w:rPr>
                <w:rFonts w:hint="eastAsia" w:asciiTheme="minorEastAsia" w:hAnsiTheme="minorEastAsia" w:eastAsiaTheme="minorEastAsia" w:cstheme="minorEastAsia"/>
                <w:color w:val="auto"/>
                <w:sz w:val="24"/>
                <w:szCs w:val="24"/>
                <w:highlight w:val="none"/>
              </w:rPr>
              <w:t>分）</w:t>
            </w: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项目实施方案计划及技术措施</w:t>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（5分）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color w:val="auto"/>
                <w:sz w:val="24"/>
                <w:szCs w:val="24"/>
                <w:highlight w:val="none"/>
              </w:rPr>
            </w:pPr>
            <w:r>
              <w:rPr>
                <w:rFonts w:hint="eastAsia" w:ascii="宋体" w:hAnsi="宋体" w:cs="宋体"/>
                <w:color w:val="auto"/>
                <w:sz w:val="24"/>
                <w:szCs w:val="24"/>
                <w:highlight w:val="none"/>
              </w:rPr>
              <w:t>在投标文件中详细说明施工组织措施（包括技术方案、项目实施计划、工期网络图、安装调试方案、整体外观图片资料等），评审委员会根据实际情况进行横向比较打分，按5分、4分、3分、2分、1分五档赋分。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质保期优惠</w:t>
            </w:r>
          </w:p>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（6分）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tcPr>
          <w:p>
            <w:pPr>
              <w:rPr>
                <w:rFonts w:ascii="宋体" w:hAnsi="宋体" w:cs="宋体"/>
                <w:color w:val="auto"/>
                <w:sz w:val="24"/>
                <w:szCs w:val="24"/>
                <w:highlight w:val="none"/>
              </w:rPr>
            </w:pPr>
            <w:r>
              <w:rPr>
                <w:rFonts w:hint="eastAsia" w:ascii="宋体" w:hAnsi="宋体" w:cs="宋体"/>
                <w:color w:val="auto"/>
                <w:sz w:val="24"/>
                <w:szCs w:val="24"/>
                <w:highlight w:val="none"/>
              </w:rPr>
              <w:t>质保期期限仅满足招标文件规定的质保期</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至少24个月</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rPr>
              <w:t>要求的，得0分；超过招标文件规定的质保期每12个月的，得2分，最高得6分。</w:t>
            </w:r>
          </w:p>
          <w:p>
            <w:pPr>
              <w:pStyle w:val="25"/>
              <w:ind w:firstLine="0" w:firstLineChars="0"/>
              <w:rPr>
                <w:rFonts w:ascii="宋体" w:hAnsi="宋体" w:cs="宋体"/>
                <w:color w:val="auto"/>
                <w:sz w:val="24"/>
                <w:szCs w:val="24"/>
                <w:highlight w:val="none"/>
              </w:rPr>
            </w:pPr>
            <w:r>
              <w:rPr>
                <w:rFonts w:hint="eastAsia" w:ascii="宋体" w:hAnsi="宋体" w:cs="宋体"/>
                <w:b/>
                <w:bCs/>
                <w:color w:val="auto"/>
                <w:kern w:val="2"/>
                <w:sz w:val="24"/>
                <w:szCs w:val="24"/>
                <w:highlight w:val="none"/>
              </w:rPr>
              <w:t>注：质保期优惠包含人工、材料及配件费等。</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jc w:val="center"/>
              <w:rPr>
                <w:rFonts w:ascii="宋体" w:hAnsi="宋体" w:cs="宋体"/>
                <w:color w:val="auto"/>
                <w:sz w:val="24"/>
                <w:szCs w:val="24"/>
                <w:highlight w:val="none"/>
              </w:rPr>
            </w:pPr>
            <w:r>
              <w:rPr>
                <w:rFonts w:hint="eastAsia" w:ascii="宋体" w:hAnsi="宋体" w:cs="宋体"/>
                <w:color w:val="auto"/>
                <w:sz w:val="24"/>
                <w:szCs w:val="24"/>
                <w:highlight w:val="none"/>
              </w:rPr>
              <w:t>售后服务要求</w:t>
            </w:r>
          </w:p>
          <w:p>
            <w:pPr>
              <w:spacing w:line="320" w:lineRule="auto"/>
              <w:jc w:val="center"/>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（3分）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rPr>
                <w:rFonts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rPr>
              <w:t>投标人在质保期及质保优惠期内至少派2人驻场，有一人开展24小时服务，承诺满足的得3分，否则不得分。</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line="32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系统功能演示</w:t>
            </w:r>
          </w:p>
          <w:p>
            <w:pPr>
              <w:spacing w:line="320" w:lineRule="auto"/>
              <w:rPr>
                <w:color w:val="auto"/>
                <w:highlight w:val="none"/>
              </w:rPr>
            </w:pPr>
            <w:r>
              <w:rPr>
                <w:rFonts w:hint="eastAsia" w:ascii="宋体" w:hAnsi="宋体" w:cs="宋体"/>
                <w:color w:val="auto"/>
                <w:sz w:val="24"/>
                <w:szCs w:val="24"/>
                <w:highlight w:val="none"/>
                <w:lang w:val="en-US" w:eastAsia="zh-CN"/>
              </w:rPr>
              <w:t>（10分）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tabs>
                <w:tab w:val="left" w:pos="3060"/>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提供系统技术要求以下条款中描述的功能在使用医院项目上的实物视频演示（单独封装放入技术标内）,系统技术要求中3.1.5智能监控系统、</w:t>
            </w:r>
            <w:r>
              <w:rPr>
                <w:rFonts w:hint="eastAsia" w:ascii="宋体" w:hAnsi="宋体" w:eastAsia="宋体" w:cs="宋体"/>
                <w:color w:val="auto"/>
                <w:sz w:val="24"/>
                <w:szCs w:val="24"/>
                <w:highlight w:val="none"/>
                <w:lang w:bidi="ar"/>
              </w:rPr>
              <w:t>5.1.3.10 信息化对接</w:t>
            </w:r>
            <w:r>
              <w:rPr>
                <w:rFonts w:hint="eastAsia" w:ascii="宋体" w:hAnsi="宋体" w:eastAsia="宋体" w:cs="宋体"/>
                <w:color w:val="auto"/>
                <w:sz w:val="24"/>
                <w:szCs w:val="24"/>
                <w:highlight w:val="none"/>
                <w:lang w:eastAsia="zh-CN" w:bidi="ar"/>
              </w:rPr>
              <w:t>、</w:t>
            </w:r>
            <w:r>
              <w:rPr>
                <w:rFonts w:hint="eastAsia" w:ascii="宋体" w:hAnsi="宋体" w:eastAsia="宋体" w:cs="宋体"/>
                <w:color w:val="auto"/>
                <w:sz w:val="24"/>
                <w:szCs w:val="24"/>
                <w:highlight w:val="none"/>
                <w:lang w:val="en-US" w:eastAsia="zh-CN"/>
              </w:rPr>
              <w:t>6.4.5物流站点智能交互系统、6.4.6智能站点安全防护系统、6.4.7物品电子化全过程追溯系统并提供所演示使用医院单位出具的证明文件。</w:t>
            </w:r>
          </w:p>
          <w:p>
            <w:pPr>
              <w:tabs>
                <w:tab w:val="left" w:pos="3060"/>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以上条款一项符合要求的，得2分，未提供所演示使用医院单位出具的证明文件不得分。</w:t>
            </w:r>
          </w:p>
          <w:p>
            <w:pPr>
              <w:tabs>
                <w:tab w:val="left" w:pos="3060"/>
              </w:tabs>
              <w:jc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注：演示时间不超过10分钟。</w:t>
            </w:r>
          </w:p>
        </w:tc>
      </w:tr>
      <w:tr>
        <w:tblPrEx>
          <w:tblCellMar>
            <w:top w:w="0" w:type="dxa"/>
            <w:left w:w="10" w:type="dxa"/>
            <w:bottom w:w="0" w:type="dxa"/>
            <w:right w:w="10" w:type="dxa"/>
          </w:tblCellMar>
        </w:tblPrEx>
        <w:trPr>
          <w:jc w:val="center"/>
        </w:trPr>
        <w:tc>
          <w:tcPr>
            <w:tcW w:w="694"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1443" w:type="dxa"/>
            <w:vMerge w:val="continue"/>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spacing w:after="200" w:line="276" w:lineRule="auto"/>
              <w:jc w:val="left"/>
              <w:rPr>
                <w:rFonts w:asciiTheme="minorEastAsia" w:hAnsiTheme="minorEastAsia" w:eastAsiaTheme="minorEastAsia" w:cstheme="minorEastAsia"/>
                <w:color w:val="auto"/>
                <w:sz w:val="24"/>
                <w:szCs w:val="24"/>
                <w:highlight w:val="none"/>
              </w:rPr>
            </w:pPr>
          </w:p>
        </w:tc>
        <w:tc>
          <w:tcPr>
            <w:tcW w:w="2127"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jc w:val="center"/>
              <w:rPr>
                <w:rFonts w:ascii="宋体" w:hAnsi="宋体" w:cs="宋体"/>
                <w:color w:val="auto"/>
                <w:sz w:val="24"/>
                <w:szCs w:val="24"/>
                <w:highlight w:val="none"/>
              </w:rPr>
            </w:pPr>
            <w:r>
              <w:rPr>
                <w:rFonts w:hint="eastAsia" w:ascii="宋体" w:hAnsi="宋体" w:cs="宋体"/>
                <w:color w:val="auto"/>
                <w:sz w:val="24"/>
                <w:szCs w:val="24"/>
                <w:highlight w:val="none"/>
              </w:rPr>
              <w:t>技术参数指标响应情况</w:t>
            </w:r>
          </w:p>
          <w:p>
            <w:pPr>
              <w:jc w:val="center"/>
              <w:rPr>
                <w:rFonts w:ascii="宋体" w:hAnsi="宋体" w:cs="宋体"/>
                <w:color w:val="auto"/>
                <w:sz w:val="24"/>
                <w:szCs w:val="24"/>
                <w:highlight w:val="none"/>
              </w:rPr>
            </w:pPr>
            <w:r>
              <w:rPr>
                <w:rFonts w:hint="eastAsia" w:ascii="宋体" w:hAnsi="宋体" w:cs="宋体"/>
                <w:color w:val="auto"/>
                <w:sz w:val="24"/>
                <w:szCs w:val="24"/>
                <w:highlight w:val="none"/>
              </w:rPr>
              <w:t>（</w:t>
            </w:r>
            <w:r>
              <w:rPr>
                <w:rFonts w:hint="eastAsia" w:ascii="宋体" w:hAnsi="宋体" w:cs="宋体"/>
                <w:color w:val="auto"/>
                <w:sz w:val="24"/>
                <w:szCs w:val="24"/>
                <w:highlight w:val="none"/>
                <w:lang w:val="en-US" w:eastAsia="zh-CN"/>
              </w:rPr>
              <w:t>27</w:t>
            </w:r>
            <w:r>
              <w:rPr>
                <w:rFonts w:hint="eastAsia" w:ascii="宋体" w:hAnsi="宋体" w:cs="宋体"/>
                <w:color w:val="auto"/>
                <w:sz w:val="24"/>
                <w:szCs w:val="24"/>
                <w:highlight w:val="none"/>
              </w:rPr>
              <w:t>分）</w:t>
            </w:r>
          </w:p>
        </w:tc>
        <w:tc>
          <w:tcPr>
            <w:tcW w:w="5660" w:type="dxa"/>
            <w:tcBorders>
              <w:top w:val="single" w:color="000000" w:sz="12" w:space="0"/>
              <w:left w:val="single" w:color="000000" w:sz="12" w:space="0"/>
              <w:bottom w:val="single" w:color="000000" w:sz="12" w:space="0"/>
              <w:right w:val="single" w:color="000000" w:sz="12" w:space="0"/>
            </w:tcBorders>
            <w:shd w:val="clear" w:color="000000" w:fill="FFFFFF"/>
            <w:tcMar>
              <w:left w:w="108" w:type="dxa"/>
              <w:right w:w="108" w:type="dxa"/>
            </w:tcMar>
            <w:vAlign w:val="center"/>
          </w:tcPr>
          <w:p>
            <w:pPr>
              <w:pStyle w:val="5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根据所投产品的详细技术参数进行打分。招标文件技术参数要求提供证明资料的未能提供或提供的证明资料不符合要求的，则视为不满足。</w:t>
            </w:r>
          </w:p>
          <w:p>
            <w:pPr>
              <w:pStyle w:val="58"/>
              <w:rPr>
                <w:rFonts w:hAnsi="宋体" w:eastAsia="宋体"/>
                <w:color w:val="auto"/>
                <w:highlight w:val="none"/>
                <w:lang w:val="zh-CN" w:bidi="zh-CN"/>
              </w:rPr>
            </w:pPr>
            <w:r>
              <w:rPr>
                <w:rFonts w:hint="eastAsia" w:hAnsi="宋体" w:eastAsia="宋体"/>
                <w:color w:val="auto"/>
                <w:highlight w:val="none"/>
                <w:lang w:val="zh-CN" w:bidi="zh-CN"/>
              </w:rPr>
              <w:t>根据各投标人所投设备性能以及技术参数和设备质量对招标文件各项基本要求（招标货物</w:t>
            </w:r>
            <w:r>
              <w:rPr>
                <w:rFonts w:hint="eastAsia" w:hAnsi="宋体" w:eastAsia="宋体"/>
                <w:color w:val="auto"/>
                <w:highlight w:val="none"/>
                <w:lang w:bidi="zh-CN"/>
              </w:rPr>
              <w:t>清单</w:t>
            </w:r>
            <w:r>
              <w:rPr>
                <w:rFonts w:hint="eastAsia" w:hAnsi="宋体" w:eastAsia="宋体"/>
                <w:color w:val="auto"/>
                <w:highlight w:val="none"/>
                <w:lang w:val="zh-CN" w:bidi="zh-CN"/>
              </w:rPr>
              <w:t>及技术要求中</w:t>
            </w:r>
            <w:r>
              <w:rPr>
                <w:rFonts w:hint="eastAsia" w:hAnsi="宋体" w:eastAsia="宋体"/>
                <w:color w:val="auto"/>
                <w:highlight w:val="none"/>
                <w:lang w:bidi="zh-CN"/>
              </w:rPr>
              <w:t>各项</w:t>
            </w:r>
            <w:r>
              <w:rPr>
                <w:rFonts w:hint="eastAsia" w:hAnsi="宋体" w:eastAsia="宋体"/>
                <w:color w:val="auto"/>
                <w:highlight w:val="none"/>
                <w:lang w:val="zh-CN" w:bidi="zh-CN"/>
              </w:rPr>
              <w:t>条款）的逐项响应、承诺等方面情况由评委进行评议评分，投标人所投设备完全满足招标文件技术规范及要求的，得</w:t>
            </w:r>
            <w:r>
              <w:rPr>
                <w:rFonts w:hint="eastAsia" w:hAnsi="宋体" w:eastAsia="宋体"/>
                <w:color w:val="auto"/>
                <w:highlight w:val="none"/>
                <w:lang w:val="en-US" w:bidi="zh-CN"/>
              </w:rPr>
              <w:t>27</w:t>
            </w:r>
            <w:r>
              <w:rPr>
                <w:rFonts w:hint="eastAsia" w:hAnsi="宋体" w:eastAsia="宋体"/>
                <w:color w:val="auto"/>
                <w:highlight w:val="none"/>
                <w:lang w:val="zh-CN" w:bidi="zh-CN"/>
              </w:rPr>
              <w:t xml:space="preserve">分。有负偏离情况的，评标委员会将根据该技术参数的负偏离对所投标设备的使用影响程度进行以下扣分： </w:t>
            </w:r>
          </w:p>
          <w:p>
            <w:pPr>
              <w:pStyle w:val="58"/>
              <w:rPr>
                <w:rFonts w:hAnsi="宋体" w:eastAsia="宋体"/>
                <w:color w:val="auto"/>
                <w:highlight w:val="none"/>
                <w:lang w:bidi="zh-CN"/>
              </w:rPr>
            </w:pPr>
            <w:r>
              <w:rPr>
                <w:rFonts w:hint="eastAsia" w:hAnsi="宋体" w:eastAsia="宋体"/>
                <w:color w:val="auto"/>
                <w:highlight w:val="none"/>
                <w:lang w:val="zh-CN" w:bidi="zh-CN"/>
              </w:rPr>
              <w:t xml:space="preserve">(1)技术参数中标注 “▲”号的指标，每负偏离一项扣2分； </w:t>
            </w:r>
            <w:r>
              <w:rPr>
                <w:rFonts w:hint="eastAsia" w:hAnsi="宋体" w:eastAsia="宋体"/>
                <w:color w:val="auto"/>
                <w:highlight w:val="none"/>
                <w:lang w:bidi="zh-CN"/>
              </w:rPr>
              <w:t>其他指标，</w:t>
            </w:r>
            <w:r>
              <w:rPr>
                <w:rFonts w:hint="eastAsia" w:hAnsi="宋体" w:eastAsia="宋体"/>
                <w:color w:val="auto"/>
                <w:highlight w:val="none"/>
                <w:lang w:val="zh-CN" w:bidi="zh-CN"/>
              </w:rPr>
              <w:t>每负偏离一项扣</w:t>
            </w:r>
            <w:r>
              <w:rPr>
                <w:rFonts w:hint="eastAsia" w:hAnsi="宋体" w:eastAsia="宋体"/>
                <w:color w:val="auto"/>
                <w:highlight w:val="none"/>
                <w:lang w:bidi="zh-CN"/>
              </w:rPr>
              <w:t>1</w:t>
            </w:r>
            <w:r>
              <w:rPr>
                <w:rFonts w:hint="eastAsia" w:hAnsi="宋体" w:eastAsia="宋体"/>
                <w:color w:val="auto"/>
                <w:highlight w:val="none"/>
                <w:lang w:val="zh-CN" w:bidi="zh-CN"/>
              </w:rPr>
              <w:t>分，扣完为止。</w:t>
            </w:r>
          </w:p>
          <w:p>
            <w:pPr>
              <w:pStyle w:val="58"/>
              <w:rPr>
                <w:rFonts w:hint="eastAsia" w:hAnsi="宋体" w:eastAsia="宋体"/>
                <w:color w:val="auto"/>
                <w:highlight w:val="none"/>
                <w:lang w:val="zh-CN" w:bidi="zh-CN"/>
              </w:rPr>
            </w:pPr>
            <w:r>
              <w:rPr>
                <w:rFonts w:hint="eastAsia" w:hAnsi="宋体" w:eastAsia="宋体"/>
                <w:color w:val="auto"/>
                <w:highlight w:val="none"/>
                <w:lang w:val="zh-CN" w:bidi="zh-CN"/>
              </w:rPr>
              <w:t>(2)正偏离不加分。</w:t>
            </w:r>
          </w:p>
          <w:p>
            <w:pPr>
              <w:pStyle w:val="58"/>
              <w:rPr>
                <w:rFonts w:hint="default" w:hAnsi="宋体" w:eastAsia="宋体"/>
                <w:color w:val="auto"/>
                <w:highlight w:val="none"/>
                <w:lang w:val="en-US"/>
              </w:rPr>
            </w:pPr>
            <w:r>
              <w:rPr>
                <w:rFonts w:hint="eastAsia" w:hAnsi="宋体" w:eastAsia="宋体"/>
                <w:color w:val="auto"/>
                <w:highlight w:val="none"/>
                <w:lang w:val="zh-CN" w:bidi="zh-CN"/>
              </w:rPr>
              <w:t>（</w:t>
            </w:r>
            <w:r>
              <w:rPr>
                <w:rFonts w:hint="eastAsia" w:hAnsi="宋体" w:eastAsia="宋体"/>
                <w:color w:val="auto"/>
                <w:highlight w:val="none"/>
                <w:lang w:val="en-US" w:bidi="zh-CN"/>
              </w:rPr>
              <w:t>3</w:t>
            </w:r>
            <w:r>
              <w:rPr>
                <w:rFonts w:hint="eastAsia" w:hAnsi="宋体" w:eastAsia="宋体"/>
                <w:color w:val="auto"/>
                <w:highlight w:val="none"/>
                <w:lang w:val="zh-CN" w:bidi="zh-CN"/>
              </w:rPr>
              <w:t>）</w:t>
            </w:r>
            <w:r>
              <w:rPr>
                <w:rFonts w:hint="eastAsia" w:hAnsi="宋体" w:eastAsia="宋体"/>
                <w:color w:val="auto"/>
                <w:highlight w:val="none"/>
                <w:lang w:val="en-US" w:bidi="zh-CN"/>
              </w:rPr>
              <w:t>本打分项不对系统功能演示部分技术参数进行评分。</w:t>
            </w:r>
          </w:p>
        </w:tc>
      </w:tr>
    </w:tbl>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color w:val="auto"/>
          <w:sz w:val="24"/>
          <w:szCs w:val="24"/>
          <w:highlight w:val="none"/>
        </w:rPr>
        <w:t>由评标委员会全体成员负责对投标文件的服务大纲部分采用记名方式各自评分。如发现某个单项的评分超出了规定的分值范围的，则该张评分表无效。此项评分为：从评标专家的有效评分中扣除一个最高总分和一个最低总分后的算术平均值（保留小数2位）</w:t>
      </w:r>
    </w:p>
    <w:p>
      <w:pPr>
        <w:pStyle w:val="44"/>
        <w:spacing w:before="0" w:beforeAutospacing="0" w:after="0" w:afterAutospacing="0"/>
        <w:ind w:firstLine="271" w:firstLineChars="113"/>
        <w:rPr>
          <w:rFonts w:asciiTheme="minorEastAsia" w:hAnsiTheme="minorEastAsia" w:eastAsiaTheme="minorEastAsia" w:cstheme="minorEastAsia"/>
          <w:color w:val="auto"/>
          <w:kern w:val="2"/>
          <w:szCs w:val="24"/>
          <w:highlight w:val="none"/>
        </w:rPr>
      </w:pPr>
      <w:r>
        <w:rPr>
          <w:rFonts w:hint="eastAsia" w:asciiTheme="minorEastAsia" w:hAnsiTheme="minorEastAsia" w:eastAsiaTheme="minorEastAsia" w:cstheme="minorEastAsia"/>
          <w:color w:val="auto"/>
          <w:kern w:val="2"/>
          <w:szCs w:val="24"/>
          <w:highlight w:val="none"/>
        </w:rPr>
        <w:t>注：业绩证明材料应提供合同复印件。</w:t>
      </w:r>
      <w:r>
        <w:rPr>
          <w:rFonts w:hint="eastAsia" w:asciiTheme="minorEastAsia" w:hAnsiTheme="minorEastAsia" w:eastAsiaTheme="minorEastAsia" w:cstheme="minorEastAsia"/>
          <w:i/>
          <w:color w:val="auto"/>
          <w:kern w:val="2"/>
          <w:szCs w:val="24"/>
          <w:highlight w:val="none"/>
        </w:rPr>
        <w:t>投标资格证明中的业绩</w:t>
      </w:r>
      <w:r>
        <w:rPr>
          <w:rFonts w:hint="eastAsia" w:asciiTheme="minorEastAsia" w:hAnsiTheme="minorEastAsia" w:eastAsiaTheme="minorEastAsia" w:cstheme="minorEastAsia"/>
          <w:i/>
          <w:color w:val="auto"/>
          <w:kern w:val="2"/>
          <w:szCs w:val="24"/>
          <w:highlight w:val="none"/>
          <w:u w:val="single"/>
        </w:rPr>
        <w:t>可以</w:t>
      </w:r>
      <w:r>
        <w:rPr>
          <w:rFonts w:hint="eastAsia" w:asciiTheme="minorEastAsia" w:hAnsiTheme="minorEastAsia" w:eastAsiaTheme="minorEastAsia" w:cstheme="minorEastAsia"/>
          <w:i/>
          <w:color w:val="auto"/>
          <w:kern w:val="2"/>
          <w:szCs w:val="24"/>
          <w:highlight w:val="none"/>
        </w:rPr>
        <w:t>作为本项计分业绩。</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（三）投标文件的商务标评审</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1、由评标委员会全体成员对投标文件的报价进行评审。评标专家应对报价的范围、数量、单价、费用组成和总价等进行全面审阅和对比分析，找出报价差异的原因及存在的问题。</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2、报价评审应以报价口径范围一致的投标评标价为依据。投标评标价应在最终报价的基础上，按照招标文件约定的因素和方法进行计算。</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3、评标基准价由评标委员会依据下述方法计算，除计算差错外，确认后的评标基准价在本次招标期间保持不变。</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计算差错，仅限于以下两种情况：（1）纯算术性四则运算差错；（2）未按约定的计算方法，多计或者少计投标人报价的。由于评标差错，导致否决投标错误，重新评标纠正等其他情况，不属于计算差错。</w:t>
      </w:r>
    </w:p>
    <w:p>
      <w:pPr>
        <w:adjustRightInd w:val="0"/>
        <w:snapToGrid w:val="0"/>
        <w:spacing w:line="500" w:lineRule="exact"/>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4、报价评分（0-30分）</w:t>
      </w:r>
    </w:p>
    <w:p>
      <w:pPr>
        <w:adjustRightInd w:val="0"/>
        <w:snapToGrid w:val="0"/>
        <w:spacing w:line="500" w:lineRule="exact"/>
        <w:ind w:firstLine="480" w:firstLineChars="200"/>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b/>
          <w:color w:val="auto"/>
          <w:sz w:val="24"/>
          <w:szCs w:val="24"/>
          <w:highlight w:val="none"/>
        </w:rPr>
        <w:t xml:space="preserve">  平均价法</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（1）评分范围：通过符合性审查的所有投标文件进入评分范围。</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（2）评标基准价：进入评分范围的投标评标价的算术平均值为评标基准价（投标评标价在5个至7个时，去除一个最高价和一个最低价；投标评标价在8个及以上时，去除一个最高、次高价和一个最低、次低价）。</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（3）根据投标文件的投标评标价与评标基准价对比，计算投标人的商务报价的得分值。即：</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a.投标评标价等于评标基准价时，得满分</w:t>
      </w:r>
      <w:r>
        <w:rPr>
          <w:rFonts w:hint="eastAsia" w:asciiTheme="minorEastAsia" w:hAnsiTheme="minorEastAsia" w:eastAsiaTheme="minorEastAsia" w:cstheme="minorEastAsia"/>
          <w:b/>
          <w:color w:val="auto"/>
          <w:sz w:val="24"/>
          <w:szCs w:val="24"/>
          <w:highlight w:val="none"/>
        </w:rPr>
        <w:t>（30分）</w:t>
      </w:r>
      <w:r>
        <w:rPr>
          <w:rFonts w:hint="eastAsia" w:asciiTheme="minorEastAsia" w:hAnsiTheme="minorEastAsia" w:eastAsiaTheme="minorEastAsia" w:cstheme="minorEastAsia"/>
          <w:color w:val="auto"/>
          <w:sz w:val="24"/>
          <w:szCs w:val="24"/>
          <w:highlight w:val="none"/>
        </w:rPr>
        <w:t>；</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b.投标评标价每低于评标基准价1个百分点，扣1分；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c.投标评标价每高于评标基准价1个百分点，扣2分。</w:t>
      </w:r>
    </w:p>
    <w:p>
      <w:pPr>
        <w:adjustRightInd w:val="0"/>
        <w:snapToGrid w:val="0"/>
        <w:spacing w:line="400" w:lineRule="exact"/>
        <w:ind w:firstLine="480" w:firstLineChars="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以上报价得分不足一个百分点时，使用直线插入法计算，保留小数2位。</w:t>
      </w:r>
    </w:p>
    <w:p>
      <w:pPr>
        <w:adjustRightInd w:val="0"/>
        <w:snapToGrid w:val="0"/>
        <w:spacing w:line="400" w:lineRule="exact"/>
        <w:ind w:firstLine="480" w:firstLineChars="200"/>
        <w:jc w:val="left"/>
        <w:rPr>
          <w:color w:val="auto"/>
          <w:highlight w:val="none"/>
        </w:rPr>
      </w:pPr>
      <w:r>
        <w:rPr>
          <w:rFonts w:hint="eastAsia" w:asciiTheme="minorEastAsia" w:hAnsiTheme="minorEastAsia" w:eastAsiaTheme="minorEastAsia" w:cstheme="minorEastAsia"/>
          <w:color w:val="auto"/>
          <w:sz w:val="24"/>
          <w:szCs w:val="24"/>
          <w:highlight w:val="none"/>
        </w:rPr>
        <w:t xml:space="preserve"> 投标文件的商务标评分不足0分的，计为0分。</w:t>
      </w:r>
    </w:p>
    <w:p>
      <w:pPr>
        <w:adjustRightInd w:val="0"/>
        <w:snapToGrid w:val="0"/>
        <w:ind w:firstLine="479" w:firstLineChars="199"/>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（四）投标文件的综合评分：</w:t>
      </w:r>
      <w:r>
        <w:rPr>
          <w:rFonts w:hint="eastAsia" w:asciiTheme="minorEastAsia" w:hAnsiTheme="minorEastAsia" w:eastAsiaTheme="minorEastAsia" w:cstheme="minorEastAsia"/>
          <w:color w:val="auto"/>
          <w:sz w:val="24"/>
          <w:szCs w:val="24"/>
          <w:highlight w:val="none"/>
        </w:rPr>
        <w:t>投标文件的技术标评分、商务评分的总和。</w:t>
      </w:r>
    </w:p>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（五）对投标人进行排序，推荐中标候选人</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评标委员会根据综合评分对进入评分范围的投标文件按最终得分由高到低进行排序，评分相同时，报价低者优先；评分、报价均相同时，技术得分高优先；评分、报价、技术得分均相同时，由评标委员会通过抽签方式排序。</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2、评标委员会根据投标人须知前附表7.1规定，</w:t>
      </w:r>
      <w:r>
        <w:rPr>
          <w:rFonts w:hint="eastAsia" w:asciiTheme="minorEastAsia" w:hAnsiTheme="minorEastAsia" w:eastAsiaTheme="minorEastAsia" w:cstheme="minorEastAsia"/>
          <w:strike/>
          <w:color w:val="auto"/>
          <w:sz w:val="24"/>
          <w:szCs w:val="24"/>
          <w:highlight w:val="none"/>
        </w:rPr>
        <w:t>确定中标人或</w:t>
      </w:r>
      <w:r>
        <w:rPr>
          <w:rFonts w:hint="eastAsia" w:asciiTheme="minorEastAsia" w:hAnsiTheme="minorEastAsia" w:eastAsiaTheme="minorEastAsia" w:cstheme="minorEastAsia"/>
          <w:color w:val="auto"/>
          <w:sz w:val="24"/>
          <w:szCs w:val="24"/>
          <w:highlight w:val="none"/>
        </w:rPr>
        <w:t>推荐中标候选人。</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五、完成评标报告</w:t>
      </w:r>
    </w:p>
    <w:p>
      <w:pPr>
        <w:adjustRightInd w:val="0"/>
        <w:snapToGrid w:val="0"/>
        <w:ind w:firstLine="482"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（一）评标委员会应当向招标人提交书面评标报告。</w:t>
      </w:r>
      <w:r>
        <w:rPr>
          <w:rFonts w:hint="eastAsia" w:asciiTheme="minorEastAsia" w:hAnsiTheme="minorEastAsia" w:eastAsiaTheme="minorEastAsia" w:cstheme="minorEastAsia"/>
          <w:color w:val="auto"/>
          <w:sz w:val="24"/>
          <w:szCs w:val="24"/>
          <w:highlight w:val="none"/>
        </w:rPr>
        <w:t>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pPr>
        <w:adjustRightInd w:val="0"/>
        <w:snapToGrid w:val="0"/>
        <w:ind w:firstLine="482" w:firstLineChars="200"/>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（二）评标报告应包括以下内容：</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1、开标记录；</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2、评标内容、过程和结果；</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3、询标澄清纪要；</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4、否决投标情况说明及依据；</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5、推荐中标候选人；</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6、中标候选人投标资格条件业绩和评分业绩</w:t>
      </w:r>
      <w:r>
        <w:rPr>
          <w:rFonts w:hint="eastAsia" w:asciiTheme="minorEastAsia" w:hAnsiTheme="minorEastAsia" w:eastAsiaTheme="minorEastAsia" w:cstheme="minorEastAsia"/>
          <w:i/>
          <w:color w:val="auto"/>
          <w:sz w:val="24"/>
          <w:szCs w:val="24"/>
          <w:highlight w:val="none"/>
        </w:rPr>
        <w:t>（招标文件对投标资格或评分有业绩要求的）</w:t>
      </w:r>
      <w:r>
        <w:rPr>
          <w:rFonts w:hint="eastAsia" w:asciiTheme="minorEastAsia" w:hAnsiTheme="minorEastAsia" w:eastAsiaTheme="minorEastAsia" w:cstheme="minorEastAsia"/>
          <w:color w:val="auto"/>
          <w:sz w:val="24"/>
          <w:szCs w:val="24"/>
          <w:highlight w:val="none"/>
        </w:rPr>
        <w:t>；</w:t>
      </w:r>
    </w:p>
    <w:p>
      <w:pPr>
        <w:adjustRightInd w:val="0"/>
        <w:snapToGrid w:val="0"/>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7、其他建议。</w:t>
      </w:r>
    </w:p>
    <w:p>
      <w:pPr>
        <w:rPr>
          <w:rFonts w:asciiTheme="minorEastAsia" w:hAnsiTheme="minorEastAsia" w:eastAsiaTheme="minorEastAsia" w:cstheme="minorEastAsia"/>
          <w:color w:val="auto"/>
          <w:sz w:val="24"/>
          <w:szCs w:val="24"/>
          <w:highlight w:val="none"/>
        </w:rPr>
      </w:pPr>
      <w:bookmarkStart w:id="417" w:name="_Toc229646768"/>
      <w:bookmarkStart w:id="418" w:name="_Toc152042387"/>
      <w:bookmarkStart w:id="419" w:name="_Toc144974577"/>
      <w:bookmarkStart w:id="420" w:name="_Toc152045609"/>
      <w:bookmarkStart w:id="421" w:name="_Toc392345963"/>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color w:val="auto"/>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22" w:name="_Toc2565"/>
      <w:r>
        <w:rPr>
          <w:rFonts w:hint="eastAsia"/>
          <w:color w:val="auto"/>
          <w:highlight w:val="none"/>
        </w:rPr>
        <w:t>第四章</w:t>
      </w:r>
      <w:r>
        <w:rPr>
          <w:color w:val="auto"/>
          <w:highlight w:val="none"/>
        </w:rPr>
        <w:t xml:space="preserve"> </w:t>
      </w:r>
      <w:r>
        <w:rPr>
          <w:rFonts w:hint="eastAsia"/>
          <w:color w:val="auto"/>
          <w:highlight w:val="none"/>
        </w:rPr>
        <w:t>合同条款及格式</w:t>
      </w:r>
      <w:bookmarkEnd w:id="417"/>
      <w:bookmarkEnd w:id="418"/>
      <w:bookmarkEnd w:id="419"/>
      <w:bookmarkEnd w:id="420"/>
      <w:bookmarkEnd w:id="421"/>
      <w:bookmarkEnd w:id="422"/>
    </w:p>
    <w:p>
      <w:pPr>
        <w:keepNext/>
        <w:keepLines/>
        <w:spacing w:before="360" w:beforeLines="150" w:after="120" w:afterLines="50" w:line="400" w:lineRule="exact"/>
        <w:ind w:firstLine="301"/>
        <w:jc w:val="center"/>
        <w:outlineLvl w:val="1"/>
        <w:rPr>
          <w:rFonts w:asciiTheme="minorEastAsia" w:hAnsiTheme="minorEastAsia" w:eastAsiaTheme="minorEastAsia" w:cstheme="minorEastAsia"/>
          <w:b/>
          <w:bCs/>
          <w:color w:val="auto"/>
          <w:sz w:val="24"/>
          <w:szCs w:val="24"/>
          <w:highlight w:val="none"/>
        </w:rPr>
      </w:pPr>
      <w:bookmarkStart w:id="423" w:name="_Toc297017781"/>
      <w:bookmarkStart w:id="424" w:name="_Toc406074420"/>
      <w:bookmarkStart w:id="425" w:name="_Toc18320"/>
      <w:r>
        <w:rPr>
          <w:rFonts w:hint="eastAsia" w:asciiTheme="minorEastAsia" w:hAnsiTheme="minorEastAsia" w:eastAsiaTheme="minorEastAsia" w:cstheme="minorEastAsia"/>
          <w:b/>
          <w:bCs/>
          <w:color w:val="auto"/>
          <w:sz w:val="24"/>
          <w:szCs w:val="24"/>
          <w:highlight w:val="none"/>
        </w:rPr>
        <w:t>一、合同协议书</w:t>
      </w:r>
      <w:bookmarkEnd w:id="423"/>
      <w:bookmarkEnd w:id="424"/>
      <w:bookmarkEnd w:id="425"/>
    </w:p>
    <w:p>
      <w:pPr>
        <w:spacing w:line="360" w:lineRule="auto"/>
        <w:rPr>
          <w:color w:val="auto"/>
          <w:szCs w:val="21"/>
          <w:highlight w:val="none"/>
          <w:u w:val="single"/>
        </w:rPr>
      </w:pPr>
      <w:r>
        <w:rPr>
          <w:rFonts w:hint="eastAsia"/>
          <w:color w:val="auto"/>
          <w:szCs w:val="21"/>
          <w:highlight w:val="none"/>
        </w:rPr>
        <w:t>甲方（招标人、总承包单位）：</w:t>
      </w:r>
      <w:r>
        <w:rPr>
          <w:rFonts w:hint="eastAsia"/>
          <w:color w:val="auto"/>
          <w:szCs w:val="21"/>
          <w:highlight w:val="none"/>
          <w:u w:val="single"/>
        </w:rPr>
        <w:t xml:space="preserve">浙江精工钢结构集团有限公司 </w:t>
      </w:r>
    </w:p>
    <w:p>
      <w:pPr>
        <w:spacing w:line="360" w:lineRule="auto"/>
        <w:rPr>
          <w:color w:val="auto"/>
          <w:szCs w:val="21"/>
          <w:highlight w:val="none"/>
          <w:u w:val="single"/>
        </w:rPr>
      </w:pPr>
      <w:r>
        <w:rPr>
          <w:rFonts w:hint="eastAsia"/>
          <w:color w:val="auto"/>
          <w:szCs w:val="21"/>
          <w:highlight w:val="none"/>
        </w:rPr>
        <w:t>乙方（供应商）：</w:t>
      </w:r>
      <w:r>
        <w:rPr>
          <w:rFonts w:hint="eastAsia"/>
          <w:color w:val="auto"/>
          <w:szCs w:val="21"/>
          <w:highlight w:val="none"/>
          <w:u w:val="single"/>
        </w:rPr>
        <w:t xml:space="preserve">             （供应商名称）           </w:t>
      </w:r>
    </w:p>
    <w:p>
      <w:pPr>
        <w:keepNext/>
        <w:keepLines/>
        <w:spacing w:line="360" w:lineRule="auto"/>
        <w:outlineLvl w:val="1"/>
        <w:rPr>
          <w:color w:val="auto"/>
          <w:szCs w:val="21"/>
          <w:highlight w:val="none"/>
          <w:u w:val="single"/>
        </w:rPr>
      </w:pPr>
      <w:r>
        <w:rPr>
          <w:rFonts w:hint="eastAsia"/>
          <w:color w:val="auto"/>
          <w:szCs w:val="21"/>
          <w:highlight w:val="none"/>
        </w:rPr>
        <w:t>丙方（业主、使用人）：</w:t>
      </w:r>
      <w:r>
        <w:rPr>
          <w:rFonts w:hint="eastAsia"/>
          <w:color w:val="auto"/>
          <w:szCs w:val="21"/>
          <w:highlight w:val="none"/>
          <w:u w:val="single"/>
        </w:rPr>
        <w:t>绍兴市妇幼保健院、</w:t>
      </w:r>
    </w:p>
    <w:p>
      <w:pPr>
        <w:keepNext/>
        <w:keepLines/>
        <w:spacing w:line="360" w:lineRule="auto"/>
        <w:outlineLvl w:val="1"/>
        <w:rPr>
          <w:b/>
          <w:bCs/>
          <w:color w:val="auto"/>
          <w:szCs w:val="21"/>
          <w:highlight w:val="none"/>
        </w:rPr>
      </w:pPr>
      <w:r>
        <w:rPr>
          <w:rFonts w:hint="eastAsia"/>
          <w:color w:val="auto"/>
          <w:szCs w:val="21"/>
          <w:highlight w:val="none"/>
          <w:u w:val="single"/>
        </w:rPr>
        <w:t xml:space="preserve">丁方（代建单位）绍兴市交通建设有限公司     </w:t>
      </w:r>
    </w:p>
    <w:p>
      <w:pPr>
        <w:spacing w:line="360" w:lineRule="auto"/>
        <w:ind w:firstLine="420" w:firstLineChars="200"/>
        <w:rPr>
          <w:snapToGrid w:val="0"/>
          <w:color w:val="auto"/>
          <w:szCs w:val="21"/>
          <w:highlight w:val="none"/>
        </w:rPr>
      </w:pPr>
      <w:r>
        <w:rPr>
          <w:rFonts w:hint="eastAsia"/>
          <w:snapToGrid w:val="0"/>
          <w:color w:val="auto"/>
          <w:szCs w:val="21"/>
          <w:highlight w:val="none"/>
          <w:u w:val="single"/>
        </w:rPr>
        <w:t>鉴于：丙方为</w:t>
      </w:r>
      <w:r>
        <w:rPr>
          <w:rFonts w:hint="eastAsia"/>
          <w:color w:val="auto"/>
          <w:szCs w:val="21"/>
          <w:highlight w:val="none"/>
          <w:u w:val="single"/>
        </w:rPr>
        <w:t>绍兴市妇幼保健院（绍兴市儿童医院）建设项目</w:t>
      </w:r>
      <w:r>
        <w:rPr>
          <w:rFonts w:hint="eastAsia"/>
          <w:snapToGrid w:val="0"/>
          <w:color w:val="auto"/>
          <w:szCs w:val="21"/>
          <w:highlight w:val="none"/>
          <w:u w:val="single"/>
        </w:rPr>
        <w:t>业主单位，丁方为该项目代建方，甲方为该项目总承包单位。现由</w:t>
      </w:r>
      <w:r>
        <w:rPr>
          <w:rFonts w:hint="eastAsia"/>
          <w:snapToGrid w:val="0"/>
          <w:color w:val="auto"/>
          <w:szCs w:val="21"/>
          <w:highlight w:val="none"/>
        </w:rPr>
        <w:t>甲方作为招标人对所需的进行招标（招标编号：         ）。经甲方定标确定为该供应商（乙方）。甲乙丙丁四方同意按照下面的条款和条件，签署本合同。</w:t>
      </w:r>
    </w:p>
    <w:p>
      <w:pPr>
        <w:spacing w:line="360" w:lineRule="auto"/>
        <w:ind w:firstLine="487" w:firstLineChars="231"/>
        <w:rPr>
          <w:b/>
          <w:color w:val="auto"/>
          <w:szCs w:val="21"/>
          <w:highlight w:val="none"/>
        </w:rPr>
      </w:pPr>
      <w:r>
        <w:rPr>
          <w:rFonts w:hint="eastAsia"/>
          <w:b/>
          <w:color w:val="auto"/>
          <w:szCs w:val="21"/>
          <w:highlight w:val="none"/>
        </w:rPr>
        <w:t>一、项目概况</w:t>
      </w:r>
    </w:p>
    <w:p>
      <w:pPr>
        <w:spacing w:line="360" w:lineRule="auto"/>
        <w:ind w:firstLine="420" w:firstLineChars="200"/>
        <w:rPr>
          <w:color w:val="auto"/>
          <w:szCs w:val="21"/>
          <w:highlight w:val="none"/>
          <w:u w:val="single"/>
        </w:rPr>
      </w:pPr>
      <w:r>
        <w:rPr>
          <w:rFonts w:hint="eastAsia"/>
          <w:color w:val="auto"/>
          <w:szCs w:val="21"/>
          <w:highlight w:val="none"/>
        </w:rPr>
        <w:t>1、项目名称：</w:t>
      </w:r>
      <w:r>
        <w:rPr>
          <w:rFonts w:hint="eastAsia"/>
          <w:color w:val="auto"/>
          <w:szCs w:val="21"/>
          <w:highlight w:val="none"/>
          <w:u w:val="single"/>
        </w:rPr>
        <w:t>绍兴市妇幼保健院（绍兴市儿童医院）建设项目医疗物流系统项目。</w:t>
      </w:r>
    </w:p>
    <w:p>
      <w:pPr>
        <w:pStyle w:val="25"/>
        <w:spacing w:line="360" w:lineRule="auto"/>
        <w:ind w:firstLineChars="200"/>
        <w:rPr>
          <w:color w:val="auto"/>
          <w:sz w:val="21"/>
          <w:szCs w:val="21"/>
          <w:highlight w:val="none"/>
          <w:u w:val="single"/>
        </w:rPr>
      </w:pPr>
      <w:r>
        <w:rPr>
          <w:rFonts w:hint="eastAsia"/>
          <w:color w:val="auto"/>
          <w:sz w:val="21"/>
          <w:szCs w:val="21"/>
          <w:highlight w:val="none"/>
        </w:rPr>
        <w:t>2、项目地点：</w:t>
      </w:r>
      <w:r>
        <w:rPr>
          <w:rFonts w:hint="eastAsia"/>
          <w:color w:val="auto"/>
          <w:sz w:val="21"/>
          <w:szCs w:val="21"/>
          <w:highlight w:val="none"/>
          <w:u w:val="single"/>
        </w:rPr>
        <w:t>绍兴市越城区。</w:t>
      </w:r>
    </w:p>
    <w:p>
      <w:pPr>
        <w:spacing w:line="360" w:lineRule="auto"/>
        <w:ind w:firstLine="420" w:firstLineChars="200"/>
        <w:rPr>
          <w:color w:val="auto"/>
          <w:szCs w:val="21"/>
          <w:highlight w:val="none"/>
          <w:u w:val="single"/>
        </w:rPr>
      </w:pPr>
      <w:r>
        <w:rPr>
          <w:rFonts w:hint="eastAsia"/>
          <w:color w:val="auto"/>
          <w:szCs w:val="21"/>
          <w:highlight w:val="none"/>
        </w:rPr>
        <w:t>3、项目内容：</w:t>
      </w:r>
      <w:r>
        <w:rPr>
          <w:rFonts w:hint="eastAsia"/>
          <w:color w:val="auto"/>
          <w:szCs w:val="21"/>
          <w:highlight w:val="none"/>
          <w:u w:val="single"/>
        </w:rPr>
        <w:t>物流传输系统设备采购、供货及安装，其中箱式物流系统站点46个，气动物流系统站点39个，详见招标文件 “</w:t>
      </w:r>
      <w:r>
        <w:rPr>
          <w:color w:val="auto"/>
          <w:highlight w:val="none"/>
          <w:u w:val="single"/>
        </w:rPr>
        <w:t xml:space="preserve"> </w:t>
      </w:r>
      <w:r>
        <w:rPr>
          <w:rFonts w:hint="eastAsia"/>
          <w:color w:val="auto"/>
          <w:highlight w:val="none"/>
          <w:u w:val="single"/>
        </w:rPr>
        <w:t>技术标准和要求</w:t>
      </w:r>
      <w:r>
        <w:rPr>
          <w:rFonts w:hint="eastAsia"/>
          <w:color w:val="auto"/>
          <w:szCs w:val="21"/>
          <w:highlight w:val="none"/>
          <w:u w:val="single"/>
        </w:rPr>
        <w:t>”。</w:t>
      </w:r>
    </w:p>
    <w:p>
      <w:pPr>
        <w:spacing w:line="360" w:lineRule="auto"/>
        <w:ind w:firstLine="420" w:firstLineChars="200"/>
        <w:rPr>
          <w:color w:val="auto"/>
          <w:szCs w:val="21"/>
          <w:highlight w:val="none"/>
          <w:u w:val="single"/>
        </w:rPr>
      </w:pPr>
      <w:r>
        <w:rPr>
          <w:rFonts w:hint="eastAsia"/>
          <w:color w:val="auto"/>
          <w:szCs w:val="21"/>
          <w:highlight w:val="none"/>
          <w:u w:val="single"/>
        </w:rPr>
        <w:t>招标人提供的物流系统设备采购及安装的图纸及货物清单中的所有工程内容，包括物流系统设备采购及安装工程施工图的进一步深化设计、现有建筑基础上的物流管道等处的结构补强（招标人提供结构参考图纸）、预留孔洞、设备基础、预埋铁构件、预埋管、套管及其封堵、设备材料供货、运输、卸货、保管、施工、安装、调试、检测、并最终通过验收，同时负责技术服务与培训，提交相关技术资料以及质保期内的维修保养等，即“交钥匙”工程。</w:t>
      </w:r>
    </w:p>
    <w:p>
      <w:pPr>
        <w:spacing w:line="360" w:lineRule="auto"/>
        <w:ind w:firstLine="422" w:firstLineChars="200"/>
        <w:rPr>
          <w:b/>
          <w:color w:val="auto"/>
          <w:szCs w:val="21"/>
          <w:highlight w:val="none"/>
        </w:rPr>
      </w:pPr>
      <w:r>
        <w:rPr>
          <w:rFonts w:hint="eastAsia"/>
          <w:b/>
          <w:color w:val="auto"/>
          <w:szCs w:val="21"/>
          <w:highlight w:val="none"/>
        </w:rPr>
        <w:t>二、合同范围和条件</w:t>
      </w:r>
    </w:p>
    <w:p>
      <w:pPr>
        <w:spacing w:line="360" w:lineRule="auto"/>
        <w:ind w:firstLine="485" w:firstLineChars="231"/>
        <w:rPr>
          <w:color w:val="auto"/>
          <w:szCs w:val="21"/>
          <w:highlight w:val="none"/>
        </w:rPr>
      </w:pPr>
      <w:r>
        <w:rPr>
          <w:rFonts w:hint="eastAsia"/>
          <w:color w:val="auto"/>
          <w:szCs w:val="21"/>
          <w:highlight w:val="none"/>
        </w:rPr>
        <w:t>本合同的范围和条件应与上述规定的合同文件内容一致。</w:t>
      </w:r>
    </w:p>
    <w:p>
      <w:pPr>
        <w:spacing w:line="360" w:lineRule="auto"/>
        <w:ind w:firstLine="487" w:firstLineChars="231"/>
        <w:rPr>
          <w:b/>
          <w:color w:val="auto"/>
          <w:szCs w:val="21"/>
          <w:highlight w:val="none"/>
        </w:rPr>
      </w:pPr>
      <w:r>
        <w:rPr>
          <w:rFonts w:hint="eastAsia"/>
          <w:b/>
          <w:color w:val="auto"/>
          <w:szCs w:val="21"/>
          <w:highlight w:val="none"/>
        </w:rPr>
        <w:t>三、合同标的及数量</w:t>
      </w:r>
    </w:p>
    <w:p>
      <w:pPr>
        <w:spacing w:line="360" w:lineRule="auto"/>
        <w:ind w:firstLine="485" w:firstLineChars="231"/>
        <w:rPr>
          <w:color w:val="auto"/>
          <w:szCs w:val="21"/>
          <w:highlight w:val="none"/>
        </w:rPr>
      </w:pPr>
      <w:r>
        <w:rPr>
          <w:rFonts w:hint="eastAsia"/>
          <w:color w:val="auto"/>
          <w:szCs w:val="21"/>
          <w:highlight w:val="none"/>
        </w:rPr>
        <w:t>本合同要求提供的产品、规格和数量见招标文件相关要求。</w:t>
      </w:r>
    </w:p>
    <w:p>
      <w:pPr>
        <w:spacing w:line="360" w:lineRule="auto"/>
        <w:ind w:firstLine="487" w:firstLineChars="231"/>
        <w:rPr>
          <w:b/>
          <w:color w:val="auto"/>
          <w:szCs w:val="21"/>
          <w:highlight w:val="none"/>
        </w:rPr>
      </w:pPr>
      <w:r>
        <w:rPr>
          <w:rFonts w:hint="eastAsia"/>
          <w:b/>
          <w:color w:val="auto"/>
          <w:szCs w:val="21"/>
          <w:highlight w:val="none"/>
        </w:rPr>
        <w:t>四、合同工期</w:t>
      </w:r>
    </w:p>
    <w:p>
      <w:pPr>
        <w:pStyle w:val="59"/>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计划开工日期：  /  年 / 月 / 日。(以开工报告日期为准）</w:t>
      </w:r>
    </w:p>
    <w:p>
      <w:pPr>
        <w:pStyle w:val="59"/>
        <w:spacing w:line="360" w:lineRule="auto"/>
        <w:ind w:firstLine="630" w:firstLineChars="300"/>
        <w:rPr>
          <w:rFonts w:ascii="宋体" w:hAnsi="宋体" w:cs="宋体"/>
          <w:color w:val="auto"/>
          <w:highlight w:val="none"/>
        </w:rPr>
      </w:pPr>
      <w:r>
        <w:rPr>
          <w:rFonts w:hint="eastAsia" w:ascii="宋体" w:hAnsi="宋体" w:cs="宋体"/>
          <w:color w:val="auto"/>
          <w:highlight w:val="none"/>
        </w:rPr>
        <w:t>计划竣工日期： /  年 / 月 / 日。</w:t>
      </w:r>
    </w:p>
    <w:p>
      <w:pPr>
        <w:pStyle w:val="59"/>
        <w:spacing w:line="360" w:lineRule="auto"/>
        <w:ind w:firstLine="630" w:firstLineChars="300"/>
        <w:rPr>
          <w:rFonts w:ascii="宋体" w:hAnsi="宋体" w:cs="宋体"/>
          <w:color w:val="auto"/>
          <w:highlight w:val="none"/>
        </w:rPr>
      </w:pPr>
      <w:r>
        <w:rPr>
          <w:rFonts w:hint="eastAsia" w:ascii="宋体" w:hAnsi="宋体" w:cs="宋体"/>
          <w:color w:val="auto"/>
          <w:highlight w:val="none"/>
        </w:rPr>
        <w:t>以甲方发出的开工指令后210日历天，具体应与工程施工总进度计划同步。</w:t>
      </w:r>
    </w:p>
    <w:p>
      <w:pPr>
        <w:spacing w:line="360" w:lineRule="auto"/>
        <w:ind w:firstLine="487" w:firstLineChars="231"/>
        <w:rPr>
          <w:b/>
          <w:color w:val="auto"/>
          <w:szCs w:val="21"/>
          <w:highlight w:val="none"/>
        </w:rPr>
      </w:pPr>
      <w:r>
        <w:rPr>
          <w:rFonts w:hint="eastAsia"/>
          <w:b/>
          <w:color w:val="auto"/>
          <w:szCs w:val="21"/>
          <w:highlight w:val="none"/>
        </w:rPr>
        <w:t>五、质量标准</w:t>
      </w:r>
    </w:p>
    <w:p>
      <w:pPr>
        <w:pStyle w:val="2"/>
        <w:spacing w:line="360" w:lineRule="auto"/>
        <w:ind w:firstLine="630" w:firstLineChars="300"/>
        <w:rPr>
          <w:color w:val="auto"/>
          <w:sz w:val="21"/>
          <w:szCs w:val="21"/>
          <w:highlight w:val="none"/>
        </w:rPr>
      </w:pPr>
      <w:r>
        <w:rPr>
          <w:rFonts w:hint="eastAsia"/>
          <w:color w:val="auto"/>
          <w:sz w:val="21"/>
          <w:szCs w:val="21"/>
          <w:highlight w:val="none"/>
        </w:rPr>
        <w:t>合格，并一次性通过</w:t>
      </w:r>
      <w:r>
        <w:rPr>
          <w:rFonts w:hint="eastAsia" w:ascii="Times New Roman" w:hAnsi="Times New Roman"/>
          <w:color w:val="auto"/>
          <w:sz w:val="21"/>
          <w:szCs w:val="21"/>
          <w:highlight w:val="none"/>
          <w:lang w:val="en-US" w:eastAsia="zh-CN"/>
        </w:rPr>
        <w:t>相关</w:t>
      </w:r>
      <w:r>
        <w:rPr>
          <w:rFonts w:hint="eastAsia"/>
          <w:color w:val="auto"/>
          <w:sz w:val="21"/>
          <w:szCs w:val="21"/>
          <w:highlight w:val="none"/>
        </w:rPr>
        <w:t>机构检测。全力配合甲方争创钱江杯、鲁班奖。</w:t>
      </w:r>
    </w:p>
    <w:p>
      <w:pPr>
        <w:spacing w:line="360" w:lineRule="auto"/>
        <w:ind w:firstLine="487" w:firstLineChars="231"/>
        <w:rPr>
          <w:b/>
          <w:color w:val="auto"/>
          <w:szCs w:val="21"/>
          <w:highlight w:val="none"/>
        </w:rPr>
      </w:pPr>
      <w:r>
        <w:rPr>
          <w:rFonts w:hint="eastAsia"/>
          <w:b/>
          <w:color w:val="auto"/>
          <w:szCs w:val="21"/>
          <w:highlight w:val="none"/>
        </w:rPr>
        <w:t>六、合同总价</w:t>
      </w:r>
    </w:p>
    <w:p>
      <w:pPr>
        <w:spacing w:line="360" w:lineRule="auto"/>
        <w:ind w:firstLine="420" w:firstLineChars="200"/>
        <w:rPr>
          <w:color w:val="auto"/>
          <w:szCs w:val="21"/>
          <w:highlight w:val="none"/>
        </w:rPr>
      </w:pPr>
      <w:r>
        <w:rPr>
          <w:rFonts w:hint="eastAsia"/>
          <w:color w:val="auto"/>
          <w:szCs w:val="21"/>
          <w:highlight w:val="none"/>
        </w:rPr>
        <w:t>本合同为固定总价合同，合同总价（含税中标价）为人民币</w:t>
      </w:r>
      <w:r>
        <w:rPr>
          <w:color w:val="auto"/>
          <w:szCs w:val="21"/>
          <w:highlight w:val="none"/>
          <w:u w:val="single"/>
        </w:rPr>
        <w:t xml:space="preserve">          </w:t>
      </w:r>
      <w:r>
        <w:rPr>
          <w:rFonts w:hint="eastAsia"/>
          <w:color w:val="auto"/>
          <w:szCs w:val="21"/>
          <w:highlight w:val="none"/>
        </w:rPr>
        <w:t>元，大写</w:t>
      </w:r>
      <w:r>
        <w:rPr>
          <w:rFonts w:hint="eastAsia"/>
          <w:color w:val="auto"/>
          <w:szCs w:val="21"/>
          <w:highlight w:val="none"/>
          <w:u w:val="single"/>
        </w:rPr>
        <w:t xml:space="preserve">          </w:t>
      </w:r>
      <w:r>
        <w:rPr>
          <w:rFonts w:hint="eastAsia"/>
          <w:color w:val="auto"/>
          <w:szCs w:val="21"/>
          <w:highlight w:val="none"/>
        </w:rPr>
        <w:t xml:space="preserve">元。 </w:t>
      </w:r>
    </w:p>
    <w:p>
      <w:pPr>
        <w:pStyle w:val="25"/>
        <w:spacing w:line="360" w:lineRule="auto"/>
        <w:ind w:firstLineChars="200"/>
        <w:rPr>
          <w:color w:val="auto"/>
          <w:sz w:val="21"/>
          <w:szCs w:val="21"/>
          <w:highlight w:val="none"/>
        </w:rPr>
      </w:pPr>
      <w:r>
        <w:rPr>
          <w:rFonts w:hint="eastAsia"/>
          <w:color w:val="auto"/>
          <w:sz w:val="21"/>
          <w:szCs w:val="21"/>
          <w:highlight w:val="none"/>
        </w:rPr>
        <w:t>本项目釆用固定总价承包，货物清单中的工程量、清单描述若与图纸及答疑不一致时，以图纸及答疑为准并须满足各专业的功能要求，由乙方自行复核计算，结算时总价不作调整。若图纸需二次深化，则由乙方自行深化完成并经丙方同意，工程量及各种相关一切费用不再增加。图纸中设备或材料若已有变更升级的相应设备或材料则需变更为升级后的设备或材料经丙、丁方同意，费用也不再增加。丙、丁方有权增减工作范围，该费用应予以增减。甲方所有的变更，必须经过丙、丁方书面同意。</w:t>
      </w:r>
    </w:p>
    <w:p>
      <w:pPr>
        <w:spacing w:line="360" w:lineRule="auto"/>
        <w:ind w:firstLine="487" w:firstLineChars="231"/>
        <w:rPr>
          <w:b/>
          <w:color w:val="auto"/>
          <w:szCs w:val="21"/>
          <w:highlight w:val="none"/>
        </w:rPr>
      </w:pPr>
      <w:r>
        <w:rPr>
          <w:rFonts w:hint="eastAsia"/>
          <w:b/>
          <w:color w:val="auto"/>
          <w:szCs w:val="21"/>
          <w:highlight w:val="none"/>
        </w:rPr>
        <w:t>七、项目负责人</w:t>
      </w:r>
    </w:p>
    <w:p>
      <w:pPr>
        <w:pStyle w:val="25"/>
        <w:spacing w:line="360" w:lineRule="auto"/>
        <w:ind w:firstLine="630" w:firstLineChars="300"/>
        <w:rPr>
          <w:color w:val="auto"/>
          <w:sz w:val="21"/>
          <w:szCs w:val="21"/>
          <w:highlight w:val="none"/>
          <w:u w:val="single"/>
        </w:rPr>
      </w:pPr>
      <w:r>
        <w:rPr>
          <w:rFonts w:hint="eastAsia"/>
          <w:color w:val="auto"/>
          <w:sz w:val="21"/>
          <w:szCs w:val="21"/>
          <w:highlight w:val="none"/>
        </w:rPr>
        <w:t>乙方项目负责人：身份证号</w:t>
      </w:r>
      <w:r>
        <w:rPr>
          <w:rFonts w:hint="eastAsia"/>
          <w:color w:val="auto"/>
          <w:sz w:val="21"/>
          <w:szCs w:val="21"/>
          <w:highlight w:val="none"/>
          <w:u w:val="single"/>
        </w:rPr>
        <w:t>：                   。</w:t>
      </w:r>
    </w:p>
    <w:p>
      <w:pPr>
        <w:spacing w:line="360" w:lineRule="auto"/>
        <w:ind w:firstLine="487" w:firstLineChars="231"/>
        <w:rPr>
          <w:b/>
          <w:color w:val="auto"/>
          <w:szCs w:val="21"/>
          <w:highlight w:val="none"/>
        </w:rPr>
      </w:pPr>
      <w:r>
        <w:rPr>
          <w:rFonts w:hint="eastAsia"/>
          <w:b/>
          <w:color w:val="auto"/>
          <w:szCs w:val="21"/>
          <w:highlight w:val="none"/>
        </w:rPr>
        <w:t>八、合同文件</w:t>
      </w:r>
    </w:p>
    <w:p>
      <w:pPr>
        <w:spacing w:line="360" w:lineRule="auto"/>
        <w:ind w:firstLine="485" w:firstLineChars="231"/>
        <w:rPr>
          <w:color w:val="auto"/>
          <w:szCs w:val="21"/>
          <w:highlight w:val="none"/>
        </w:rPr>
      </w:pPr>
      <w:r>
        <w:rPr>
          <w:rFonts w:hint="eastAsia"/>
          <w:color w:val="auto"/>
          <w:szCs w:val="21"/>
          <w:highlight w:val="none"/>
        </w:rPr>
        <w:t>下列文件构成本合同的组成部分：</w:t>
      </w:r>
    </w:p>
    <w:p>
      <w:pPr>
        <w:spacing w:line="360" w:lineRule="auto"/>
        <w:ind w:firstLine="485" w:firstLineChars="231"/>
        <w:rPr>
          <w:color w:val="auto"/>
          <w:szCs w:val="21"/>
          <w:highlight w:val="none"/>
        </w:rPr>
      </w:pPr>
      <w:r>
        <w:rPr>
          <w:rFonts w:hint="eastAsia"/>
          <w:color w:val="auto"/>
          <w:szCs w:val="21"/>
          <w:highlight w:val="none"/>
        </w:rPr>
        <w:t>投标文件、招标文件、中标通知书、成交合同、合同补充条款、补充协议或说明（按从后往前的顺序解释）。</w:t>
      </w:r>
    </w:p>
    <w:p>
      <w:pPr>
        <w:spacing w:line="360" w:lineRule="auto"/>
        <w:ind w:firstLine="487" w:firstLineChars="231"/>
        <w:rPr>
          <w:b/>
          <w:color w:val="auto"/>
          <w:szCs w:val="21"/>
          <w:highlight w:val="none"/>
        </w:rPr>
      </w:pPr>
      <w:r>
        <w:rPr>
          <w:rFonts w:hint="eastAsia"/>
          <w:b/>
          <w:color w:val="auto"/>
          <w:szCs w:val="21"/>
          <w:highlight w:val="none"/>
        </w:rPr>
        <w:t>九、签订时间</w:t>
      </w:r>
    </w:p>
    <w:p>
      <w:pPr>
        <w:pStyle w:val="25"/>
        <w:spacing w:line="360" w:lineRule="auto"/>
        <w:ind w:firstLine="630" w:firstLineChars="300"/>
        <w:rPr>
          <w:color w:val="auto"/>
          <w:sz w:val="21"/>
          <w:szCs w:val="21"/>
          <w:highlight w:val="none"/>
        </w:rPr>
      </w:pPr>
      <w:r>
        <w:rPr>
          <w:rFonts w:hint="eastAsia"/>
          <w:color w:val="auto"/>
          <w:sz w:val="21"/>
          <w:szCs w:val="21"/>
          <w:highlight w:val="none"/>
        </w:rPr>
        <w:t>本合同于   年  月  日签订。</w:t>
      </w:r>
    </w:p>
    <w:p>
      <w:pPr>
        <w:spacing w:line="360" w:lineRule="auto"/>
        <w:ind w:firstLine="487" w:firstLineChars="231"/>
        <w:rPr>
          <w:b/>
          <w:color w:val="auto"/>
          <w:szCs w:val="21"/>
          <w:highlight w:val="none"/>
        </w:rPr>
      </w:pPr>
      <w:r>
        <w:rPr>
          <w:rFonts w:hint="eastAsia"/>
          <w:b/>
          <w:color w:val="auto"/>
          <w:szCs w:val="21"/>
          <w:highlight w:val="none"/>
        </w:rPr>
        <w:t>十、签订地点</w:t>
      </w:r>
    </w:p>
    <w:p>
      <w:pPr>
        <w:pStyle w:val="25"/>
        <w:spacing w:line="360" w:lineRule="auto"/>
        <w:ind w:firstLine="630" w:firstLineChars="300"/>
        <w:rPr>
          <w:color w:val="auto"/>
          <w:sz w:val="21"/>
          <w:szCs w:val="21"/>
          <w:highlight w:val="none"/>
        </w:rPr>
      </w:pPr>
      <w:r>
        <w:rPr>
          <w:rFonts w:hint="eastAsia"/>
          <w:color w:val="auto"/>
          <w:sz w:val="21"/>
          <w:szCs w:val="21"/>
          <w:highlight w:val="none"/>
        </w:rPr>
        <w:t>本合同在</w:t>
      </w:r>
      <w:r>
        <w:rPr>
          <w:rFonts w:hint="eastAsia"/>
          <w:color w:val="auto"/>
          <w:sz w:val="21"/>
          <w:szCs w:val="21"/>
          <w:highlight w:val="none"/>
          <w:u w:val="single"/>
        </w:rPr>
        <w:t xml:space="preserve">                       </w:t>
      </w:r>
      <w:r>
        <w:rPr>
          <w:rFonts w:hint="eastAsia"/>
          <w:color w:val="auto"/>
          <w:sz w:val="21"/>
          <w:szCs w:val="21"/>
          <w:highlight w:val="none"/>
        </w:rPr>
        <w:t>签订。</w:t>
      </w:r>
    </w:p>
    <w:p>
      <w:pPr>
        <w:spacing w:line="360" w:lineRule="auto"/>
        <w:ind w:firstLine="487" w:firstLineChars="231"/>
        <w:rPr>
          <w:b/>
          <w:color w:val="auto"/>
          <w:szCs w:val="21"/>
          <w:highlight w:val="none"/>
        </w:rPr>
      </w:pPr>
      <w:r>
        <w:rPr>
          <w:rFonts w:hint="eastAsia"/>
          <w:b/>
          <w:color w:val="auto"/>
          <w:szCs w:val="21"/>
          <w:highlight w:val="none"/>
        </w:rPr>
        <w:t>十一、补充地点</w:t>
      </w:r>
    </w:p>
    <w:p>
      <w:pPr>
        <w:pStyle w:val="25"/>
        <w:spacing w:line="360" w:lineRule="auto"/>
        <w:ind w:firstLine="630" w:firstLineChars="300"/>
        <w:rPr>
          <w:color w:val="auto"/>
          <w:sz w:val="21"/>
          <w:szCs w:val="21"/>
          <w:highlight w:val="none"/>
        </w:rPr>
      </w:pPr>
      <w:r>
        <w:rPr>
          <w:rFonts w:hint="eastAsia"/>
          <w:color w:val="auto"/>
          <w:sz w:val="21"/>
          <w:szCs w:val="21"/>
          <w:highlight w:val="none"/>
        </w:rPr>
        <w:t>合同未尽事宜，合同当事人另行签订补充协议，补充协议是合同的组成部分。</w:t>
      </w:r>
    </w:p>
    <w:p>
      <w:pPr>
        <w:spacing w:line="360" w:lineRule="auto"/>
        <w:ind w:firstLine="487" w:firstLineChars="231"/>
        <w:rPr>
          <w:b/>
          <w:color w:val="auto"/>
          <w:szCs w:val="21"/>
          <w:highlight w:val="none"/>
        </w:rPr>
      </w:pPr>
      <w:r>
        <w:rPr>
          <w:rFonts w:hint="eastAsia"/>
          <w:b/>
          <w:color w:val="auto"/>
          <w:szCs w:val="21"/>
          <w:highlight w:val="none"/>
        </w:rPr>
        <w:t>十二、合同的生效</w:t>
      </w:r>
    </w:p>
    <w:p>
      <w:pPr>
        <w:spacing w:line="360" w:lineRule="auto"/>
        <w:ind w:firstLine="510"/>
        <w:rPr>
          <w:color w:val="auto"/>
          <w:szCs w:val="21"/>
          <w:highlight w:val="none"/>
        </w:rPr>
      </w:pPr>
      <w:r>
        <w:rPr>
          <w:rFonts w:hint="eastAsia"/>
          <w:color w:val="auto"/>
          <w:szCs w:val="21"/>
          <w:highlight w:val="none"/>
        </w:rPr>
        <w:t>本合同在乙方向甲方提交全部履约保证金后，且经甲乙丙丁四方法定代表人或授权代表签字并加盖公章之日起生效。</w:t>
      </w:r>
    </w:p>
    <w:p>
      <w:pPr>
        <w:spacing w:line="360" w:lineRule="auto"/>
        <w:ind w:firstLine="510"/>
        <w:rPr>
          <w:color w:val="auto"/>
          <w:szCs w:val="21"/>
          <w:highlight w:val="none"/>
        </w:rPr>
      </w:pPr>
      <w:r>
        <w:rPr>
          <w:rFonts w:hint="eastAsia"/>
          <w:color w:val="auto"/>
          <w:szCs w:val="21"/>
          <w:highlight w:val="none"/>
        </w:rPr>
        <w:t>合同一式</w:t>
      </w:r>
      <w:r>
        <w:rPr>
          <w:color w:val="auto"/>
          <w:szCs w:val="21"/>
          <w:highlight w:val="none"/>
        </w:rPr>
        <w:t>16</w:t>
      </w:r>
      <w:r>
        <w:rPr>
          <w:rFonts w:hint="eastAsia"/>
          <w:color w:val="auto"/>
          <w:szCs w:val="21"/>
          <w:highlight w:val="none"/>
        </w:rPr>
        <w:t>份，正</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 xml:space="preserve"> 份（甲、乙、丙、丁方各3份）。</w:t>
      </w:r>
    </w:p>
    <w:p>
      <w:pPr>
        <w:spacing w:line="360" w:lineRule="auto"/>
        <w:ind w:firstLine="210"/>
        <w:rPr>
          <w:color w:val="auto"/>
          <w:szCs w:val="21"/>
          <w:highlight w:val="none"/>
        </w:rPr>
      </w:pPr>
    </w:p>
    <w:p>
      <w:pPr>
        <w:spacing w:line="360" w:lineRule="auto"/>
        <w:rPr>
          <w:color w:val="auto"/>
          <w:szCs w:val="21"/>
          <w:highlight w:val="none"/>
          <w:u w:val="single"/>
        </w:rPr>
      </w:pPr>
      <w:r>
        <w:rPr>
          <w:rFonts w:hint="eastAsia"/>
          <w:color w:val="auto"/>
          <w:szCs w:val="21"/>
          <w:highlight w:val="none"/>
        </w:rPr>
        <w:t>甲方：                                                                      乙方：</w:t>
      </w:r>
    </w:p>
    <w:p>
      <w:pPr>
        <w:spacing w:line="360" w:lineRule="auto"/>
        <w:rPr>
          <w:color w:val="auto"/>
          <w:szCs w:val="21"/>
          <w:highlight w:val="none"/>
        </w:rPr>
      </w:pPr>
      <w:r>
        <w:rPr>
          <w:rFonts w:hint="eastAsia"/>
          <w:color w:val="auto"/>
          <w:szCs w:val="21"/>
          <w:highlight w:val="none"/>
          <w:u w:val="single"/>
        </w:rPr>
        <w:t xml:space="preserve">             (盖章）                                                           (盖章）               </w:t>
      </w:r>
    </w:p>
    <w:p>
      <w:pPr>
        <w:spacing w:line="360" w:lineRule="auto"/>
        <w:rPr>
          <w:color w:val="auto"/>
          <w:szCs w:val="21"/>
          <w:highlight w:val="none"/>
          <w:u w:val="singl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r>
        <w:rPr>
          <w:rFonts w:hint="eastAsia"/>
          <w:color w:val="auto"/>
          <w:szCs w:val="21"/>
          <w:highlight w:val="none"/>
        </w:rPr>
        <w:t xml:space="preserve">                       委托代理人：</w:t>
      </w:r>
      <w:r>
        <w:rPr>
          <w:rFonts w:hint="eastAsia"/>
          <w:color w:val="auto"/>
          <w:szCs w:val="21"/>
          <w:highlight w:val="none"/>
          <w:u w:val="single"/>
        </w:rPr>
        <w:t xml:space="preserve">     (签字)        </w:t>
      </w:r>
    </w:p>
    <w:p>
      <w:pPr>
        <w:tabs>
          <w:tab w:val="left" w:pos="4500"/>
        </w:tabs>
        <w:spacing w:line="360" w:lineRule="auto"/>
        <w:rPr>
          <w:color w:val="auto"/>
          <w:szCs w:val="21"/>
          <w:highlight w:val="none"/>
        </w:rPr>
      </w:pPr>
      <w:r>
        <w:rPr>
          <w:rFonts w:hint="eastAsia"/>
          <w:color w:val="auto"/>
          <w:szCs w:val="21"/>
          <w:highlight w:val="none"/>
        </w:rPr>
        <w:t>地址：                                                                 地址：</w:t>
      </w:r>
    </w:p>
    <w:p>
      <w:pPr>
        <w:spacing w:line="360" w:lineRule="auto"/>
        <w:rPr>
          <w:color w:val="auto"/>
          <w:szCs w:val="21"/>
          <w:highlight w:val="none"/>
        </w:rPr>
      </w:pPr>
      <w:r>
        <w:rPr>
          <w:rFonts w:hint="eastAsia"/>
          <w:color w:val="auto"/>
          <w:szCs w:val="21"/>
          <w:highlight w:val="none"/>
        </w:rPr>
        <w:t>邮政编码：                                                          邮政编码：</w:t>
      </w:r>
    </w:p>
    <w:p>
      <w:pPr>
        <w:spacing w:line="360" w:lineRule="auto"/>
        <w:rPr>
          <w:color w:val="auto"/>
          <w:szCs w:val="21"/>
          <w:highlight w:val="none"/>
        </w:rPr>
      </w:pPr>
      <w:r>
        <w:rPr>
          <w:rFonts w:hint="eastAsia"/>
          <w:color w:val="auto"/>
          <w:szCs w:val="21"/>
          <w:highlight w:val="none"/>
        </w:rPr>
        <w:t>电    话：                                                             电    话：</w:t>
      </w:r>
    </w:p>
    <w:p>
      <w:pPr>
        <w:spacing w:line="360" w:lineRule="auto"/>
        <w:rPr>
          <w:color w:val="auto"/>
          <w:szCs w:val="21"/>
          <w:highlight w:val="none"/>
          <w:u w:val="single"/>
        </w:rPr>
      </w:pPr>
      <w:r>
        <w:rPr>
          <w:rFonts w:hint="eastAsia"/>
          <w:color w:val="auto"/>
          <w:szCs w:val="21"/>
          <w:highlight w:val="none"/>
        </w:rPr>
        <w:t>传    真：                                                           传    真：</w:t>
      </w:r>
    </w:p>
    <w:p>
      <w:pPr>
        <w:spacing w:line="360" w:lineRule="auto"/>
        <w:ind w:left="5355" w:hanging="5355" w:hangingChars="2550"/>
        <w:rPr>
          <w:color w:val="auto"/>
          <w:spacing w:val="-6"/>
          <w:szCs w:val="21"/>
          <w:highlight w:val="none"/>
          <w:u w:val="single"/>
        </w:rPr>
      </w:pPr>
      <w:r>
        <w:rPr>
          <w:rFonts w:hint="eastAsia"/>
          <w:color w:val="auto"/>
          <w:szCs w:val="21"/>
          <w:highlight w:val="none"/>
        </w:rPr>
        <w:t>开户银行：                                                        开户银行：</w:t>
      </w:r>
    </w:p>
    <w:p>
      <w:pPr>
        <w:spacing w:line="360" w:lineRule="auto"/>
        <w:rPr>
          <w:color w:val="auto"/>
          <w:szCs w:val="21"/>
          <w:highlight w:val="none"/>
          <w:u w:val="single"/>
        </w:rPr>
      </w:pPr>
      <w:r>
        <w:rPr>
          <w:rFonts w:hint="eastAsia"/>
          <w:color w:val="auto"/>
          <w:szCs w:val="21"/>
          <w:highlight w:val="none"/>
        </w:rPr>
        <w:t>银行账号：                                                    银行账号：</w:t>
      </w:r>
    </w:p>
    <w:p>
      <w:pPr>
        <w:tabs>
          <w:tab w:val="left" w:pos="4680"/>
        </w:tabs>
        <w:spacing w:line="360" w:lineRule="auto"/>
        <w:rPr>
          <w:color w:val="auto"/>
          <w:szCs w:val="21"/>
          <w:highlight w:val="none"/>
        </w:rPr>
      </w:pPr>
      <w:r>
        <w:rPr>
          <w:rFonts w:hint="eastAsia"/>
          <w:color w:val="auto"/>
          <w:szCs w:val="21"/>
          <w:highlight w:val="none"/>
        </w:rPr>
        <w:t>丙方：</w:t>
      </w:r>
      <w:r>
        <w:rPr>
          <w:rFonts w:hint="eastAsia"/>
          <w:color w:val="auto"/>
          <w:szCs w:val="21"/>
          <w:highlight w:val="none"/>
          <w:u w:val="single"/>
        </w:rPr>
        <w:t>绍兴市妇幼保健院</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rPr>
      </w:pPr>
      <w:r>
        <w:rPr>
          <w:rFonts w:hint="eastAsia"/>
          <w:color w:val="auto"/>
          <w:szCs w:val="21"/>
          <w:highlight w:val="none"/>
        </w:rPr>
        <w:t>传    真：0575-88269882</w:t>
      </w:r>
    </w:p>
    <w:p>
      <w:pPr>
        <w:tabs>
          <w:tab w:val="left" w:pos="4680"/>
        </w:tabs>
        <w:spacing w:line="360" w:lineRule="auto"/>
        <w:rPr>
          <w:color w:val="auto"/>
          <w:szCs w:val="21"/>
          <w:highlight w:val="none"/>
        </w:rPr>
      </w:pPr>
      <w:r>
        <w:rPr>
          <w:rFonts w:hint="eastAsia"/>
          <w:color w:val="auto"/>
          <w:szCs w:val="21"/>
          <w:highlight w:val="none"/>
        </w:rPr>
        <w:t>丁方：</w:t>
      </w:r>
      <w:r>
        <w:rPr>
          <w:rFonts w:hint="eastAsia"/>
          <w:color w:val="auto"/>
          <w:szCs w:val="21"/>
          <w:highlight w:val="none"/>
          <w:u w:val="single"/>
        </w:rPr>
        <w:t xml:space="preserve">绍兴市交通建设有限公司    </w:t>
      </w:r>
    </w:p>
    <w:p>
      <w:pPr>
        <w:spacing w:line="360" w:lineRule="auto"/>
        <w:rPr>
          <w:color w:val="auto"/>
          <w:szCs w:val="21"/>
          <w:highlight w:val="none"/>
          <w:u w:val="single"/>
        </w:rPr>
      </w:pPr>
      <w:r>
        <w:rPr>
          <w:rFonts w:hint="eastAsia"/>
          <w:color w:val="auto"/>
          <w:szCs w:val="21"/>
          <w:highlight w:val="none"/>
          <w:u w:val="single"/>
        </w:rPr>
        <w:t xml:space="preserve">             （盖章）               </w:t>
      </w:r>
    </w:p>
    <w:p>
      <w:pPr>
        <w:tabs>
          <w:tab w:val="left" w:pos="4140"/>
        </w:tabs>
        <w:spacing w:line="360" w:lineRule="auto"/>
        <w:rPr>
          <w:color w:val="auto"/>
          <w:szCs w:val="21"/>
          <w:highlight w:val="none"/>
        </w:rPr>
      </w:pPr>
      <w:r>
        <w:rPr>
          <w:rFonts w:hint="eastAsia"/>
          <w:color w:val="auto"/>
          <w:szCs w:val="21"/>
          <w:highlight w:val="none"/>
        </w:rPr>
        <w:t xml:space="preserve">法定代表人或   </w:t>
      </w:r>
    </w:p>
    <w:p>
      <w:pPr>
        <w:tabs>
          <w:tab w:val="left" w:pos="4140"/>
        </w:tabs>
        <w:spacing w:line="360" w:lineRule="auto"/>
        <w:rPr>
          <w:color w:val="auto"/>
          <w:szCs w:val="21"/>
          <w:highlight w:val="none"/>
        </w:rPr>
      </w:pPr>
      <w:r>
        <w:rPr>
          <w:rFonts w:hint="eastAsia"/>
          <w:color w:val="auto"/>
          <w:szCs w:val="21"/>
          <w:highlight w:val="none"/>
        </w:rPr>
        <w:t>其委托代理人：</w:t>
      </w:r>
      <w:r>
        <w:rPr>
          <w:rFonts w:hint="eastAsia"/>
          <w:color w:val="auto"/>
          <w:szCs w:val="21"/>
          <w:highlight w:val="none"/>
          <w:u w:val="single"/>
        </w:rPr>
        <w:t xml:space="preserve">       （签字）       </w:t>
      </w:r>
    </w:p>
    <w:p>
      <w:pPr>
        <w:spacing w:line="360" w:lineRule="auto"/>
        <w:rPr>
          <w:color w:val="auto"/>
          <w:szCs w:val="21"/>
          <w:highlight w:val="none"/>
        </w:rPr>
      </w:pPr>
      <w:r>
        <w:rPr>
          <w:rFonts w:hint="eastAsia"/>
          <w:color w:val="auto"/>
          <w:szCs w:val="21"/>
          <w:highlight w:val="none"/>
        </w:rPr>
        <w:t>地址：</w:t>
      </w:r>
    </w:p>
    <w:p>
      <w:pPr>
        <w:spacing w:line="360" w:lineRule="auto"/>
        <w:rPr>
          <w:color w:val="auto"/>
          <w:szCs w:val="21"/>
          <w:highlight w:val="none"/>
        </w:rPr>
      </w:pPr>
      <w:r>
        <w:rPr>
          <w:rFonts w:hint="eastAsia"/>
          <w:color w:val="auto"/>
          <w:szCs w:val="21"/>
          <w:highlight w:val="none"/>
        </w:rPr>
        <w:t>邮政编码：</w:t>
      </w:r>
      <w:r>
        <w:rPr>
          <w:rFonts w:hint="eastAsia"/>
          <w:color w:val="auto"/>
          <w:szCs w:val="21"/>
          <w:highlight w:val="none"/>
          <w:u w:val="single"/>
        </w:rPr>
        <w:t xml:space="preserve"> 312000        </w:t>
      </w:r>
    </w:p>
    <w:p>
      <w:pPr>
        <w:tabs>
          <w:tab w:val="left" w:pos="4500"/>
          <w:tab w:val="left" w:pos="4680"/>
        </w:tabs>
        <w:spacing w:line="360" w:lineRule="auto"/>
        <w:rPr>
          <w:color w:val="auto"/>
          <w:szCs w:val="21"/>
          <w:highlight w:val="none"/>
          <w:u w:val="single"/>
        </w:rPr>
      </w:pPr>
      <w:r>
        <w:rPr>
          <w:rFonts w:hint="eastAsia"/>
          <w:color w:val="auto"/>
          <w:szCs w:val="21"/>
          <w:highlight w:val="none"/>
        </w:rPr>
        <w:t>传    真：</w:t>
      </w:r>
    </w:p>
    <w:p>
      <w:pPr>
        <w:pStyle w:val="25"/>
        <w:ind w:firstLine="340"/>
        <w:rPr>
          <w:color w:val="auto"/>
          <w:highlight w:val="none"/>
        </w:rPr>
      </w:pPr>
    </w:p>
    <w:p>
      <w:pPr>
        <w:tabs>
          <w:tab w:val="left" w:pos="4500"/>
          <w:tab w:val="left" w:pos="4680"/>
        </w:tabs>
        <w:spacing w:line="360" w:lineRule="auto"/>
        <w:jc w:val="right"/>
        <w:rPr>
          <w:color w:val="auto"/>
          <w:szCs w:val="21"/>
          <w:highlight w:val="none"/>
        </w:rPr>
      </w:pPr>
      <w:r>
        <w:rPr>
          <w:rFonts w:hint="eastAsia"/>
          <w:color w:val="auto"/>
          <w:szCs w:val="21"/>
          <w:highlight w:val="none"/>
        </w:rPr>
        <w:t>签订日期：   年  月  日</w:t>
      </w:r>
    </w:p>
    <w:p>
      <w:pPr>
        <w:spacing w:line="360" w:lineRule="auto"/>
        <w:ind w:firstLine="210"/>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rPr>
          <w:color w:val="auto"/>
          <w:szCs w:val="21"/>
          <w:highlight w:val="none"/>
          <w:u w:val="single"/>
        </w:rPr>
      </w:pPr>
    </w:p>
    <w:p>
      <w:pPr>
        <w:pStyle w:val="25"/>
        <w:ind w:firstLine="210"/>
        <w:rPr>
          <w:color w:val="auto"/>
          <w:sz w:val="21"/>
          <w:szCs w:val="21"/>
          <w:highlight w:val="none"/>
          <w:u w:val="single"/>
        </w:rPr>
      </w:pPr>
    </w:p>
    <w:p>
      <w:pPr>
        <w:rPr>
          <w:color w:val="auto"/>
          <w:szCs w:val="21"/>
          <w:highlight w:val="none"/>
          <w:u w:val="single"/>
        </w:rPr>
      </w:pPr>
    </w:p>
    <w:p>
      <w:pPr>
        <w:pStyle w:val="25"/>
        <w:ind w:firstLine="210"/>
        <w:rPr>
          <w:color w:val="auto"/>
          <w:sz w:val="21"/>
          <w:szCs w:val="21"/>
          <w:highlight w:val="none"/>
          <w:u w:val="single"/>
        </w:rPr>
      </w:pPr>
    </w:p>
    <w:p>
      <w:pPr>
        <w:rPr>
          <w:color w:val="auto"/>
          <w:szCs w:val="21"/>
          <w:highlight w:val="none"/>
          <w:u w:val="single"/>
        </w:rPr>
      </w:pPr>
    </w:p>
    <w:p>
      <w:pPr>
        <w:pStyle w:val="25"/>
        <w:ind w:firstLine="210"/>
        <w:rPr>
          <w:color w:val="auto"/>
          <w:sz w:val="21"/>
          <w:szCs w:val="21"/>
          <w:highlight w:val="none"/>
          <w:u w:val="single"/>
        </w:rPr>
      </w:pPr>
    </w:p>
    <w:p>
      <w:pPr>
        <w:rPr>
          <w:color w:val="auto"/>
          <w:szCs w:val="21"/>
          <w:highlight w:val="none"/>
          <w:u w:val="single"/>
        </w:rPr>
      </w:pPr>
    </w:p>
    <w:p>
      <w:pPr>
        <w:pStyle w:val="25"/>
        <w:ind w:firstLine="340"/>
        <w:rPr>
          <w:color w:val="auto"/>
          <w:highlight w:val="none"/>
        </w:rPr>
      </w:pPr>
    </w:p>
    <w:p>
      <w:pPr>
        <w:spacing w:line="360" w:lineRule="auto"/>
        <w:rPr>
          <w:color w:val="auto"/>
          <w:szCs w:val="21"/>
          <w:highlight w:val="none"/>
          <w:u w:val="single"/>
        </w:rPr>
      </w:pPr>
    </w:p>
    <w:p>
      <w:pPr>
        <w:pStyle w:val="25"/>
        <w:spacing w:line="360" w:lineRule="auto"/>
        <w:ind w:firstLine="210"/>
        <w:rPr>
          <w:color w:val="auto"/>
          <w:sz w:val="21"/>
          <w:szCs w:val="21"/>
          <w:highlight w:val="none"/>
          <w:u w:val="single"/>
        </w:rPr>
      </w:pPr>
    </w:p>
    <w:p>
      <w:pPr>
        <w:spacing w:line="360" w:lineRule="auto"/>
        <w:rPr>
          <w:color w:val="auto"/>
          <w:szCs w:val="21"/>
          <w:highlight w:val="none"/>
          <w:u w:val="single"/>
        </w:rPr>
      </w:pPr>
    </w:p>
    <w:p>
      <w:pPr>
        <w:spacing w:line="360" w:lineRule="auto"/>
        <w:jc w:val="center"/>
        <w:rPr>
          <w:b/>
          <w:color w:val="auto"/>
          <w:szCs w:val="21"/>
          <w:highlight w:val="none"/>
        </w:rPr>
      </w:pPr>
      <w:bookmarkStart w:id="426" w:name="_Toc406074421"/>
      <w:bookmarkStart w:id="427" w:name="_Toc297017782"/>
      <w:r>
        <w:rPr>
          <w:rFonts w:hint="eastAsia"/>
          <w:b/>
          <w:color w:val="auto"/>
          <w:szCs w:val="21"/>
          <w:highlight w:val="none"/>
        </w:rPr>
        <w:t>二、合同一般条款</w:t>
      </w:r>
      <w:bookmarkEnd w:id="426"/>
      <w:bookmarkEnd w:id="427"/>
    </w:p>
    <w:p>
      <w:pPr>
        <w:spacing w:line="360" w:lineRule="auto"/>
        <w:rPr>
          <w:b/>
          <w:color w:val="auto"/>
          <w:szCs w:val="21"/>
          <w:highlight w:val="none"/>
        </w:rPr>
      </w:pPr>
    </w:p>
    <w:p>
      <w:pPr>
        <w:spacing w:line="360" w:lineRule="auto"/>
        <w:ind w:firstLine="420" w:firstLineChars="200"/>
        <w:outlineLvl w:val="0"/>
        <w:rPr>
          <w:color w:val="auto"/>
          <w:szCs w:val="21"/>
          <w:highlight w:val="none"/>
        </w:rPr>
      </w:pPr>
      <w:r>
        <w:rPr>
          <w:rFonts w:hint="eastAsia"/>
          <w:color w:val="auto"/>
          <w:szCs w:val="21"/>
          <w:highlight w:val="none"/>
        </w:rPr>
        <w:t>1、合同产品的名称、技术规范和数量应与中标通知书、招标文件及被甲方及丙方接受的规格性能偏离表相一致。</w:t>
      </w:r>
    </w:p>
    <w:p>
      <w:pPr>
        <w:spacing w:line="360" w:lineRule="auto"/>
        <w:ind w:firstLine="420" w:firstLineChars="200"/>
        <w:outlineLvl w:val="0"/>
        <w:rPr>
          <w:color w:val="auto"/>
          <w:szCs w:val="21"/>
          <w:highlight w:val="none"/>
        </w:rPr>
      </w:pPr>
      <w:bookmarkStart w:id="428" w:name="_Toc28660"/>
      <w:r>
        <w:rPr>
          <w:rFonts w:hint="eastAsia"/>
          <w:color w:val="auto"/>
          <w:szCs w:val="21"/>
          <w:highlight w:val="none"/>
        </w:rPr>
        <w:t>2、产品的质量、技术标准</w:t>
      </w:r>
      <w:bookmarkEnd w:id="428"/>
    </w:p>
    <w:p>
      <w:pPr>
        <w:spacing w:line="360" w:lineRule="auto"/>
        <w:ind w:firstLine="420" w:firstLineChars="200"/>
        <w:rPr>
          <w:color w:val="auto"/>
          <w:szCs w:val="21"/>
          <w:highlight w:val="none"/>
        </w:rPr>
      </w:pPr>
      <w:r>
        <w:rPr>
          <w:rFonts w:hint="eastAsia"/>
          <w:color w:val="auto"/>
          <w:szCs w:val="21"/>
          <w:highlight w:val="none"/>
        </w:rPr>
        <w:t>合同产品的质量、技术标准如在招投标文件中无相应说明，则按国家有关部门颁布的最新的国家或专业（部）标准执行及相应的国际标准执行。</w:t>
      </w:r>
    </w:p>
    <w:p>
      <w:pPr>
        <w:spacing w:line="360" w:lineRule="auto"/>
        <w:ind w:firstLine="420" w:firstLineChars="200"/>
        <w:outlineLvl w:val="0"/>
        <w:rPr>
          <w:color w:val="auto"/>
          <w:szCs w:val="21"/>
          <w:highlight w:val="none"/>
        </w:rPr>
      </w:pPr>
      <w:r>
        <w:rPr>
          <w:rFonts w:hint="eastAsia"/>
          <w:color w:val="auto"/>
          <w:szCs w:val="21"/>
          <w:highlight w:val="none"/>
        </w:rPr>
        <w:t>3、质量保证</w:t>
      </w:r>
    </w:p>
    <w:p>
      <w:pPr>
        <w:spacing w:line="360" w:lineRule="auto"/>
        <w:ind w:firstLine="420" w:firstLineChars="200"/>
        <w:rPr>
          <w:color w:val="auto"/>
          <w:szCs w:val="21"/>
          <w:highlight w:val="none"/>
        </w:rPr>
      </w:pPr>
      <w:r>
        <w:rPr>
          <w:rFonts w:hint="eastAsia"/>
          <w:color w:val="auto"/>
          <w:szCs w:val="21"/>
          <w:highlight w:val="none"/>
        </w:rPr>
        <w:t>3.1乙方保证所提供的设备是全新的、未使用过的。</w:t>
      </w:r>
    </w:p>
    <w:p>
      <w:pPr>
        <w:spacing w:line="360" w:lineRule="auto"/>
        <w:ind w:firstLine="420" w:firstLineChars="200"/>
        <w:rPr>
          <w:color w:val="auto"/>
          <w:szCs w:val="21"/>
          <w:highlight w:val="none"/>
        </w:rPr>
      </w:pPr>
      <w:r>
        <w:rPr>
          <w:rFonts w:hint="eastAsia"/>
          <w:color w:val="auto"/>
          <w:szCs w:val="21"/>
          <w:highlight w:val="none"/>
        </w:rPr>
        <w:t>3.2乙方保证采用先进的技术、优质的材料和零部件、一流的工艺、严格的质量管理为甲方及丙方提供技术先进、质量上乘、外表美观并完全符合合同规定的质量、规格、性能要求的产品。</w:t>
      </w:r>
    </w:p>
    <w:p>
      <w:pPr>
        <w:spacing w:line="360" w:lineRule="auto"/>
        <w:ind w:firstLine="420" w:firstLineChars="200"/>
        <w:rPr>
          <w:color w:val="auto"/>
          <w:szCs w:val="21"/>
          <w:highlight w:val="none"/>
        </w:rPr>
      </w:pPr>
      <w:r>
        <w:rPr>
          <w:rFonts w:hint="eastAsia"/>
          <w:color w:val="auto"/>
          <w:szCs w:val="21"/>
          <w:highlight w:val="none"/>
        </w:rPr>
        <w:t>3.3乙方保证按ISO9000系列标准或相应的质量管理和质量保证体系，对所供设备的设计、采购、制造、检验、涂装、包装、安装、调试等各个环节进行严格的质量管理和质量控制。</w:t>
      </w:r>
    </w:p>
    <w:p>
      <w:pPr>
        <w:spacing w:line="360" w:lineRule="auto"/>
        <w:ind w:firstLine="420" w:firstLineChars="200"/>
        <w:rPr>
          <w:color w:val="auto"/>
          <w:szCs w:val="21"/>
          <w:highlight w:val="none"/>
        </w:rPr>
      </w:pPr>
      <w:r>
        <w:rPr>
          <w:rFonts w:hint="eastAsia"/>
          <w:color w:val="auto"/>
          <w:szCs w:val="21"/>
          <w:highlight w:val="none"/>
        </w:rPr>
        <w:t>3.4乙方保证所提供的设备在正确安装、正常使用和维护保养的情况下，具有使甲方及丙方满意的使用性能和使用寿命。</w:t>
      </w:r>
    </w:p>
    <w:p>
      <w:pPr>
        <w:spacing w:line="360" w:lineRule="auto"/>
        <w:ind w:firstLine="420" w:firstLineChars="200"/>
        <w:outlineLvl w:val="0"/>
        <w:rPr>
          <w:color w:val="auto"/>
          <w:szCs w:val="21"/>
          <w:highlight w:val="none"/>
        </w:rPr>
      </w:pPr>
      <w:bookmarkStart w:id="429" w:name="_Toc23533"/>
      <w:r>
        <w:rPr>
          <w:rFonts w:hint="eastAsia"/>
          <w:color w:val="auto"/>
          <w:szCs w:val="21"/>
          <w:highlight w:val="none"/>
        </w:rPr>
        <w:t>4、质量保证期</w:t>
      </w:r>
      <w:bookmarkEnd w:id="429"/>
    </w:p>
    <w:p>
      <w:pPr>
        <w:spacing w:line="360" w:lineRule="auto"/>
        <w:ind w:firstLine="420" w:firstLineChars="200"/>
        <w:rPr>
          <w:color w:val="auto"/>
          <w:szCs w:val="21"/>
          <w:highlight w:val="none"/>
        </w:rPr>
      </w:pPr>
      <w:r>
        <w:rPr>
          <w:rFonts w:hint="eastAsia"/>
          <w:color w:val="auto"/>
          <w:szCs w:val="21"/>
          <w:highlight w:val="none"/>
        </w:rPr>
        <w:t xml:space="preserve">产品的质量保证期为使用人使用产品之日起至少 </w:t>
      </w:r>
      <w:r>
        <w:rPr>
          <w:rFonts w:hint="eastAsia"/>
          <w:color w:val="auto"/>
          <w:szCs w:val="21"/>
          <w:highlight w:val="none"/>
          <w:u w:val="single"/>
        </w:rPr>
        <w:t xml:space="preserve"> 24 </w:t>
      </w:r>
      <w:r>
        <w:rPr>
          <w:rFonts w:hint="eastAsia"/>
          <w:bCs/>
          <w:color w:val="auto"/>
          <w:szCs w:val="21"/>
          <w:highlight w:val="none"/>
        </w:rPr>
        <w:t>个月</w:t>
      </w:r>
      <w:r>
        <w:rPr>
          <w:rFonts w:hint="eastAsia"/>
          <w:color w:val="auto"/>
          <w:szCs w:val="21"/>
          <w:highlight w:val="none"/>
        </w:rPr>
        <w:t>。在产品质量保证期之内，乙方对由于产品设计、工艺、材料、配套件的缺陷而造成的任何产品质量问题或故障，均承担免费提供同类产品的责任。</w:t>
      </w:r>
    </w:p>
    <w:p>
      <w:pPr>
        <w:spacing w:line="360" w:lineRule="auto"/>
        <w:ind w:firstLine="210"/>
        <w:outlineLvl w:val="0"/>
        <w:rPr>
          <w:color w:val="auto"/>
          <w:szCs w:val="21"/>
          <w:highlight w:val="none"/>
        </w:rPr>
      </w:pPr>
      <w:bookmarkStart w:id="430" w:name="_Toc4104"/>
      <w:r>
        <w:rPr>
          <w:rFonts w:hint="eastAsia"/>
          <w:color w:val="auto"/>
          <w:szCs w:val="21"/>
          <w:highlight w:val="none"/>
        </w:rPr>
        <w:t>5、合同修改</w:t>
      </w:r>
      <w:bookmarkEnd w:id="430"/>
    </w:p>
    <w:p>
      <w:pPr>
        <w:spacing w:line="360" w:lineRule="auto"/>
        <w:ind w:firstLine="420" w:firstLineChars="200"/>
        <w:rPr>
          <w:color w:val="auto"/>
          <w:szCs w:val="21"/>
          <w:highlight w:val="none"/>
        </w:rPr>
      </w:pPr>
      <w:r>
        <w:rPr>
          <w:rFonts w:hint="eastAsia"/>
          <w:color w:val="auto"/>
          <w:szCs w:val="21"/>
          <w:highlight w:val="none"/>
        </w:rPr>
        <w:t>5.1甲乙丙丁的任何一方对合同内容提出修改，均应以书面形式通知其他方，并达成由四方签署的合同修改书。</w:t>
      </w:r>
    </w:p>
    <w:p>
      <w:pPr>
        <w:spacing w:line="360" w:lineRule="auto"/>
        <w:ind w:firstLine="420" w:firstLineChars="200"/>
        <w:rPr>
          <w:color w:val="auto"/>
          <w:szCs w:val="21"/>
          <w:highlight w:val="none"/>
        </w:rPr>
      </w:pPr>
      <w:r>
        <w:rPr>
          <w:rFonts w:hint="eastAsia"/>
          <w:color w:val="auto"/>
          <w:szCs w:val="21"/>
          <w:highlight w:val="none"/>
        </w:rPr>
        <w:t>5.2除非甲方及丙方对设备的型号、规格和涉及价格因素的技术参数和配套件提出修改，乙方不得对合同价格提出修改要求。</w:t>
      </w:r>
    </w:p>
    <w:p>
      <w:pPr>
        <w:spacing w:line="360" w:lineRule="auto"/>
        <w:ind w:firstLine="315" w:firstLineChars="150"/>
        <w:outlineLvl w:val="0"/>
        <w:rPr>
          <w:color w:val="auto"/>
          <w:szCs w:val="21"/>
          <w:highlight w:val="none"/>
        </w:rPr>
      </w:pPr>
      <w:bookmarkStart w:id="431" w:name="_Toc21842"/>
      <w:r>
        <w:rPr>
          <w:rFonts w:hint="eastAsia"/>
          <w:color w:val="auto"/>
          <w:szCs w:val="21"/>
          <w:highlight w:val="none"/>
        </w:rPr>
        <w:t>6、违约责任</w:t>
      </w:r>
      <w:bookmarkEnd w:id="431"/>
    </w:p>
    <w:p>
      <w:pPr>
        <w:spacing w:line="360" w:lineRule="auto"/>
        <w:ind w:firstLine="210"/>
        <w:rPr>
          <w:color w:val="auto"/>
          <w:szCs w:val="21"/>
          <w:highlight w:val="none"/>
        </w:rPr>
      </w:pPr>
      <w:r>
        <w:rPr>
          <w:rFonts w:hint="eastAsia"/>
          <w:color w:val="auto"/>
          <w:szCs w:val="21"/>
          <w:highlight w:val="none"/>
        </w:rPr>
        <w:t xml:space="preserve">    6.1产品质量责任</w:t>
      </w:r>
    </w:p>
    <w:p>
      <w:pPr>
        <w:spacing w:line="360" w:lineRule="auto"/>
        <w:ind w:firstLine="420" w:firstLineChars="200"/>
        <w:rPr>
          <w:color w:val="auto"/>
          <w:szCs w:val="21"/>
          <w:highlight w:val="none"/>
        </w:rPr>
      </w:pPr>
      <w:r>
        <w:rPr>
          <w:rFonts w:hint="eastAsia"/>
          <w:color w:val="auto"/>
          <w:szCs w:val="21"/>
          <w:highlight w:val="none"/>
        </w:rPr>
        <w:t>1）在产品质量保证期内，凡设备在开箱检验、安装调试、设备试运转过程中发现的设备质量问题，由乙方负责处理，实行包换、包退，直至产品符合质量要求并承担相应的违约责任，或在甲方及丙、丁方同意的前提下，降价处理。乙方承担调换、退货发生的一切费用和丙方的</w:t>
      </w:r>
      <w:r>
        <w:rPr>
          <w:rFonts w:hint="eastAsia" w:ascii="宋体" w:hAnsi="宋体" w:cs="宋体"/>
          <w:color w:val="auto"/>
          <w:szCs w:val="21"/>
          <w:highlight w:val="none"/>
          <w:lang w:val="en-US" w:eastAsia="zh-CN"/>
        </w:rPr>
        <w:t>全部</w:t>
      </w:r>
      <w:r>
        <w:rPr>
          <w:rFonts w:hint="eastAsia"/>
          <w:color w:val="auto"/>
          <w:szCs w:val="21"/>
          <w:highlight w:val="none"/>
        </w:rPr>
        <w:t>经济损失。</w:t>
      </w:r>
    </w:p>
    <w:p>
      <w:pPr>
        <w:spacing w:line="360" w:lineRule="auto"/>
        <w:ind w:firstLine="420" w:firstLineChars="200"/>
        <w:rPr>
          <w:color w:val="auto"/>
          <w:szCs w:val="21"/>
          <w:highlight w:val="none"/>
        </w:rPr>
      </w:pPr>
      <w:r>
        <w:rPr>
          <w:rFonts w:hint="eastAsia"/>
          <w:color w:val="auto"/>
          <w:szCs w:val="21"/>
          <w:highlight w:val="none"/>
        </w:rPr>
        <w:t>2）乙方在接到甲方及</w:t>
      </w:r>
      <w:r>
        <w:rPr>
          <w:rFonts w:hint="eastAsia" w:ascii="宋体" w:hAnsi="宋体" w:cs="宋体"/>
          <w:color w:val="auto"/>
          <w:szCs w:val="21"/>
          <w:highlight w:val="none"/>
        </w:rPr>
        <w:t>/或</w:t>
      </w:r>
      <w:r>
        <w:rPr>
          <w:rFonts w:hint="eastAsia"/>
          <w:color w:val="auto"/>
          <w:szCs w:val="21"/>
          <w:highlight w:val="none"/>
        </w:rPr>
        <w:t>丙方通知后，2小时内派人赴现场处理设备质量问题。质保期内乙方须安排专业维保人员驻场，驻场人员数量及资质须满足甲方及</w:t>
      </w:r>
      <w:r>
        <w:rPr>
          <w:rFonts w:hint="eastAsia" w:ascii="宋体" w:hAnsi="宋体" w:cs="宋体"/>
          <w:color w:val="auto"/>
          <w:szCs w:val="21"/>
          <w:highlight w:val="none"/>
        </w:rPr>
        <w:t>/或</w:t>
      </w:r>
      <w:r>
        <w:rPr>
          <w:rFonts w:hint="eastAsia"/>
          <w:color w:val="auto"/>
          <w:szCs w:val="21"/>
          <w:highlight w:val="none"/>
        </w:rPr>
        <w:t>丙、丁方需求并获得书面审批。</w:t>
      </w:r>
    </w:p>
    <w:p>
      <w:pPr>
        <w:spacing w:line="360" w:lineRule="auto"/>
        <w:ind w:firstLine="210"/>
        <w:rPr>
          <w:color w:val="auto"/>
          <w:szCs w:val="21"/>
          <w:highlight w:val="none"/>
        </w:rPr>
      </w:pPr>
      <w:r>
        <w:rPr>
          <w:rFonts w:hint="eastAsia"/>
          <w:color w:val="auto"/>
          <w:szCs w:val="21"/>
          <w:highlight w:val="none"/>
        </w:rPr>
        <w:t xml:space="preserve">  3）在产品质量保证期内，由于甲方及</w:t>
      </w:r>
      <w:r>
        <w:rPr>
          <w:rFonts w:hint="eastAsia" w:ascii="宋体" w:hAnsi="宋体" w:cs="宋体"/>
          <w:color w:val="auto"/>
          <w:szCs w:val="21"/>
          <w:highlight w:val="none"/>
        </w:rPr>
        <w:t>/或</w:t>
      </w:r>
      <w:r>
        <w:rPr>
          <w:rFonts w:hint="eastAsia"/>
          <w:color w:val="auto"/>
          <w:szCs w:val="21"/>
          <w:highlight w:val="none"/>
        </w:rPr>
        <w:t>丙方保管不善或使用不当造成设备短缺、故障或损坏，由甲方及</w:t>
      </w:r>
      <w:r>
        <w:rPr>
          <w:rFonts w:hint="eastAsia" w:ascii="宋体" w:hAnsi="宋体" w:cs="宋体"/>
          <w:color w:val="auto"/>
          <w:szCs w:val="21"/>
          <w:highlight w:val="none"/>
        </w:rPr>
        <w:t>/或</w:t>
      </w:r>
      <w:r>
        <w:rPr>
          <w:rFonts w:hint="eastAsia"/>
          <w:color w:val="auto"/>
          <w:szCs w:val="21"/>
          <w:highlight w:val="none"/>
        </w:rPr>
        <w:t xml:space="preserve">丙方负责。但乙方保证及时给予补齐或修复。   </w:t>
      </w:r>
    </w:p>
    <w:p>
      <w:pPr>
        <w:spacing w:line="360" w:lineRule="auto"/>
        <w:ind w:firstLine="210"/>
        <w:rPr>
          <w:color w:val="auto"/>
          <w:szCs w:val="21"/>
          <w:highlight w:val="none"/>
        </w:rPr>
      </w:pPr>
      <w:r>
        <w:rPr>
          <w:rFonts w:hint="eastAsia"/>
          <w:color w:val="auto"/>
          <w:szCs w:val="21"/>
          <w:highlight w:val="none"/>
        </w:rPr>
        <w:t xml:space="preserve">  6.2违约赔偿      </w:t>
      </w:r>
    </w:p>
    <w:p>
      <w:pPr>
        <w:spacing w:line="360" w:lineRule="auto"/>
        <w:ind w:firstLine="392" w:firstLineChars="187"/>
        <w:rPr>
          <w:color w:val="auto"/>
          <w:szCs w:val="21"/>
          <w:highlight w:val="none"/>
        </w:rPr>
      </w:pPr>
      <w:r>
        <w:rPr>
          <w:rFonts w:hint="eastAsia"/>
          <w:color w:val="auto"/>
          <w:szCs w:val="21"/>
          <w:highlight w:val="none"/>
        </w:rPr>
        <w:t>除不可抗拒力外，如乙方发生不能按期交货或提供服务；甲方及丙方发生中途退货等情况，应及时以书面形式通知对方，并按照合同专用条款承担违约或赔偿责任。</w:t>
      </w:r>
    </w:p>
    <w:p>
      <w:pPr>
        <w:spacing w:line="360" w:lineRule="auto"/>
        <w:ind w:firstLine="315" w:firstLineChars="150"/>
        <w:outlineLvl w:val="0"/>
        <w:rPr>
          <w:color w:val="auto"/>
          <w:szCs w:val="21"/>
          <w:highlight w:val="none"/>
        </w:rPr>
      </w:pPr>
      <w:r>
        <w:rPr>
          <w:rFonts w:hint="eastAsia"/>
          <w:color w:val="auto"/>
          <w:szCs w:val="21"/>
          <w:highlight w:val="none"/>
        </w:rPr>
        <w:t xml:space="preserve">7、争议处理    </w:t>
      </w:r>
    </w:p>
    <w:p>
      <w:pPr>
        <w:spacing w:line="360" w:lineRule="auto"/>
        <w:ind w:firstLine="210"/>
        <w:rPr>
          <w:color w:val="auto"/>
          <w:szCs w:val="21"/>
          <w:highlight w:val="none"/>
        </w:rPr>
      </w:pPr>
      <w:r>
        <w:rPr>
          <w:rFonts w:hint="eastAsia"/>
          <w:color w:val="auto"/>
          <w:szCs w:val="21"/>
          <w:highlight w:val="none"/>
        </w:rPr>
        <w:t xml:space="preserve">  7.1凡有关本合同或执行本合同中发生的争端，</w:t>
      </w:r>
      <w:r>
        <w:rPr>
          <w:rFonts w:hint="eastAsia" w:ascii="宋体" w:hAnsi="宋体" w:cs="宋体"/>
          <w:color w:val="auto"/>
          <w:szCs w:val="21"/>
          <w:highlight w:val="none"/>
          <w:lang w:val="en-US" w:eastAsia="zh-CN"/>
        </w:rPr>
        <w:t>各</w:t>
      </w:r>
      <w:r>
        <w:rPr>
          <w:rFonts w:hint="eastAsia"/>
          <w:color w:val="auto"/>
          <w:szCs w:val="21"/>
          <w:highlight w:val="none"/>
        </w:rPr>
        <w:t>方应通过友好协商，妥善解决。如通过协商仍不能解决时，可向</w:t>
      </w:r>
      <w:r>
        <w:rPr>
          <w:rFonts w:hint="eastAsia"/>
          <w:color w:val="auto"/>
          <w:szCs w:val="21"/>
          <w:highlight w:val="none"/>
          <w:lang w:eastAsia="zh-CN"/>
        </w:rPr>
        <w:t>项目所在地</w:t>
      </w:r>
      <w:r>
        <w:rPr>
          <w:rFonts w:hint="eastAsia" w:ascii="宋体" w:hAnsi="宋体" w:cs="宋体"/>
          <w:color w:val="auto"/>
          <w:szCs w:val="21"/>
          <w:highlight w:val="none"/>
          <w:lang w:val="en-US" w:eastAsia="zh-CN"/>
        </w:rPr>
        <w:t>人民</w:t>
      </w:r>
      <w:r>
        <w:rPr>
          <w:rFonts w:hint="eastAsia" w:ascii="宋体" w:hAnsi="宋体" w:cs="宋体"/>
          <w:color w:val="auto"/>
          <w:szCs w:val="21"/>
          <w:highlight w:val="none"/>
        </w:rPr>
        <w:t>法院申请调解或处理</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7.2</w:t>
      </w:r>
      <w:r>
        <w:rPr>
          <w:rFonts w:hint="eastAsia" w:ascii="宋体" w:hAnsi="宋体" w:cs="宋体"/>
          <w:color w:val="auto"/>
          <w:szCs w:val="21"/>
          <w:highlight w:val="none"/>
        </w:rPr>
        <w:t>争议费用除</w:t>
      </w:r>
      <w:r>
        <w:rPr>
          <w:rFonts w:hint="eastAsia" w:ascii="宋体" w:hAnsi="宋体" w:cs="宋体"/>
          <w:color w:val="auto"/>
          <w:szCs w:val="21"/>
          <w:highlight w:val="none"/>
          <w:lang w:val="en-US" w:eastAsia="zh-CN"/>
        </w:rPr>
        <w:t>裁决</w:t>
      </w:r>
      <w:r>
        <w:rPr>
          <w:rFonts w:hint="eastAsia" w:ascii="宋体" w:hAnsi="宋体" w:cs="宋体"/>
          <w:color w:val="auto"/>
          <w:szCs w:val="21"/>
          <w:highlight w:val="none"/>
        </w:rPr>
        <w:t>机构另有裁决外，由败诉方承担</w:t>
      </w:r>
      <w:r>
        <w:rPr>
          <w:rFonts w:hint="eastAsia"/>
          <w:color w:val="auto"/>
          <w:szCs w:val="21"/>
          <w:highlight w:val="none"/>
        </w:rPr>
        <w:t>。</w:t>
      </w:r>
    </w:p>
    <w:p>
      <w:pPr>
        <w:spacing w:line="360" w:lineRule="auto"/>
        <w:ind w:firstLine="210"/>
        <w:rPr>
          <w:color w:val="auto"/>
          <w:szCs w:val="21"/>
          <w:highlight w:val="none"/>
        </w:rPr>
      </w:pPr>
      <w:r>
        <w:rPr>
          <w:rFonts w:hint="eastAsia"/>
          <w:color w:val="auto"/>
          <w:szCs w:val="21"/>
          <w:highlight w:val="none"/>
        </w:rPr>
        <w:t xml:space="preserve">  7.3</w:t>
      </w:r>
      <w:r>
        <w:rPr>
          <w:rFonts w:hint="eastAsia" w:ascii="宋体" w:hAnsi="宋体" w:cs="宋体"/>
          <w:color w:val="auto"/>
          <w:szCs w:val="21"/>
          <w:highlight w:val="none"/>
        </w:rPr>
        <w:t>在</w:t>
      </w:r>
      <w:r>
        <w:rPr>
          <w:rFonts w:hint="eastAsia" w:ascii="宋体" w:hAnsi="宋体" w:cs="宋体"/>
          <w:color w:val="auto"/>
          <w:szCs w:val="21"/>
          <w:highlight w:val="none"/>
          <w:lang w:eastAsia="zh-CN"/>
        </w:rPr>
        <w:t>裁决</w:t>
      </w:r>
      <w:r>
        <w:rPr>
          <w:rFonts w:hint="eastAsia" w:ascii="宋体" w:hAnsi="宋体" w:cs="宋体"/>
          <w:color w:val="auto"/>
          <w:szCs w:val="21"/>
          <w:highlight w:val="none"/>
        </w:rPr>
        <w:t>期间</w:t>
      </w:r>
      <w:r>
        <w:rPr>
          <w:rFonts w:hint="eastAsia"/>
          <w:color w:val="auto"/>
          <w:szCs w:val="21"/>
          <w:highlight w:val="none"/>
        </w:rPr>
        <w:t>，除争议部分外，本合同其他部分应继续执行。</w:t>
      </w:r>
    </w:p>
    <w:p>
      <w:pPr>
        <w:spacing w:line="360" w:lineRule="auto"/>
        <w:ind w:firstLine="315" w:firstLineChars="150"/>
        <w:outlineLvl w:val="0"/>
        <w:rPr>
          <w:color w:val="auto"/>
          <w:szCs w:val="21"/>
          <w:highlight w:val="none"/>
        </w:rPr>
      </w:pPr>
      <w:r>
        <w:rPr>
          <w:rFonts w:hint="eastAsia"/>
          <w:color w:val="auto"/>
          <w:szCs w:val="21"/>
          <w:highlight w:val="none"/>
        </w:rPr>
        <w:t>8、合同生效及其他</w:t>
      </w:r>
    </w:p>
    <w:p>
      <w:pPr>
        <w:spacing w:line="360" w:lineRule="auto"/>
        <w:ind w:firstLine="210"/>
        <w:rPr>
          <w:color w:val="auto"/>
          <w:szCs w:val="21"/>
          <w:highlight w:val="none"/>
        </w:rPr>
      </w:pPr>
      <w:r>
        <w:rPr>
          <w:rFonts w:hint="eastAsia"/>
          <w:color w:val="auto"/>
          <w:szCs w:val="21"/>
          <w:highlight w:val="none"/>
        </w:rPr>
        <w:t xml:space="preserve">  8.1合同应在各方签字盖章后开始生效。</w:t>
      </w:r>
    </w:p>
    <w:p>
      <w:pPr>
        <w:spacing w:line="360" w:lineRule="auto"/>
        <w:ind w:firstLine="420" w:firstLineChars="200"/>
        <w:rPr>
          <w:color w:val="auto"/>
          <w:szCs w:val="21"/>
          <w:highlight w:val="none"/>
        </w:rPr>
      </w:pPr>
      <w:r>
        <w:rPr>
          <w:rFonts w:hint="eastAsia"/>
          <w:color w:val="auto"/>
          <w:szCs w:val="21"/>
          <w:highlight w:val="none"/>
        </w:rPr>
        <w:t>8.2本合同一式</w:t>
      </w:r>
      <w:r>
        <w:rPr>
          <w:color w:val="auto"/>
          <w:szCs w:val="21"/>
          <w:highlight w:val="none"/>
        </w:rPr>
        <w:t>16</w:t>
      </w:r>
      <w:r>
        <w:rPr>
          <w:rFonts w:hint="eastAsia"/>
          <w:color w:val="auto"/>
          <w:szCs w:val="21"/>
          <w:highlight w:val="none"/>
        </w:rPr>
        <w:t>份，正本</w:t>
      </w:r>
      <w:r>
        <w:rPr>
          <w:color w:val="auto"/>
          <w:szCs w:val="21"/>
          <w:highlight w:val="none"/>
        </w:rPr>
        <w:t>4</w:t>
      </w:r>
      <w:r>
        <w:rPr>
          <w:rFonts w:hint="eastAsia"/>
          <w:color w:val="auto"/>
          <w:szCs w:val="21"/>
          <w:highlight w:val="none"/>
        </w:rPr>
        <w:t>份（甲、乙、丙、丁方各1份），副本</w:t>
      </w:r>
      <w:r>
        <w:rPr>
          <w:color w:val="auto"/>
          <w:szCs w:val="21"/>
          <w:highlight w:val="none"/>
        </w:rPr>
        <w:t>12</w:t>
      </w:r>
      <w:r>
        <w:rPr>
          <w:rFonts w:hint="eastAsia"/>
          <w:color w:val="auto"/>
          <w:szCs w:val="21"/>
          <w:highlight w:val="none"/>
        </w:rPr>
        <w:t>份（甲、乙、丙、丁方各3份），同等生效。</w:t>
      </w:r>
    </w:p>
    <w:p>
      <w:pPr>
        <w:keepNext/>
        <w:keepLines/>
        <w:spacing w:before="360" w:beforeLines="150" w:after="120" w:afterLines="50" w:line="360" w:lineRule="auto"/>
        <w:jc w:val="center"/>
        <w:outlineLvl w:val="1"/>
        <w:rPr>
          <w:b/>
          <w:bCs/>
          <w:color w:val="auto"/>
          <w:szCs w:val="21"/>
          <w:highlight w:val="none"/>
        </w:rPr>
      </w:pPr>
      <w:r>
        <w:rPr>
          <w:rFonts w:hint="eastAsia"/>
          <w:b/>
          <w:bCs/>
          <w:color w:val="auto"/>
          <w:szCs w:val="21"/>
          <w:highlight w:val="none"/>
        </w:rPr>
        <w:br w:type="page"/>
      </w:r>
      <w:bookmarkStart w:id="432" w:name="_Toc297017783"/>
      <w:bookmarkStart w:id="433" w:name="_Toc17297"/>
      <w:bookmarkStart w:id="434" w:name="_Toc406074422"/>
      <w:r>
        <w:rPr>
          <w:rFonts w:hint="eastAsia"/>
          <w:b/>
          <w:bCs/>
          <w:color w:val="auto"/>
          <w:szCs w:val="21"/>
          <w:highlight w:val="none"/>
        </w:rPr>
        <w:t>三、合同专用条款</w:t>
      </w:r>
      <w:bookmarkEnd w:id="432"/>
      <w:bookmarkEnd w:id="433"/>
      <w:bookmarkEnd w:id="434"/>
    </w:p>
    <w:p>
      <w:pPr>
        <w:snapToGrid w:val="0"/>
        <w:spacing w:line="360" w:lineRule="auto"/>
        <w:ind w:firstLine="210"/>
        <w:rPr>
          <w:color w:val="auto"/>
          <w:szCs w:val="21"/>
          <w:highlight w:val="none"/>
        </w:rPr>
      </w:pPr>
      <w:r>
        <w:rPr>
          <w:rFonts w:hint="eastAsia"/>
          <w:color w:val="auto"/>
          <w:szCs w:val="21"/>
          <w:highlight w:val="none"/>
        </w:rPr>
        <w:t xml:space="preserve">   本合同专用条款是对合同一般条款的补充，两者之间如有抵触，以本专用条款为准。</w:t>
      </w:r>
    </w:p>
    <w:p>
      <w:pPr>
        <w:tabs>
          <w:tab w:val="left" w:pos="732"/>
        </w:tabs>
        <w:spacing w:line="360" w:lineRule="auto"/>
        <w:ind w:left="210" w:leftChars="100"/>
        <w:rPr>
          <w:color w:val="auto"/>
          <w:szCs w:val="21"/>
          <w:highlight w:val="none"/>
        </w:rPr>
      </w:pPr>
      <w:r>
        <w:rPr>
          <w:rFonts w:hint="eastAsia"/>
          <w:color w:val="auto"/>
          <w:szCs w:val="21"/>
          <w:highlight w:val="none"/>
        </w:rPr>
        <w:t xml:space="preserve">   1、合同交货期    </w:t>
      </w:r>
    </w:p>
    <w:p>
      <w:pPr>
        <w:snapToGrid w:val="0"/>
        <w:spacing w:line="360" w:lineRule="auto"/>
        <w:ind w:firstLine="630" w:firstLineChars="300"/>
        <w:rPr>
          <w:color w:val="auto"/>
          <w:szCs w:val="21"/>
          <w:highlight w:val="none"/>
        </w:rPr>
      </w:pPr>
      <w:r>
        <w:rPr>
          <w:rFonts w:hint="eastAsia"/>
          <w:color w:val="auto"/>
          <w:szCs w:val="21"/>
          <w:highlight w:val="none"/>
        </w:rPr>
        <w:t xml:space="preserve">总工期为 </w:t>
      </w:r>
      <w:r>
        <w:rPr>
          <w:rFonts w:hint="eastAsia"/>
          <w:color w:val="auto"/>
          <w:szCs w:val="21"/>
          <w:highlight w:val="none"/>
          <w:u w:val="single"/>
        </w:rPr>
        <w:t xml:space="preserve">210 </w:t>
      </w:r>
      <w:r>
        <w:rPr>
          <w:rFonts w:hint="eastAsia"/>
          <w:color w:val="auto"/>
          <w:szCs w:val="21"/>
          <w:highlight w:val="none"/>
        </w:rPr>
        <w:t xml:space="preserve"> 天。其中深化设计</w:t>
      </w:r>
      <w:r>
        <w:rPr>
          <w:rFonts w:hint="eastAsia"/>
          <w:color w:val="auto"/>
          <w:szCs w:val="21"/>
          <w:highlight w:val="none"/>
          <w:u w:val="single"/>
        </w:rPr>
        <w:t xml:space="preserve">  20 </w:t>
      </w:r>
      <w:r>
        <w:rPr>
          <w:rFonts w:hint="eastAsia"/>
          <w:color w:val="auto"/>
          <w:szCs w:val="21"/>
          <w:highlight w:val="none"/>
        </w:rPr>
        <w:t>天（深化</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 xml:space="preserve">设计图纸须经主体设计单位及监理、甲方及丙方、丁方书面审批通过后实施），制造、采购工期 </w:t>
      </w:r>
      <w:r>
        <w:rPr>
          <w:rFonts w:hint="eastAsia"/>
          <w:color w:val="auto"/>
          <w:szCs w:val="21"/>
          <w:highlight w:val="none"/>
          <w:u w:val="single"/>
        </w:rPr>
        <w:t xml:space="preserve"> 50 </w:t>
      </w:r>
      <w:r>
        <w:rPr>
          <w:rFonts w:hint="eastAsia"/>
          <w:color w:val="auto"/>
          <w:szCs w:val="21"/>
          <w:highlight w:val="none"/>
        </w:rPr>
        <w:t>天，现场安装、调试、交验</w:t>
      </w:r>
      <w:r>
        <w:rPr>
          <w:rFonts w:hint="eastAsia"/>
          <w:color w:val="auto"/>
          <w:szCs w:val="21"/>
          <w:highlight w:val="none"/>
          <w:u w:val="single"/>
        </w:rPr>
        <w:t xml:space="preserve">  140   </w:t>
      </w:r>
      <w:r>
        <w:rPr>
          <w:rFonts w:hint="eastAsia"/>
          <w:color w:val="auto"/>
          <w:szCs w:val="21"/>
          <w:highlight w:val="none"/>
        </w:rPr>
        <w:t>天；</w:t>
      </w:r>
      <w:r>
        <w:rPr>
          <w:rFonts w:hint="eastAsia" w:ascii="宋体" w:hAnsi="宋体" w:cs="宋体"/>
          <w:color w:val="auto"/>
          <w:szCs w:val="21"/>
          <w:highlight w:val="none"/>
          <w:lang w:val="en-US" w:eastAsia="zh-CN"/>
        </w:rPr>
        <w:t>自</w:t>
      </w:r>
      <w:r>
        <w:rPr>
          <w:rFonts w:hint="eastAsia"/>
          <w:color w:val="auto"/>
          <w:szCs w:val="21"/>
          <w:highlight w:val="none"/>
        </w:rPr>
        <w:t>甲方及丙、丁方发出书面排产通知日开始计算工期。</w:t>
      </w:r>
    </w:p>
    <w:p>
      <w:pPr>
        <w:snapToGrid w:val="0"/>
        <w:spacing w:line="360" w:lineRule="auto"/>
        <w:ind w:left="105" w:hanging="105" w:hangingChars="50"/>
        <w:rPr>
          <w:color w:val="auto"/>
          <w:szCs w:val="21"/>
          <w:highlight w:val="none"/>
        </w:rPr>
      </w:pPr>
      <w:r>
        <w:rPr>
          <w:rFonts w:hint="eastAsia"/>
          <w:color w:val="auto"/>
          <w:szCs w:val="21"/>
          <w:highlight w:val="none"/>
        </w:rPr>
        <w:t xml:space="preserve">     2、交货方式</w:t>
      </w:r>
      <w:r>
        <w:rPr>
          <w:rFonts w:hint="eastAsia"/>
          <w:color w:val="auto"/>
          <w:szCs w:val="21"/>
          <w:highlight w:val="none"/>
          <w:u w:val="single"/>
        </w:rPr>
        <w:t xml:space="preserve">  绍兴市妇幼保健院（绍兴儿童医院）  </w:t>
      </w:r>
      <w:r>
        <w:rPr>
          <w:rFonts w:hint="eastAsia"/>
          <w:color w:val="auto"/>
          <w:szCs w:val="21"/>
          <w:highlight w:val="none"/>
        </w:rPr>
        <w:t>项目现场交货。乙方将设备运抵工地现场并初验合格的日期为交货日期。甲方</w:t>
      </w:r>
      <w:r>
        <w:rPr>
          <w:rFonts w:hint="eastAsia" w:ascii="宋体" w:hAnsi="宋体" w:cs="宋体"/>
          <w:color w:val="auto"/>
          <w:szCs w:val="21"/>
          <w:highlight w:val="none"/>
        </w:rPr>
        <w:t>/</w:t>
      </w:r>
      <w:r>
        <w:rPr>
          <w:rFonts w:ascii="宋体" w:hAnsi="宋体" w:cs="宋体"/>
          <w:color w:val="auto"/>
          <w:szCs w:val="21"/>
          <w:highlight w:val="none"/>
        </w:rPr>
        <w:t>或</w:t>
      </w:r>
      <w:r>
        <w:rPr>
          <w:rFonts w:hint="eastAsia"/>
          <w:color w:val="auto"/>
          <w:szCs w:val="21"/>
          <w:highlight w:val="none"/>
        </w:rPr>
        <w:t>及丙、丁方可以要求乙方根据工程进度要求分批交货但不再额外增加其他费用。</w:t>
      </w:r>
    </w:p>
    <w:p>
      <w:pPr>
        <w:snapToGrid w:val="0"/>
        <w:spacing w:line="360" w:lineRule="auto"/>
        <w:ind w:firstLine="210"/>
        <w:rPr>
          <w:color w:val="auto"/>
          <w:szCs w:val="21"/>
          <w:highlight w:val="none"/>
        </w:rPr>
      </w:pPr>
      <w:r>
        <w:rPr>
          <w:rFonts w:hint="eastAsia"/>
          <w:color w:val="auto"/>
          <w:szCs w:val="21"/>
          <w:highlight w:val="none"/>
        </w:rPr>
        <w:t xml:space="preserve">   3、交货地点</w:t>
      </w:r>
    </w:p>
    <w:p>
      <w:pPr>
        <w:snapToGrid w:val="0"/>
        <w:spacing w:line="360" w:lineRule="auto"/>
        <w:ind w:firstLine="105" w:firstLineChars="50"/>
        <w:rPr>
          <w:color w:val="auto"/>
          <w:szCs w:val="21"/>
          <w:highlight w:val="none"/>
        </w:rPr>
      </w:pPr>
      <w:r>
        <w:rPr>
          <w:rFonts w:hint="eastAsia"/>
          <w:color w:val="auto"/>
          <w:szCs w:val="21"/>
          <w:highlight w:val="none"/>
          <w:u w:val="single"/>
        </w:rPr>
        <w:t xml:space="preserve">   绍兴市妇幼保健院（绍兴儿童医院）   </w:t>
      </w:r>
      <w:r>
        <w:rPr>
          <w:rFonts w:hint="eastAsia"/>
          <w:color w:val="auto"/>
          <w:szCs w:val="21"/>
          <w:highlight w:val="none"/>
        </w:rPr>
        <w:t>项目现场交货，并堆放至指定仓库。</w:t>
      </w:r>
    </w:p>
    <w:p>
      <w:pPr>
        <w:snapToGrid w:val="0"/>
        <w:spacing w:line="360" w:lineRule="auto"/>
        <w:ind w:firstLine="105" w:firstLineChars="50"/>
        <w:rPr>
          <w:color w:val="auto"/>
          <w:szCs w:val="21"/>
          <w:highlight w:val="none"/>
        </w:rPr>
      </w:pPr>
      <w:r>
        <w:rPr>
          <w:rFonts w:hint="eastAsia"/>
          <w:color w:val="auto"/>
          <w:szCs w:val="21"/>
          <w:highlight w:val="none"/>
        </w:rPr>
        <w:t xml:space="preserve">    4、接货通知</w:t>
      </w:r>
    </w:p>
    <w:p>
      <w:pPr>
        <w:snapToGrid w:val="0"/>
        <w:spacing w:line="360" w:lineRule="auto"/>
        <w:ind w:firstLine="210"/>
        <w:rPr>
          <w:b/>
          <w:bCs/>
          <w:color w:val="auto"/>
          <w:szCs w:val="21"/>
          <w:highlight w:val="none"/>
        </w:rPr>
      </w:pPr>
      <w:r>
        <w:rPr>
          <w:rFonts w:hint="eastAsia"/>
          <w:color w:val="auto"/>
          <w:szCs w:val="21"/>
          <w:highlight w:val="none"/>
        </w:rPr>
        <w:t xml:space="preserve">   乙方在设备发运前10天，需将准备发运的设备名称、规格、数量、包装箱件数、每件包装箱的尺码、毛重及对货物的卸车、贮存的特殊要求以传真的形式通知甲方及丙、丁方，以便接货。甲方及丙、丁方只协助乙方接货。缷货、清点、搬运、保管、安装调试、试运行等</w:t>
      </w:r>
      <w:r>
        <w:rPr>
          <w:rFonts w:hint="eastAsia" w:ascii="宋体" w:hAnsi="宋体" w:cs="宋体"/>
          <w:color w:val="auto"/>
          <w:szCs w:val="21"/>
          <w:highlight w:val="none"/>
        </w:rPr>
        <w:t>责任</w:t>
      </w:r>
      <w:r>
        <w:rPr>
          <w:rFonts w:hint="eastAsia"/>
          <w:color w:val="auto"/>
          <w:szCs w:val="21"/>
          <w:highlight w:val="none"/>
        </w:rPr>
        <w:t>均由乙方负责，并承担相应费用。</w:t>
      </w:r>
    </w:p>
    <w:p>
      <w:pPr>
        <w:snapToGrid w:val="0"/>
        <w:spacing w:line="360" w:lineRule="auto"/>
        <w:ind w:firstLine="210"/>
        <w:rPr>
          <w:color w:val="auto"/>
          <w:szCs w:val="21"/>
          <w:highlight w:val="none"/>
        </w:rPr>
      </w:pPr>
      <w:r>
        <w:rPr>
          <w:rFonts w:hint="eastAsia"/>
          <w:color w:val="auto"/>
          <w:szCs w:val="21"/>
          <w:highlight w:val="none"/>
        </w:rPr>
        <w:t xml:space="preserve">   5、运输及装卸保险</w:t>
      </w:r>
    </w:p>
    <w:p>
      <w:pPr>
        <w:snapToGrid w:val="0"/>
        <w:spacing w:line="360" w:lineRule="auto"/>
        <w:ind w:firstLine="210"/>
        <w:rPr>
          <w:color w:val="auto"/>
          <w:szCs w:val="21"/>
          <w:highlight w:val="none"/>
        </w:rPr>
      </w:pPr>
      <w:r>
        <w:rPr>
          <w:rFonts w:hint="eastAsia"/>
          <w:color w:val="auto"/>
          <w:szCs w:val="21"/>
          <w:highlight w:val="none"/>
        </w:rPr>
        <w:t xml:space="preserve">   5.1货物在装运前由乙方投保，一旦货物在装卸、运输过程中发生损坏或短缺，由乙方负责索赔。</w:t>
      </w:r>
    </w:p>
    <w:p>
      <w:pPr>
        <w:snapToGrid w:val="0"/>
        <w:spacing w:line="360" w:lineRule="auto"/>
        <w:ind w:firstLine="210"/>
        <w:rPr>
          <w:color w:val="auto"/>
          <w:szCs w:val="21"/>
          <w:highlight w:val="none"/>
        </w:rPr>
      </w:pPr>
      <w:r>
        <w:rPr>
          <w:rFonts w:hint="eastAsia"/>
          <w:color w:val="auto"/>
          <w:szCs w:val="21"/>
          <w:highlight w:val="none"/>
        </w:rPr>
        <w:t xml:space="preserve">   5.2乙方保证在确认货物因装卸、运输中发生损坏或短缺后，尽快给予调换、修复和补齐缺件，不管其造成的原因如何，也不以办理索赔为由而拖延。</w:t>
      </w:r>
    </w:p>
    <w:p>
      <w:pPr>
        <w:spacing w:line="360" w:lineRule="auto"/>
        <w:ind w:firstLine="210"/>
        <w:rPr>
          <w:color w:val="auto"/>
          <w:szCs w:val="21"/>
          <w:highlight w:val="none"/>
        </w:rPr>
      </w:pPr>
      <w:r>
        <w:rPr>
          <w:rFonts w:hint="eastAsia"/>
          <w:color w:val="auto"/>
          <w:szCs w:val="21"/>
          <w:highlight w:val="none"/>
        </w:rPr>
        <w:t xml:space="preserve">   5.3乙方工作人员及设备进场时，应遵守交货现场环境卫生管理、安全管理的有关规定，配备相应的环境保护及安全措施。承担因自身原因违反有关规定而导致的所有责任。</w:t>
      </w:r>
    </w:p>
    <w:p>
      <w:pPr>
        <w:keepNext/>
        <w:keepLines/>
        <w:adjustRightInd w:val="0"/>
        <w:snapToGrid w:val="0"/>
        <w:spacing w:line="360" w:lineRule="auto"/>
        <w:ind w:firstLine="210"/>
        <w:outlineLvl w:val="2"/>
        <w:rPr>
          <w:color w:val="auto"/>
          <w:szCs w:val="21"/>
          <w:highlight w:val="none"/>
        </w:rPr>
      </w:pPr>
      <w:bookmarkStart w:id="435" w:name="_Toc21937"/>
      <w:r>
        <w:rPr>
          <w:rFonts w:hint="eastAsia"/>
          <w:bCs/>
          <w:color w:val="auto"/>
          <w:szCs w:val="21"/>
          <w:highlight w:val="none"/>
        </w:rPr>
        <w:t>6、</w:t>
      </w:r>
      <w:r>
        <w:rPr>
          <w:rFonts w:hint="eastAsia"/>
          <w:color w:val="auto"/>
          <w:szCs w:val="21"/>
          <w:highlight w:val="none"/>
        </w:rPr>
        <w:t>付款方式</w:t>
      </w:r>
      <w:bookmarkEnd w:id="435"/>
    </w:p>
    <w:p>
      <w:pPr>
        <w:pStyle w:val="60"/>
        <w:adjustRightInd w:val="0"/>
        <w:snapToGrid w:val="0"/>
        <w:spacing w:before="0"/>
        <w:ind w:firstLine="420"/>
        <w:rPr>
          <w:color w:val="auto"/>
          <w:sz w:val="21"/>
          <w:szCs w:val="21"/>
          <w:highlight w:val="none"/>
        </w:rPr>
      </w:pPr>
      <w:r>
        <w:rPr>
          <w:rFonts w:hint="eastAsia"/>
          <w:color w:val="auto"/>
          <w:sz w:val="21"/>
          <w:szCs w:val="21"/>
          <w:highlight w:val="none"/>
        </w:rPr>
        <w:t>（1）预付款</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第1次付款：合同签订生效后</w:t>
      </w:r>
      <w:r>
        <w:rPr>
          <w:rFonts w:hint="eastAsia" w:ascii="宋体" w:hAnsi="宋体" w:cs="宋体"/>
          <w:color w:val="auto"/>
          <w:sz w:val="21"/>
          <w:szCs w:val="21"/>
          <w:highlight w:val="none"/>
          <w:lang w:val="en-US" w:eastAsia="zh-CN"/>
        </w:rPr>
        <w:t>15日内</w:t>
      </w:r>
      <w:r>
        <w:rPr>
          <w:rFonts w:hint="eastAsia"/>
          <w:color w:val="auto"/>
          <w:sz w:val="21"/>
          <w:szCs w:val="21"/>
          <w:highlight w:val="none"/>
        </w:rPr>
        <w:t>，甲方向乙方支付签约合同总价的30%的预付款。预付款与合同履行同步进行，预付款支付进程不得影响合同的履行，乙方不得以预付款支付问题停止合同的履行。</w:t>
      </w:r>
    </w:p>
    <w:p>
      <w:pPr>
        <w:pStyle w:val="60"/>
        <w:numPr>
          <w:ilvl w:val="0"/>
          <w:numId w:val="3"/>
        </w:numPr>
        <w:adjustRightInd w:val="0"/>
        <w:snapToGrid w:val="0"/>
        <w:spacing w:before="0"/>
        <w:ind w:firstLine="420"/>
        <w:rPr>
          <w:color w:val="auto"/>
          <w:sz w:val="21"/>
          <w:szCs w:val="21"/>
          <w:highlight w:val="none"/>
        </w:rPr>
      </w:pPr>
      <w:r>
        <w:rPr>
          <w:rFonts w:hint="eastAsia"/>
          <w:color w:val="auto"/>
          <w:sz w:val="21"/>
          <w:szCs w:val="21"/>
          <w:highlight w:val="none"/>
        </w:rPr>
        <w:t>货款支付</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第2次付款：主要设备到货并初验合格后</w:t>
      </w:r>
      <w:r>
        <w:rPr>
          <w:rFonts w:hint="eastAsia" w:ascii="宋体" w:hAnsi="宋体" w:cs="宋体"/>
          <w:color w:val="auto"/>
          <w:sz w:val="21"/>
          <w:szCs w:val="21"/>
          <w:highlight w:val="none"/>
          <w:lang w:val="en-US" w:eastAsia="zh-CN"/>
        </w:rPr>
        <w:t>15日内</w:t>
      </w:r>
      <w:r>
        <w:rPr>
          <w:rFonts w:hint="eastAsia"/>
          <w:color w:val="auto"/>
          <w:sz w:val="21"/>
          <w:szCs w:val="21"/>
          <w:highlight w:val="none"/>
        </w:rPr>
        <w:t>，支付至签约合同价的60%。</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第3次付款：试运行结束</w:t>
      </w:r>
      <w:r>
        <w:rPr>
          <w:color w:val="auto"/>
          <w:sz w:val="21"/>
          <w:szCs w:val="21"/>
          <w:highlight w:val="none"/>
        </w:rPr>
        <w:t>、</w:t>
      </w:r>
      <w:r>
        <w:rPr>
          <w:rFonts w:hint="eastAsia"/>
          <w:color w:val="auto"/>
          <w:sz w:val="21"/>
          <w:szCs w:val="21"/>
          <w:highlight w:val="none"/>
        </w:rPr>
        <w:t>竣工验收合格</w:t>
      </w:r>
      <w:r>
        <w:rPr>
          <w:rFonts w:hint="eastAsia"/>
          <w:color w:val="auto"/>
          <w:sz w:val="21"/>
          <w:szCs w:val="21"/>
          <w:highlight w:val="none"/>
          <w:lang w:eastAsia="zh-CN"/>
        </w:rPr>
        <w:t>并完成移交</w:t>
      </w:r>
      <w:r>
        <w:rPr>
          <w:rFonts w:hint="eastAsia"/>
          <w:color w:val="auto"/>
          <w:sz w:val="21"/>
          <w:szCs w:val="21"/>
          <w:highlight w:val="none"/>
        </w:rPr>
        <w:t>后</w:t>
      </w:r>
      <w:r>
        <w:rPr>
          <w:rFonts w:hint="eastAsia" w:ascii="宋体" w:hAnsi="宋体" w:cs="宋体"/>
          <w:color w:val="auto"/>
          <w:sz w:val="21"/>
          <w:szCs w:val="21"/>
          <w:highlight w:val="none"/>
          <w:lang w:val="en-US" w:eastAsia="zh-CN"/>
        </w:rPr>
        <w:t>15日内</w:t>
      </w:r>
      <w:r>
        <w:rPr>
          <w:rFonts w:hint="eastAsia"/>
          <w:color w:val="auto"/>
          <w:sz w:val="21"/>
          <w:szCs w:val="21"/>
          <w:highlight w:val="none"/>
        </w:rPr>
        <w:t>，支付至签约合同价的85%，并退还履约保证金（不计利息）。</w:t>
      </w:r>
    </w:p>
    <w:p>
      <w:pPr>
        <w:pStyle w:val="60"/>
        <w:adjustRightInd w:val="0"/>
        <w:snapToGrid w:val="0"/>
        <w:spacing w:before="0"/>
        <w:ind w:firstLine="420"/>
        <w:rPr>
          <w:color w:val="auto"/>
          <w:sz w:val="21"/>
          <w:szCs w:val="21"/>
          <w:highlight w:val="none"/>
        </w:rPr>
      </w:pPr>
      <w:r>
        <w:rPr>
          <w:rFonts w:hint="eastAsia"/>
          <w:color w:val="auto"/>
          <w:sz w:val="21"/>
          <w:szCs w:val="21"/>
          <w:highlight w:val="none"/>
        </w:rPr>
        <w:t>第4次付款：审计结算完成且资料齐全移交丙、丁方后</w:t>
      </w:r>
      <w:r>
        <w:rPr>
          <w:rFonts w:hint="eastAsia" w:ascii="宋体" w:hAnsi="宋体" w:cs="宋体"/>
          <w:color w:val="auto"/>
          <w:sz w:val="21"/>
          <w:szCs w:val="21"/>
          <w:highlight w:val="none"/>
          <w:lang w:val="en-US" w:eastAsia="zh-CN"/>
        </w:rPr>
        <w:t>15日内</w:t>
      </w:r>
      <w:r>
        <w:rPr>
          <w:rFonts w:hint="eastAsia"/>
          <w:color w:val="auto"/>
          <w:sz w:val="21"/>
          <w:szCs w:val="21"/>
          <w:highlight w:val="none"/>
        </w:rPr>
        <w:t>，支付至结算价的97.5%。</w:t>
      </w:r>
    </w:p>
    <w:p>
      <w:pPr>
        <w:pStyle w:val="60"/>
        <w:adjustRightInd w:val="0"/>
        <w:snapToGrid w:val="0"/>
        <w:spacing w:before="0"/>
        <w:ind w:firstLine="420"/>
        <w:rPr>
          <w:rFonts w:hint="eastAsia"/>
          <w:color w:val="auto"/>
          <w:sz w:val="21"/>
          <w:szCs w:val="21"/>
          <w:highlight w:val="none"/>
        </w:rPr>
      </w:pPr>
      <w:r>
        <w:rPr>
          <w:rFonts w:hint="eastAsia"/>
          <w:color w:val="auto"/>
          <w:sz w:val="21"/>
          <w:szCs w:val="21"/>
          <w:highlight w:val="none"/>
        </w:rPr>
        <w:t>第5次付款：余款2.5%（不计利息）作为保修金，在保修期满、缺陷修复完成并经甲方及丙、丁方共同最终验收合格、甲乙方完成最终结算后28天内一次性付清经结算后的剩余尾款。</w:t>
      </w:r>
    </w:p>
    <w:p>
      <w:pPr>
        <w:pStyle w:val="60"/>
        <w:adjustRightInd w:val="0"/>
        <w:snapToGrid w:val="0"/>
        <w:spacing w:before="0"/>
        <w:ind w:firstLine="422"/>
        <w:rPr>
          <w:b/>
          <w:color w:val="auto"/>
          <w:sz w:val="21"/>
          <w:szCs w:val="21"/>
          <w:highlight w:val="none"/>
          <w:u w:val="single"/>
        </w:rPr>
      </w:pPr>
      <w:r>
        <w:rPr>
          <w:rFonts w:hint="eastAsia"/>
          <w:b/>
          <w:color w:val="auto"/>
          <w:sz w:val="21"/>
          <w:szCs w:val="21"/>
          <w:highlight w:val="none"/>
          <w:u w:val="single"/>
        </w:rPr>
        <w:t>注：甲方除收取水电费等1%直接费、总承包服务费3%及招标相关费用以外，不得向乙方收取其他任何费用，不再增加或减少其他任何费用和税金。每笔货款支付前，乙方必须提供收款单位与本合同签订单位一致的正规、等额、合法、有效的发票及验收单、入库单等办理相关支付手续的报审资料；货款的支付需经监理方总监理工程师及甲方代表签字及盖章，并审核同意后15个工作日内支付。若乙方延期提供的</w:t>
      </w:r>
      <w:r>
        <w:rPr>
          <w:b/>
          <w:color w:val="auto"/>
          <w:sz w:val="21"/>
          <w:szCs w:val="21"/>
          <w:highlight w:val="none"/>
          <w:u w:val="single"/>
        </w:rPr>
        <w:t>，</w:t>
      </w:r>
      <w:r>
        <w:rPr>
          <w:rFonts w:hint="eastAsia"/>
          <w:b/>
          <w:color w:val="auto"/>
          <w:sz w:val="21"/>
          <w:szCs w:val="21"/>
          <w:highlight w:val="none"/>
          <w:u w:val="single"/>
        </w:rPr>
        <w:t>甲方有权顺延付款</w:t>
      </w:r>
      <w:r>
        <w:rPr>
          <w:b/>
          <w:color w:val="auto"/>
          <w:sz w:val="21"/>
          <w:szCs w:val="21"/>
          <w:highlight w:val="none"/>
          <w:u w:val="single"/>
        </w:rPr>
        <w:t>。</w:t>
      </w:r>
    </w:p>
    <w:p>
      <w:pPr>
        <w:pStyle w:val="60"/>
        <w:adjustRightInd w:val="0"/>
        <w:snapToGrid w:val="0"/>
        <w:spacing w:before="0"/>
        <w:ind w:firstLine="422"/>
        <w:rPr>
          <w:rFonts w:hint="eastAsia"/>
          <w:b/>
          <w:color w:val="auto"/>
          <w:sz w:val="21"/>
          <w:szCs w:val="21"/>
          <w:highlight w:val="none"/>
          <w:u w:val="single"/>
        </w:rPr>
      </w:pPr>
      <w:r>
        <w:rPr>
          <w:rFonts w:hint="eastAsia"/>
          <w:b/>
          <w:color w:val="auto"/>
          <w:sz w:val="21"/>
          <w:szCs w:val="21"/>
          <w:highlight w:val="none"/>
          <w:u w:val="single"/>
        </w:rPr>
        <w:t>甲方每次向乙方支付的款项均基于丙方向甲方支付后再支付给乙方，如丙方未支付相应款项给甲方，甲方有权不支付乙方任何款项。</w:t>
      </w:r>
    </w:p>
    <w:p>
      <w:pPr>
        <w:pStyle w:val="60"/>
        <w:adjustRightInd w:val="0"/>
        <w:snapToGrid w:val="0"/>
        <w:spacing w:before="0"/>
        <w:ind w:firstLine="422"/>
        <w:rPr>
          <w:rFonts w:hint="eastAsia" w:eastAsia="宋体"/>
          <w:b/>
          <w:color w:val="auto"/>
          <w:sz w:val="21"/>
          <w:szCs w:val="21"/>
          <w:highlight w:val="none"/>
          <w:u w:val="single"/>
          <w:lang w:eastAsia="zh-CN"/>
        </w:rPr>
      </w:pPr>
      <w:r>
        <w:rPr>
          <w:rFonts w:hint="eastAsia" w:ascii="宋体" w:hAnsi="宋体" w:cs="宋体"/>
          <w:b/>
          <w:color w:val="auto"/>
          <w:sz w:val="21"/>
          <w:szCs w:val="21"/>
          <w:highlight w:val="none"/>
          <w:u w:val="single"/>
        </w:rPr>
        <w:t>每次付款（含预付款）前，乙方应向付款方提交付款申请、具备付款条件的依据及相应金额的发票，否则可暂停支付，相应的不利后果由乙方自行承担。</w:t>
      </w:r>
    </w:p>
    <w:p>
      <w:pPr>
        <w:spacing w:line="360" w:lineRule="auto"/>
        <w:ind w:firstLine="487" w:firstLineChars="231"/>
        <w:rPr>
          <w:b/>
          <w:color w:val="auto"/>
          <w:szCs w:val="21"/>
          <w:highlight w:val="none"/>
        </w:rPr>
      </w:pPr>
      <w:r>
        <w:rPr>
          <w:rFonts w:hint="eastAsia"/>
          <w:b/>
          <w:color w:val="auto"/>
          <w:szCs w:val="21"/>
          <w:highlight w:val="none"/>
        </w:rPr>
        <w:t>7、结算原则</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中标总价一次性包死，不再调整。丙、丁方有权增减工作范围，该费用应予以增减，在结算时按中标单价按实调整。</w:t>
      </w:r>
    </w:p>
    <w:p>
      <w:pPr>
        <w:snapToGrid w:val="0"/>
        <w:spacing w:line="360" w:lineRule="auto"/>
        <w:ind w:firstLine="105" w:firstLineChars="50"/>
        <w:rPr>
          <w:b/>
          <w:color w:val="auto"/>
          <w:szCs w:val="21"/>
          <w:highlight w:val="none"/>
        </w:rPr>
      </w:pPr>
      <w:r>
        <w:rPr>
          <w:rFonts w:hint="eastAsia"/>
          <w:b/>
          <w:color w:val="auto"/>
          <w:szCs w:val="21"/>
          <w:highlight w:val="none"/>
        </w:rPr>
        <w:t xml:space="preserve"> 8、文件和技术资料</w:t>
      </w:r>
    </w:p>
    <w:p>
      <w:pPr>
        <w:snapToGrid w:val="0"/>
        <w:spacing w:line="360" w:lineRule="auto"/>
        <w:ind w:firstLine="210"/>
        <w:rPr>
          <w:color w:val="auto"/>
          <w:szCs w:val="21"/>
          <w:highlight w:val="none"/>
        </w:rPr>
      </w:pPr>
      <w:r>
        <w:rPr>
          <w:rFonts w:hint="eastAsia"/>
          <w:color w:val="auto"/>
          <w:szCs w:val="21"/>
          <w:highlight w:val="none"/>
        </w:rPr>
        <w:t xml:space="preserve">    设备交货时乙方向甲方及丙、丁方提供下列技术资料、图纸和文件：</w:t>
      </w:r>
    </w:p>
    <w:p>
      <w:pPr>
        <w:snapToGrid w:val="0"/>
        <w:spacing w:line="360" w:lineRule="auto"/>
        <w:ind w:firstLine="420" w:firstLineChars="200"/>
        <w:rPr>
          <w:color w:val="auto"/>
          <w:szCs w:val="21"/>
          <w:highlight w:val="none"/>
        </w:rPr>
      </w:pPr>
      <w:r>
        <w:rPr>
          <w:rFonts w:hint="eastAsia"/>
          <w:color w:val="auto"/>
          <w:szCs w:val="21"/>
          <w:highlight w:val="none"/>
        </w:rPr>
        <w:t>1）制作期间的试验、检试报告。</w:t>
      </w:r>
    </w:p>
    <w:p>
      <w:pPr>
        <w:snapToGrid w:val="0"/>
        <w:spacing w:line="360" w:lineRule="auto"/>
        <w:ind w:firstLine="420" w:firstLineChars="200"/>
        <w:rPr>
          <w:color w:val="auto"/>
          <w:szCs w:val="21"/>
          <w:highlight w:val="none"/>
        </w:rPr>
      </w:pPr>
      <w:r>
        <w:rPr>
          <w:rFonts w:hint="eastAsia"/>
          <w:color w:val="auto"/>
          <w:szCs w:val="21"/>
          <w:highlight w:val="none"/>
        </w:rPr>
        <w:t>2）出厂检试报告</w:t>
      </w:r>
    </w:p>
    <w:p>
      <w:pPr>
        <w:snapToGrid w:val="0"/>
        <w:spacing w:line="360" w:lineRule="auto"/>
        <w:ind w:firstLine="420" w:firstLineChars="200"/>
        <w:rPr>
          <w:color w:val="auto"/>
          <w:szCs w:val="21"/>
          <w:highlight w:val="none"/>
        </w:rPr>
      </w:pPr>
      <w:r>
        <w:rPr>
          <w:rFonts w:hint="eastAsia"/>
          <w:color w:val="auto"/>
          <w:szCs w:val="21"/>
          <w:highlight w:val="none"/>
        </w:rPr>
        <w:t>3）设备安装使用说明书。此说明书不应少于如下内容：</w:t>
      </w:r>
    </w:p>
    <w:p>
      <w:pPr>
        <w:tabs>
          <w:tab w:val="left" w:pos="560"/>
          <w:tab w:val="left" w:pos="1400"/>
        </w:tabs>
        <w:snapToGrid w:val="0"/>
        <w:spacing w:line="360" w:lineRule="auto"/>
        <w:ind w:firstLine="210"/>
        <w:rPr>
          <w:color w:val="auto"/>
          <w:szCs w:val="21"/>
          <w:highlight w:val="none"/>
        </w:rPr>
      </w:pPr>
      <w:r>
        <w:rPr>
          <w:rFonts w:hint="eastAsia"/>
          <w:color w:val="auto"/>
          <w:szCs w:val="21"/>
          <w:highlight w:val="none"/>
        </w:rPr>
        <w:t xml:space="preserve">    a、电气接线图；</w:t>
      </w:r>
    </w:p>
    <w:p>
      <w:pPr>
        <w:snapToGrid w:val="0"/>
        <w:spacing w:line="360" w:lineRule="auto"/>
        <w:ind w:firstLine="210"/>
        <w:rPr>
          <w:color w:val="auto"/>
          <w:szCs w:val="21"/>
          <w:highlight w:val="none"/>
        </w:rPr>
      </w:pPr>
      <w:r>
        <w:rPr>
          <w:rFonts w:hint="eastAsia"/>
          <w:color w:val="auto"/>
          <w:szCs w:val="21"/>
          <w:highlight w:val="none"/>
        </w:rPr>
        <w:t xml:space="preserve">    b、设备操作与维修手册。</w:t>
      </w:r>
    </w:p>
    <w:p>
      <w:pPr>
        <w:snapToGrid w:val="0"/>
        <w:spacing w:line="360" w:lineRule="auto"/>
        <w:ind w:firstLine="210"/>
        <w:rPr>
          <w:color w:val="auto"/>
          <w:szCs w:val="21"/>
          <w:highlight w:val="none"/>
        </w:rPr>
      </w:pPr>
      <w:r>
        <w:rPr>
          <w:rFonts w:hint="eastAsia"/>
          <w:color w:val="auto"/>
          <w:szCs w:val="21"/>
          <w:highlight w:val="none"/>
        </w:rPr>
        <w:t xml:space="preserve">  4）产品合格证</w:t>
      </w:r>
    </w:p>
    <w:p>
      <w:pPr>
        <w:snapToGrid w:val="0"/>
        <w:spacing w:line="360" w:lineRule="auto"/>
        <w:ind w:firstLine="210"/>
        <w:rPr>
          <w:b/>
          <w:bCs/>
          <w:color w:val="auto"/>
          <w:szCs w:val="21"/>
          <w:highlight w:val="none"/>
        </w:rPr>
      </w:pPr>
      <w:r>
        <w:rPr>
          <w:rFonts w:hint="eastAsia"/>
          <w:b/>
          <w:bCs/>
          <w:color w:val="auto"/>
          <w:szCs w:val="21"/>
          <w:highlight w:val="none"/>
        </w:rPr>
        <w:t xml:space="preserve">  9、技术服务</w:t>
      </w:r>
    </w:p>
    <w:p>
      <w:pPr>
        <w:snapToGrid w:val="0"/>
        <w:spacing w:line="360" w:lineRule="auto"/>
        <w:ind w:firstLine="210"/>
        <w:rPr>
          <w:color w:val="auto"/>
          <w:szCs w:val="21"/>
          <w:highlight w:val="none"/>
        </w:rPr>
      </w:pPr>
      <w:r>
        <w:rPr>
          <w:rFonts w:hint="eastAsia"/>
          <w:color w:val="auto"/>
          <w:szCs w:val="21"/>
          <w:highlight w:val="none"/>
        </w:rPr>
        <w:t xml:space="preserve">    乙方免费对甲方及丙、丁方的操作、维修人员在厂方或使用地进行技术培训。</w:t>
      </w:r>
    </w:p>
    <w:p>
      <w:pPr>
        <w:tabs>
          <w:tab w:val="left" w:pos="280"/>
        </w:tabs>
        <w:snapToGrid w:val="0"/>
        <w:spacing w:line="360" w:lineRule="auto"/>
        <w:ind w:firstLine="210"/>
        <w:rPr>
          <w:b/>
          <w:color w:val="auto"/>
          <w:szCs w:val="21"/>
          <w:highlight w:val="none"/>
        </w:rPr>
      </w:pPr>
      <w:r>
        <w:rPr>
          <w:rFonts w:hint="eastAsia"/>
          <w:b/>
          <w:color w:val="auto"/>
          <w:szCs w:val="21"/>
          <w:highlight w:val="none"/>
        </w:rPr>
        <w:t xml:space="preserve"> 10、质量、技术标准</w:t>
      </w:r>
    </w:p>
    <w:p>
      <w:pPr>
        <w:tabs>
          <w:tab w:val="left" w:pos="280"/>
        </w:tabs>
        <w:snapToGrid w:val="0"/>
        <w:spacing w:line="360" w:lineRule="auto"/>
        <w:ind w:firstLine="210"/>
        <w:rPr>
          <w:color w:val="auto"/>
          <w:szCs w:val="21"/>
          <w:highlight w:val="none"/>
        </w:rPr>
      </w:pPr>
      <w:r>
        <w:rPr>
          <w:rFonts w:hint="eastAsia"/>
          <w:color w:val="auto"/>
          <w:szCs w:val="21"/>
          <w:highlight w:val="none"/>
        </w:rPr>
        <w:t xml:space="preserve">  10.1 设备的制造、安装、验收标准及技术规范，必须符合中国国家标准，或甲方及丙、丁方认可的其他标准。乙方必须保证交货产品各项性能不得低于中国国家标准或甲方及丙、丁方认可的其他标准，甲方及丙方随时有抽检及送检产品的权利，检验机构为政府法定检验机构。对于产品的任何技术及质量不合格，乙方承担检测费用，甲方及丙、丁方有权拒收、部分拒收、退货、部分退货直至解除本合同，追究乙方违约责任，并要求乙方支付承担因此造成的所有损失。因此造成工期违约的</w:t>
      </w:r>
      <w:r>
        <w:rPr>
          <w:color w:val="auto"/>
          <w:szCs w:val="21"/>
          <w:highlight w:val="none"/>
        </w:rPr>
        <w:t>，</w:t>
      </w:r>
      <w:r>
        <w:rPr>
          <w:rFonts w:hint="eastAsia"/>
          <w:color w:val="auto"/>
          <w:szCs w:val="21"/>
          <w:highlight w:val="none"/>
        </w:rPr>
        <w:t>同时承担工期违约的违约责任</w:t>
      </w:r>
      <w:r>
        <w:rPr>
          <w:color w:val="auto"/>
          <w:szCs w:val="21"/>
          <w:highlight w:val="none"/>
        </w:rPr>
        <w:t>。</w:t>
      </w:r>
    </w:p>
    <w:p>
      <w:pPr>
        <w:snapToGrid w:val="0"/>
        <w:spacing w:line="360" w:lineRule="auto"/>
        <w:ind w:firstLine="210"/>
        <w:rPr>
          <w:color w:val="auto"/>
          <w:szCs w:val="21"/>
          <w:highlight w:val="none"/>
        </w:rPr>
      </w:pPr>
      <w:r>
        <w:rPr>
          <w:rFonts w:hint="eastAsia"/>
          <w:color w:val="auto"/>
          <w:szCs w:val="21"/>
          <w:highlight w:val="none"/>
        </w:rPr>
        <w:t xml:space="preserve">  10.2未经甲方及丙、丁方同意，乙方不得擅自更改或换用投标产品的零部件或配件，否则，乙方承担由此发生的费用，并赔偿甲方及丙、丁方的有关损失，延误的供货日期不予顺延。</w:t>
      </w:r>
    </w:p>
    <w:p>
      <w:pPr>
        <w:snapToGrid w:val="0"/>
        <w:spacing w:line="360" w:lineRule="auto"/>
        <w:ind w:firstLine="210"/>
        <w:rPr>
          <w:b/>
          <w:color w:val="auto"/>
          <w:szCs w:val="21"/>
          <w:highlight w:val="none"/>
        </w:rPr>
      </w:pPr>
      <w:r>
        <w:rPr>
          <w:rFonts w:hint="eastAsia"/>
          <w:b/>
          <w:color w:val="auto"/>
          <w:szCs w:val="21"/>
          <w:highlight w:val="none"/>
        </w:rPr>
        <w:t xml:space="preserve">11、设备、材料检验 </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甲方及丙、丁方认为有必要在设备制造过程中派人到生产厂监制，乙方应予以积极配合并对监制或预验收工作提供方便并承担相关费用。</w:t>
      </w:r>
    </w:p>
    <w:p>
      <w:pPr>
        <w:tabs>
          <w:tab w:val="left" w:pos="280"/>
        </w:tabs>
        <w:snapToGrid w:val="0"/>
        <w:spacing w:line="360" w:lineRule="auto"/>
        <w:ind w:firstLine="420" w:firstLineChars="200"/>
        <w:rPr>
          <w:color w:val="auto"/>
          <w:szCs w:val="21"/>
          <w:highlight w:val="none"/>
        </w:rPr>
      </w:pPr>
      <w:r>
        <w:rPr>
          <w:rFonts w:hint="eastAsia"/>
          <w:color w:val="auto"/>
          <w:szCs w:val="21"/>
          <w:highlight w:val="none"/>
        </w:rPr>
        <w:t>在第一批设备供货之前，丙方将会同丁方、甲方、监理工程师等相关单位到乙方的设备制造厂进行样品审核，乙方应积极配合并对甲方及丙、丁方的工作提供方便并承担相关费用。</w:t>
      </w:r>
    </w:p>
    <w:p>
      <w:pPr>
        <w:pStyle w:val="25"/>
        <w:spacing w:line="360" w:lineRule="auto"/>
        <w:ind w:firstLineChars="200"/>
        <w:rPr>
          <w:color w:val="auto"/>
          <w:sz w:val="21"/>
          <w:szCs w:val="21"/>
          <w:highlight w:val="none"/>
        </w:rPr>
      </w:pPr>
      <w:r>
        <w:rPr>
          <w:rFonts w:hint="eastAsia"/>
          <w:color w:val="auto"/>
          <w:sz w:val="21"/>
          <w:szCs w:val="21"/>
          <w:highlight w:val="none"/>
        </w:rPr>
        <w:t>所有的货物备进场时须同时提供货物出厂合格证书、检测报告。国外生产的必须有合法的进货渠道证明，如海关报关单、原产地证明、商检证明等。</w:t>
      </w:r>
    </w:p>
    <w:p>
      <w:pPr>
        <w:pStyle w:val="61"/>
        <w:spacing w:line="360" w:lineRule="auto"/>
        <w:ind w:firstLine="420"/>
        <w:rPr>
          <w:rFonts w:ascii="宋体" w:eastAsia="宋体"/>
          <w:bCs w:val="0"/>
          <w:color w:val="auto"/>
          <w:sz w:val="21"/>
          <w:szCs w:val="21"/>
          <w:highlight w:val="none"/>
        </w:rPr>
      </w:pPr>
      <w:r>
        <w:rPr>
          <w:rFonts w:hint="eastAsia" w:ascii="宋体" w:eastAsia="宋体"/>
          <w:bCs w:val="0"/>
          <w:color w:val="auto"/>
          <w:sz w:val="21"/>
          <w:szCs w:val="21"/>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pPr>
        <w:adjustRightInd w:val="0"/>
        <w:spacing w:line="360" w:lineRule="auto"/>
        <w:ind w:firstLine="420" w:firstLineChars="200"/>
        <w:rPr>
          <w:color w:val="auto"/>
          <w:szCs w:val="21"/>
          <w:highlight w:val="none"/>
          <w:u w:val="single"/>
        </w:rPr>
      </w:pPr>
      <w:r>
        <w:rPr>
          <w:rFonts w:hint="eastAsia"/>
          <w:color w:val="auto"/>
          <w:szCs w:val="21"/>
          <w:highlight w:val="none"/>
        </w:rPr>
        <w:t>样品的报送与封存：需要乙方报送样品的材料或工程设备，样品的种类、名称、规格、数量要求：</w:t>
      </w:r>
      <w:r>
        <w:rPr>
          <w:rFonts w:hint="eastAsia"/>
          <w:color w:val="auto"/>
          <w:szCs w:val="21"/>
          <w:highlight w:val="none"/>
          <w:u w:val="single"/>
        </w:rPr>
        <w:t>以符合设计和规范要求为原则。a、一般材料由甲方及丙、丁方、监理看样认可后自行采购；主要设备应由甲方及丙、丁方和监理共同看样定货认可后采购。b 、所有材料必须有质保书和合格证，经认证许可，并符合施工图纸和规范要求，若材料质量不符合规定要求，乙方无条件退换并承担返工损失及工期、质量违约责任 。</w:t>
      </w:r>
    </w:p>
    <w:p>
      <w:pPr>
        <w:snapToGrid w:val="0"/>
        <w:spacing w:line="360" w:lineRule="auto"/>
        <w:ind w:firstLine="422" w:firstLineChars="200"/>
        <w:outlineLvl w:val="0"/>
        <w:rPr>
          <w:b/>
          <w:color w:val="auto"/>
          <w:szCs w:val="21"/>
          <w:highlight w:val="none"/>
        </w:rPr>
      </w:pPr>
      <w:bookmarkStart w:id="436" w:name="_Toc812"/>
      <w:r>
        <w:rPr>
          <w:rFonts w:hint="eastAsia"/>
          <w:b/>
          <w:color w:val="auto"/>
          <w:szCs w:val="21"/>
          <w:highlight w:val="none"/>
        </w:rPr>
        <w:t>12、设备的安装、调试</w:t>
      </w:r>
      <w:bookmarkEnd w:id="436"/>
    </w:p>
    <w:p>
      <w:pPr>
        <w:snapToGrid w:val="0"/>
        <w:spacing w:line="360" w:lineRule="auto"/>
        <w:ind w:firstLine="420" w:firstLineChars="200"/>
        <w:rPr>
          <w:color w:val="auto"/>
          <w:szCs w:val="21"/>
          <w:highlight w:val="none"/>
          <w:shd w:val="pct10" w:color="auto" w:fill="FFFFFF"/>
        </w:rPr>
      </w:pPr>
      <w:r>
        <w:rPr>
          <w:rFonts w:hint="eastAsia"/>
          <w:color w:val="auto"/>
          <w:szCs w:val="21"/>
          <w:highlight w:val="none"/>
        </w:rPr>
        <w:t>12.1合同所订的货物到达甲方及丙、丁方后，乙方应在收到甲方及丙、丁方通知后2天内，及时派人前往设备交货地点</w:t>
      </w:r>
      <w:r>
        <w:rPr>
          <w:rFonts w:hint="eastAsia"/>
          <w:bCs/>
          <w:color w:val="auto"/>
          <w:szCs w:val="21"/>
          <w:highlight w:val="none"/>
        </w:rPr>
        <w:t>对设备</w:t>
      </w:r>
      <w:r>
        <w:rPr>
          <w:rFonts w:hint="eastAsia"/>
          <w:color w:val="auto"/>
          <w:szCs w:val="21"/>
          <w:highlight w:val="none"/>
        </w:rPr>
        <w:t>进行安装调试。</w:t>
      </w:r>
    </w:p>
    <w:p>
      <w:pPr>
        <w:snapToGrid w:val="0"/>
        <w:spacing w:line="360" w:lineRule="auto"/>
        <w:ind w:firstLine="420" w:firstLineChars="200"/>
        <w:rPr>
          <w:color w:val="auto"/>
          <w:szCs w:val="21"/>
          <w:highlight w:val="none"/>
        </w:rPr>
      </w:pPr>
      <w:r>
        <w:rPr>
          <w:rFonts w:hint="eastAsia"/>
          <w:color w:val="auto"/>
          <w:szCs w:val="21"/>
          <w:highlight w:val="none"/>
        </w:rPr>
        <w:t>12.2乙方人员在甲方及丙、丁方进行指导安装及设备调试期间，所有费用由乙方负责。</w:t>
      </w:r>
    </w:p>
    <w:p>
      <w:pPr>
        <w:snapToGrid w:val="0"/>
        <w:spacing w:line="360" w:lineRule="auto"/>
        <w:ind w:firstLine="420" w:firstLineChars="200"/>
        <w:rPr>
          <w:color w:val="auto"/>
          <w:szCs w:val="21"/>
          <w:highlight w:val="none"/>
        </w:rPr>
      </w:pPr>
      <w:r>
        <w:rPr>
          <w:rFonts w:hint="eastAsia"/>
          <w:color w:val="auto"/>
          <w:szCs w:val="21"/>
          <w:highlight w:val="none"/>
        </w:rPr>
        <w:t>12.3乙方应在设备安装完毕后的5日内完成设备调试工作；调试完毕后须经过二个月的试运行。如因乙方责任而造成的延期，所有因安装延期而产生的费用由乙方负担并乙方应承担相应的违约责任。</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安装完毕后，乙方应派遣有经验的工程技术人员进行设备的调试及试运行，采购人可以要求乙方或具有检测资质的第三方用专用仪器进行测试，乙方应负责测试和调试所需的人员、工具、材料、仪器及检测费用等一切费用，并填写测试报告交由采购人存档。如需采购人派有关人员配合，乙方应在设备安装调试前一周提出需配合工作人员的工种、人数等计划书交与采购人，以便采购人提前作好准备，确保整个工程顺利进行。采购人组织相关专家进行验收，验收人员、会务等相关的一切费用，由乙方负责。</w:t>
      </w:r>
    </w:p>
    <w:p>
      <w:pPr>
        <w:spacing w:line="360" w:lineRule="auto"/>
        <w:ind w:left="210" w:leftChars="100"/>
        <w:rPr>
          <w:b/>
          <w:color w:val="auto"/>
          <w:szCs w:val="21"/>
          <w:highlight w:val="none"/>
        </w:rPr>
      </w:pPr>
      <w:r>
        <w:rPr>
          <w:rFonts w:hint="eastAsia"/>
          <w:b/>
          <w:color w:val="auto"/>
          <w:szCs w:val="21"/>
          <w:highlight w:val="none"/>
        </w:rPr>
        <w:t>13、设备验收</w:t>
      </w:r>
    </w:p>
    <w:p>
      <w:pPr>
        <w:snapToGrid w:val="0"/>
        <w:spacing w:line="360" w:lineRule="auto"/>
        <w:ind w:firstLine="420" w:firstLineChars="200"/>
        <w:rPr>
          <w:color w:val="auto"/>
          <w:szCs w:val="21"/>
          <w:highlight w:val="none"/>
        </w:rPr>
      </w:pPr>
      <w:r>
        <w:rPr>
          <w:rFonts w:hint="eastAsia"/>
          <w:color w:val="auto"/>
          <w:szCs w:val="21"/>
          <w:highlight w:val="none"/>
        </w:rPr>
        <w:t>13.1</w:t>
      </w:r>
      <w:r>
        <w:rPr>
          <w:rFonts w:hint="eastAsia"/>
          <w:bCs/>
          <w:color w:val="auto"/>
          <w:szCs w:val="21"/>
          <w:highlight w:val="none"/>
        </w:rPr>
        <w:t>乙方</w:t>
      </w:r>
      <w:r>
        <w:rPr>
          <w:rFonts w:hint="eastAsia"/>
          <w:color w:val="auto"/>
          <w:szCs w:val="21"/>
          <w:highlight w:val="none"/>
        </w:rPr>
        <w:t>在投标时应提供验收大纲和验收标准供甲方及丙、丁方参考，经甲方及丙、丁方确认后，作为验收的依据。</w:t>
      </w:r>
    </w:p>
    <w:p>
      <w:pPr>
        <w:snapToGrid w:val="0"/>
        <w:spacing w:line="360" w:lineRule="auto"/>
        <w:ind w:firstLine="420" w:firstLineChars="200"/>
        <w:rPr>
          <w:color w:val="auto"/>
          <w:szCs w:val="21"/>
          <w:highlight w:val="none"/>
        </w:rPr>
      </w:pPr>
      <w:r>
        <w:rPr>
          <w:rFonts w:hint="eastAsia"/>
          <w:color w:val="auto"/>
          <w:szCs w:val="21"/>
          <w:highlight w:val="none"/>
        </w:rPr>
        <w:t>13.2设备到达现场后，乙方派人到现场与甲方及丙、丁方一起开箱初步检收。乙方负责本合同项目所在地政府主管部门（技术质量监督局或卫生管理部门）的备案以及办理所需相关手续(如有)；本项目必须满足消防要求，最终应配合甲方及丙、丁方通过消防验收。如需整改，乙方必须按照消防部门要求整改并通过验收。</w:t>
      </w:r>
    </w:p>
    <w:p>
      <w:pPr>
        <w:snapToGrid w:val="0"/>
        <w:spacing w:line="360" w:lineRule="auto"/>
        <w:ind w:firstLine="420" w:firstLineChars="200"/>
        <w:rPr>
          <w:color w:val="auto"/>
          <w:szCs w:val="21"/>
          <w:highlight w:val="none"/>
        </w:rPr>
      </w:pPr>
      <w:r>
        <w:rPr>
          <w:rFonts w:hint="eastAsia"/>
          <w:color w:val="auto"/>
          <w:szCs w:val="21"/>
          <w:highlight w:val="none"/>
        </w:rPr>
        <w:t>13.3设备在安装、调试结束后，经过二个月的试运行考核无故障，甲乙丙丁方会同当地有关部门对设备共同进行验收，乙方自行承担第三方检验费用（第三方检测单位须甲方及丙方及相关验收主管部门认可）。达到验收标准后，甲方及丙方在验收合格后七日内完成设备交接，并在《产品交付报告》上签字。《产品交付报告》一式两份，双方各执一份。同时乙方向甲方及丙方提供《设备合格证》、《设备使用说明书》、《检验报告》等技术文件。</w:t>
      </w:r>
    </w:p>
    <w:p>
      <w:pPr>
        <w:snapToGrid w:val="0"/>
        <w:spacing w:line="360" w:lineRule="auto"/>
        <w:ind w:firstLine="422" w:firstLineChars="200"/>
        <w:outlineLvl w:val="0"/>
        <w:rPr>
          <w:b/>
          <w:color w:val="auto"/>
          <w:szCs w:val="21"/>
          <w:highlight w:val="none"/>
        </w:rPr>
      </w:pPr>
      <w:bookmarkStart w:id="437" w:name="_Toc8150"/>
      <w:r>
        <w:rPr>
          <w:rFonts w:hint="eastAsia"/>
          <w:b/>
          <w:color w:val="auto"/>
          <w:szCs w:val="21"/>
          <w:highlight w:val="none"/>
        </w:rPr>
        <w:t>14、质保及维修</w:t>
      </w:r>
      <w:bookmarkEnd w:id="437"/>
    </w:p>
    <w:p>
      <w:pPr>
        <w:snapToGrid w:val="0"/>
        <w:spacing w:line="360" w:lineRule="auto"/>
        <w:ind w:firstLine="420" w:firstLineChars="200"/>
        <w:rPr>
          <w:color w:val="auto"/>
          <w:szCs w:val="21"/>
          <w:highlight w:val="none"/>
        </w:rPr>
      </w:pPr>
      <w:r>
        <w:rPr>
          <w:rFonts w:hint="eastAsia"/>
          <w:color w:val="auto"/>
          <w:szCs w:val="21"/>
          <w:highlight w:val="none"/>
        </w:rPr>
        <w:t>14.1设备质</w:t>
      </w:r>
      <w:r>
        <w:rPr>
          <w:rFonts w:hint="eastAsia"/>
          <w:b/>
          <w:bCs/>
          <w:color w:val="auto"/>
          <w:szCs w:val="21"/>
          <w:highlight w:val="none"/>
        </w:rPr>
        <w:t>量保证期为使用产品之日起至少</w:t>
      </w:r>
      <w:r>
        <w:rPr>
          <w:rFonts w:hint="eastAsia"/>
          <w:b/>
          <w:bCs/>
          <w:color w:val="auto"/>
          <w:szCs w:val="21"/>
          <w:highlight w:val="none"/>
          <w:u w:val="single"/>
        </w:rPr>
        <w:t>24个月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具体时间已投标文件为准</w:t>
      </w:r>
      <w:r>
        <w:rPr>
          <w:rFonts w:hint="eastAsia" w:ascii="宋体" w:hAnsi="宋体" w:cs="宋体"/>
          <w:b/>
          <w:bCs/>
          <w:color w:val="auto"/>
          <w:szCs w:val="21"/>
          <w:highlight w:val="none"/>
          <w:u w:val="single"/>
          <w:lang w:eastAsia="zh-CN"/>
        </w:rPr>
        <w:t>）</w:t>
      </w:r>
      <w:r>
        <w:rPr>
          <w:rFonts w:hint="eastAsia"/>
          <w:color w:val="auto"/>
          <w:szCs w:val="21"/>
          <w:highlight w:val="none"/>
        </w:rPr>
        <w:t>。质保期内如无问题，则在质保期满时，由甲方及丙、丁方提交质保期验收报告，验收由甲方及丙、丁方签字认可。</w:t>
      </w:r>
    </w:p>
    <w:p>
      <w:pPr>
        <w:snapToGrid w:val="0"/>
        <w:spacing w:line="360" w:lineRule="auto"/>
        <w:ind w:firstLine="420" w:firstLineChars="200"/>
        <w:rPr>
          <w:color w:val="auto"/>
          <w:szCs w:val="21"/>
          <w:highlight w:val="none"/>
        </w:rPr>
      </w:pPr>
      <w:r>
        <w:rPr>
          <w:rFonts w:hint="eastAsia"/>
          <w:color w:val="auto"/>
          <w:szCs w:val="21"/>
          <w:highlight w:val="none"/>
        </w:rPr>
        <w:t>14.2在设备质保期内，因设备本身的缺陷导致各种故障，乙方应负责免费更换产品，提供技术服务和指导设备维修，更换后的产品的质量保证期为</w:t>
      </w:r>
      <w:r>
        <w:rPr>
          <w:rFonts w:hint="eastAsia"/>
          <w:bCs/>
          <w:color w:val="auto"/>
          <w:szCs w:val="21"/>
          <w:highlight w:val="none"/>
        </w:rPr>
        <w:t>更换后的产品</w:t>
      </w:r>
      <w:r>
        <w:rPr>
          <w:rFonts w:hint="eastAsia"/>
          <w:color w:val="auto"/>
          <w:szCs w:val="21"/>
          <w:highlight w:val="none"/>
        </w:rPr>
        <w:t>使用之日起至少</w:t>
      </w:r>
      <w:r>
        <w:rPr>
          <w:rFonts w:hint="eastAsia"/>
          <w:bCs/>
          <w:color w:val="auto"/>
          <w:szCs w:val="21"/>
          <w:highlight w:val="none"/>
          <w:u w:val="single"/>
        </w:rPr>
        <w:t>24个月</w:t>
      </w:r>
      <w:r>
        <w:rPr>
          <w:rFonts w:hint="eastAsia" w:ascii="宋体" w:hAnsi="宋体" w:cs="宋体"/>
          <w:b/>
          <w:bCs/>
          <w:color w:val="auto"/>
          <w:szCs w:val="21"/>
          <w:highlight w:val="none"/>
          <w:u w:val="single"/>
          <w:lang w:eastAsia="zh-CN"/>
        </w:rPr>
        <w:t>（</w:t>
      </w:r>
      <w:r>
        <w:rPr>
          <w:rFonts w:hint="eastAsia" w:ascii="宋体" w:hAnsi="宋体" w:cs="宋体"/>
          <w:b/>
          <w:bCs/>
          <w:color w:val="auto"/>
          <w:szCs w:val="21"/>
          <w:highlight w:val="none"/>
          <w:u w:val="single"/>
          <w:lang w:val="en-US" w:eastAsia="zh-CN"/>
        </w:rPr>
        <w:t>具体时间已投标文件为准</w:t>
      </w:r>
      <w:r>
        <w:rPr>
          <w:rFonts w:hint="eastAsia" w:ascii="宋体" w:hAnsi="宋体" w:cs="宋体"/>
          <w:b/>
          <w:bCs/>
          <w:color w:val="auto"/>
          <w:szCs w:val="21"/>
          <w:highlight w:val="none"/>
          <w:u w:val="single"/>
          <w:lang w:eastAsia="zh-CN"/>
        </w:rPr>
        <w:t>）</w:t>
      </w:r>
      <w:r>
        <w:rPr>
          <w:rFonts w:hint="eastAsia"/>
          <w:bCs/>
          <w:color w:val="auto"/>
          <w:szCs w:val="21"/>
          <w:highlight w:val="none"/>
        </w:rPr>
        <w:t>。</w:t>
      </w:r>
    </w:p>
    <w:p>
      <w:pPr>
        <w:snapToGrid w:val="0"/>
        <w:spacing w:line="360" w:lineRule="auto"/>
        <w:ind w:firstLine="420" w:firstLineChars="200"/>
        <w:rPr>
          <w:color w:val="auto"/>
          <w:szCs w:val="21"/>
          <w:highlight w:val="none"/>
        </w:rPr>
      </w:pPr>
      <w:r>
        <w:rPr>
          <w:rFonts w:hint="eastAsia"/>
          <w:color w:val="auto"/>
          <w:szCs w:val="21"/>
          <w:highlight w:val="none"/>
        </w:rPr>
        <w:t>14.3如设备在质保期后发生故障，乙方在收到甲方及丙、丁方的书面维修通知后，应</w:t>
      </w:r>
      <w:r>
        <w:rPr>
          <w:rFonts w:hint="eastAsia"/>
          <w:b/>
          <w:bCs/>
          <w:color w:val="auto"/>
          <w:szCs w:val="21"/>
          <w:highlight w:val="none"/>
        </w:rPr>
        <w:t>即时给予响应。在质保期内的工作应包括对所有设备</w:t>
      </w:r>
      <w:r>
        <w:rPr>
          <w:rFonts w:hint="eastAsia"/>
          <w:bCs/>
          <w:color w:val="auto"/>
          <w:szCs w:val="21"/>
          <w:highlight w:val="none"/>
          <w:u w:val="thick"/>
        </w:rPr>
        <w:t>每月至少1次</w:t>
      </w:r>
      <w:r>
        <w:rPr>
          <w:rFonts w:hint="eastAsia"/>
          <w:bCs/>
          <w:color w:val="auto"/>
          <w:szCs w:val="21"/>
          <w:highlight w:val="none"/>
        </w:rPr>
        <w:t>的</w:t>
      </w:r>
      <w:r>
        <w:rPr>
          <w:rFonts w:hint="eastAsia"/>
          <w:color w:val="auto"/>
          <w:szCs w:val="21"/>
          <w:highlight w:val="none"/>
        </w:rPr>
        <w:t>常规检查、调整和润滑。</w:t>
      </w:r>
    </w:p>
    <w:p>
      <w:pPr>
        <w:snapToGrid w:val="0"/>
        <w:spacing w:line="360" w:lineRule="auto"/>
        <w:ind w:firstLine="420" w:firstLineChars="200"/>
        <w:rPr>
          <w:color w:val="auto"/>
          <w:szCs w:val="21"/>
          <w:highlight w:val="none"/>
        </w:rPr>
      </w:pPr>
      <w:r>
        <w:rPr>
          <w:rFonts w:hint="eastAsia"/>
          <w:color w:val="auto"/>
          <w:szCs w:val="21"/>
          <w:highlight w:val="none"/>
        </w:rPr>
        <w:t>14.4乙方在投标文件中所承诺的辅材、配件价格及保修期外的保修年费及服务方案做为合同的一部分。</w:t>
      </w:r>
    </w:p>
    <w:p>
      <w:pPr>
        <w:pStyle w:val="61"/>
        <w:spacing w:line="360" w:lineRule="auto"/>
        <w:ind w:firstLine="422"/>
        <w:rPr>
          <w:rFonts w:ascii="宋体" w:eastAsia="宋体"/>
          <w:b/>
          <w:color w:val="auto"/>
          <w:sz w:val="21"/>
          <w:szCs w:val="21"/>
          <w:highlight w:val="none"/>
        </w:rPr>
      </w:pPr>
      <w:r>
        <w:rPr>
          <w:rFonts w:hint="eastAsia" w:ascii="宋体" w:eastAsia="宋体"/>
          <w:b/>
          <w:color w:val="auto"/>
          <w:sz w:val="21"/>
          <w:szCs w:val="21"/>
          <w:highlight w:val="none"/>
        </w:rPr>
        <w:t>15安全要求：</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15.2乙方在实施过程中应采取必要的安全防护和消防措施，保障作业人员及出入施工现场人员的安全。乙方应为施工人员办理所需的工伤等保险，费用由乙方自行负责。</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15.3乙方在实施过程中如发生质量事故责任全部自行承担，及时报告甲方及丙、丁方。做到及时查清事故原因，分清事故责任，并采取有效的补救措施。一般质量事故的处理方案应送采购人共同研究实施；重大质量事故的处理按国家相关条例执行。</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15.4本项目实施过程中出现的作业人员或因承包人原因引起的第三方人员、财务损失，造成的责任和因此发生的费用，由乙方承担。</w:t>
      </w:r>
    </w:p>
    <w:p>
      <w:pPr>
        <w:pStyle w:val="61"/>
        <w:spacing w:line="360" w:lineRule="auto"/>
        <w:ind w:firstLine="420"/>
        <w:rPr>
          <w:rFonts w:ascii="宋体" w:eastAsia="宋体"/>
          <w:color w:val="auto"/>
          <w:sz w:val="21"/>
          <w:szCs w:val="21"/>
          <w:highlight w:val="none"/>
        </w:rPr>
      </w:pPr>
      <w:r>
        <w:rPr>
          <w:rFonts w:hint="eastAsia" w:ascii="宋体" w:eastAsia="宋体"/>
          <w:color w:val="auto"/>
          <w:sz w:val="21"/>
          <w:szCs w:val="21"/>
          <w:highlight w:val="none"/>
        </w:rPr>
        <w:t>15.5本项目实施过程中，由乙方引起的管线、线路等损坏由乙方承担相应的责任和损失。</w:t>
      </w:r>
    </w:p>
    <w:p>
      <w:pPr>
        <w:snapToGrid w:val="0"/>
        <w:spacing w:line="360" w:lineRule="auto"/>
        <w:ind w:firstLine="422" w:firstLineChars="200"/>
        <w:outlineLvl w:val="0"/>
        <w:rPr>
          <w:b/>
          <w:color w:val="auto"/>
          <w:szCs w:val="21"/>
          <w:highlight w:val="none"/>
        </w:rPr>
      </w:pPr>
      <w:bookmarkStart w:id="438" w:name="_Toc10358"/>
      <w:r>
        <w:rPr>
          <w:rFonts w:hint="eastAsia"/>
          <w:b/>
          <w:color w:val="auto"/>
          <w:szCs w:val="21"/>
          <w:highlight w:val="none"/>
        </w:rPr>
        <w:t>16、违约责任</w:t>
      </w:r>
      <w:bookmarkEnd w:id="438"/>
    </w:p>
    <w:p>
      <w:pPr>
        <w:snapToGrid w:val="0"/>
        <w:spacing w:line="360" w:lineRule="auto"/>
        <w:ind w:firstLine="420" w:firstLineChars="200"/>
        <w:rPr>
          <w:strike/>
          <w:color w:val="auto"/>
          <w:szCs w:val="21"/>
          <w:highlight w:val="none"/>
        </w:rPr>
      </w:pPr>
      <w:r>
        <w:rPr>
          <w:rFonts w:hint="eastAsia"/>
          <w:color w:val="auto"/>
          <w:szCs w:val="21"/>
          <w:highlight w:val="none"/>
        </w:rPr>
        <w:t>16.1合同约定工期节点的，每逾期一天，乙方按2000.00元/天向丙方支付违约金；逾期超过 30天的，甲方及丙、丁方</w:t>
      </w:r>
      <w:r>
        <w:rPr>
          <w:rFonts w:hint="eastAsia" w:ascii="宋体" w:hAnsi="宋体" w:cs="宋体"/>
          <w:color w:val="auto"/>
          <w:szCs w:val="21"/>
          <w:highlight w:val="none"/>
          <w:lang w:val="en-US" w:eastAsia="zh-CN"/>
        </w:rPr>
        <w:t>协商一致后</w:t>
      </w:r>
      <w:r>
        <w:rPr>
          <w:rFonts w:hint="eastAsia"/>
          <w:color w:val="auto"/>
          <w:szCs w:val="21"/>
          <w:highlight w:val="none"/>
        </w:rPr>
        <w:t>有权解除合同</w:t>
      </w:r>
      <w:r>
        <w:rPr>
          <w:color w:val="auto"/>
          <w:szCs w:val="21"/>
          <w:highlight w:val="none"/>
        </w:rPr>
        <w:t>、</w:t>
      </w:r>
      <w:r>
        <w:rPr>
          <w:rFonts w:hint="eastAsia"/>
          <w:color w:val="auto"/>
          <w:szCs w:val="21"/>
          <w:highlight w:val="none"/>
          <w:lang w:val="en-US" w:eastAsia="zh-CN"/>
        </w:rPr>
        <w:t>甲</w:t>
      </w:r>
      <w:r>
        <w:rPr>
          <w:rFonts w:hint="eastAsia"/>
          <w:color w:val="auto"/>
          <w:szCs w:val="21"/>
          <w:highlight w:val="none"/>
        </w:rPr>
        <w:t>方没收全部的履约保证金并乙方承担所有的违约责任并承担由此造成的甲方及丙、丁方的全部损失。</w:t>
      </w:r>
      <w:r>
        <w:rPr>
          <w:rFonts w:hint="eastAsia"/>
          <w:strike/>
          <w:color w:val="auto"/>
          <w:szCs w:val="21"/>
          <w:highlight w:val="none"/>
        </w:rPr>
        <w:t>乙方</w:t>
      </w:r>
      <w:r>
        <w:rPr>
          <w:rFonts w:hint="eastAsia"/>
          <w:bCs/>
          <w:strike/>
          <w:color w:val="auto"/>
          <w:szCs w:val="21"/>
          <w:highlight w:val="none"/>
        </w:rPr>
        <w:t>总工期超</w:t>
      </w:r>
      <w:r>
        <w:rPr>
          <w:rFonts w:hint="eastAsia"/>
          <w:strike/>
          <w:color w:val="auto"/>
          <w:szCs w:val="21"/>
          <w:highlight w:val="none"/>
        </w:rPr>
        <w:t>过本合同约定期限的，按照逾期交货承担违约责任。</w:t>
      </w:r>
    </w:p>
    <w:p>
      <w:pPr>
        <w:snapToGrid w:val="0"/>
        <w:spacing w:line="360" w:lineRule="auto"/>
        <w:ind w:firstLine="420" w:firstLineChars="200"/>
        <w:rPr>
          <w:color w:val="auto"/>
          <w:szCs w:val="21"/>
          <w:highlight w:val="none"/>
        </w:rPr>
      </w:pPr>
      <w:r>
        <w:rPr>
          <w:rFonts w:hint="eastAsia"/>
          <w:color w:val="auto"/>
          <w:szCs w:val="21"/>
          <w:highlight w:val="none"/>
        </w:rPr>
        <w:t>16.2乙方交付的货品不能满足招标文件及合同主要技术标准及质量要求的，应按照要求更换、重做、修理直至按照甲方及丙、丁方的要求退货并每发生一次</w:t>
      </w:r>
      <w:r>
        <w:rPr>
          <w:color w:val="auto"/>
          <w:szCs w:val="21"/>
          <w:highlight w:val="none"/>
        </w:rPr>
        <w:t>，</w:t>
      </w:r>
      <w:r>
        <w:rPr>
          <w:rFonts w:hint="eastAsia"/>
          <w:color w:val="auto"/>
          <w:szCs w:val="21"/>
          <w:highlight w:val="none"/>
        </w:rPr>
        <w:t>乙方应向丙方支付违约金元，累计发生次</w:t>
      </w:r>
      <w:r>
        <w:rPr>
          <w:color w:val="auto"/>
          <w:szCs w:val="21"/>
          <w:highlight w:val="none"/>
        </w:rPr>
        <w:t>（</w:t>
      </w:r>
      <w:r>
        <w:rPr>
          <w:rFonts w:hint="eastAsia"/>
          <w:color w:val="auto"/>
          <w:szCs w:val="21"/>
          <w:highlight w:val="none"/>
        </w:rPr>
        <w:t>含</w:t>
      </w:r>
      <w:r>
        <w:rPr>
          <w:color w:val="auto"/>
          <w:szCs w:val="21"/>
          <w:highlight w:val="none"/>
        </w:rPr>
        <w:t>）</w:t>
      </w:r>
      <w:r>
        <w:rPr>
          <w:rFonts w:hint="eastAsia"/>
          <w:color w:val="auto"/>
          <w:szCs w:val="21"/>
          <w:highlight w:val="none"/>
        </w:rPr>
        <w:t>以上的</w:t>
      </w:r>
      <w:r>
        <w:rPr>
          <w:color w:val="auto"/>
          <w:szCs w:val="21"/>
          <w:highlight w:val="none"/>
        </w:rPr>
        <w:t>，</w:t>
      </w:r>
      <w:r>
        <w:rPr>
          <w:rFonts w:hint="eastAsia"/>
          <w:color w:val="auto"/>
          <w:szCs w:val="21"/>
          <w:highlight w:val="none"/>
        </w:rPr>
        <w:t>甲方</w:t>
      </w:r>
      <w:r>
        <w:rPr>
          <w:color w:val="auto"/>
          <w:szCs w:val="21"/>
          <w:highlight w:val="none"/>
        </w:rPr>
        <w:t>、</w:t>
      </w:r>
      <w:r>
        <w:rPr>
          <w:rFonts w:hint="eastAsia"/>
          <w:color w:val="auto"/>
          <w:szCs w:val="21"/>
          <w:highlight w:val="none"/>
        </w:rPr>
        <w:t>丙、丁方有权解除本合同</w:t>
      </w:r>
      <w:r>
        <w:rPr>
          <w:color w:val="auto"/>
          <w:szCs w:val="21"/>
          <w:highlight w:val="none"/>
        </w:rPr>
        <w:t>、</w:t>
      </w:r>
      <w:r>
        <w:rPr>
          <w:rFonts w:hint="eastAsia"/>
          <w:b/>
          <w:bCs/>
          <w:color w:val="auto"/>
          <w:szCs w:val="21"/>
          <w:highlight w:val="none"/>
        </w:rPr>
        <w:t>甲方有权没</w:t>
      </w:r>
      <w:r>
        <w:rPr>
          <w:rFonts w:hint="eastAsia"/>
          <w:color w:val="auto"/>
          <w:szCs w:val="21"/>
          <w:highlight w:val="none"/>
        </w:rPr>
        <w:t>收全部的履约保证金</w:t>
      </w:r>
      <w:r>
        <w:rPr>
          <w:color w:val="auto"/>
          <w:szCs w:val="21"/>
          <w:highlight w:val="none"/>
        </w:rPr>
        <w:t>，</w:t>
      </w:r>
      <w:r>
        <w:rPr>
          <w:rFonts w:hint="eastAsia"/>
          <w:color w:val="auto"/>
          <w:szCs w:val="21"/>
          <w:highlight w:val="none"/>
        </w:rPr>
        <w:t>乙方承担全部的违约责任并乙方应承担因此造成的甲方及丙、丁方的所有损失</w:t>
      </w:r>
      <w:r>
        <w:rPr>
          <w:color w:val="auto"/>
          <w:szCs w:val="21"/>
          <w:highlight w:val="none"/>
        </w:rPr>
        <w:t>。</w:t>
      </w:r>
      <w:r>
        <w:rPr>
          <w:rFonts w:hint="eastAsia"/>
          <w:color w:val="auto"/>
          <w:szCs w:val="21"/>
          <w:highlight w:val="none"/>
        </w:rPr>
        <w:t>因此造成交货逾期的，每逾期一天，乙方按2000.00元/天向丙方支付违约金；逾期超过30天的，甲方及丙、丁方有权解除合同，要求乙方退还已收款项并向丙方支付本合同总价款5％的违约金。</w:t>
      </w:r>
    </w:p>
    <w:p>
      <w:pPr>
        <w:snapToGrid w:val="0"/>
        <w:spacing w:line="360" w:lineRule="auto"/>
        <w:ind w:firstLine="420" w:firstLineChars="200"/>
        <w:rPr>
          <w:color w:val="auto"/>
          <w:szCs w:val="21"/>
          <w:highlight w:val="none"/>
        </w:rPr>
      </w:pPr>
      <w:r>
        <w:rPr>
          <w:rFonts w:hint="eastAsia"/>
          <w:color w:val="auto"/>
          <w:szCs w:val="21"/>
          <w:highlight w:val="none"/>
        </w:rPr>
        <w:t>16.3乙方接受甲方及丙、丁方对供货期调整的要求，具体方式为：甲方及丙、丁方提前十五天发出有甲方及丙、丁方代表签发的书面通知，乙方进行书面确认后即可执行</w:t>
      </w:r>
      <w:r>
        <w:rPr>
          <w:rFonts w:hint="eastAsia"/>
          <w:bCs/>
          <w:color w:val="auto"/>
          <w:szCs w:val="21"/>
          <w:highlight w:val="none"/>
        </w:rPr>
        <w:t>，</w:t>
      </w:r>
      <w:r>
        <w:rPr>
          <w:rFonts w:hint="eastAsia"/>
          <w:color w:val="auto"/>
          <w:szCs w:val="21"/>
          <w:highlight w:val="none"/>
        </w:rPr>
        <w:t>对此甲方及丙、丁方不承担违约责任。</w:t>
      </w:r>
    </w:p>
    <w:p>
      <w:pPr>
        <w:widowControl/>
        <w:spacing w:line="360" w:lineRule="auto"/>
        <w:ind w:firstLine="210"/>
        <w:rPr>
          <w:color w:val="auto"/>
          <w:szCs w:val="21"/>
          <w:highlight w:val="none"/>
        </w:rPr>
      </w:pPr>
      <w:r>
        <w:rPr>
          <w:rFonts w:hint="eastAsia"/>
          <w:color w:val="auto"/>
          <w:szCs w:val="21"/>
          <w:highlight w:val="none"/>
        </w:rPr>
        <w:t xml:space="preserve">  16.4如果乙方对本合同的执行敷衍了事，或忽视履行本合同约定的乙方任何工作及责任，而且从</w:t>
      </w:r>
      <w:r>
        <w:rPr>
          <w:rFonts w:hint="eastAsia"/>
          <w:bCs/>
          <w:color w:val="auto"/>
          <w:szCs w:val="21"/>
          <w:highlight w:val="none"/>
        </w:rPr>
        <w:t>甲方及丙方发出</w:t>
      </w:r>
      <w:r>
        <w:rPr>
          <w:rFonts w:hint="eastAsia"/>
          <w:color w:val="auto"/>
          <w:szCs w:val="21"/>
          <w:highlight w:val="none"/>
        </w:rPr>
        <w:t>书面要求其改正之日起30日内仍未采取有效措施并体现效果的，甲方及丙、丁方有权解除本合同，并书面通知乙方，由此造成的经济损失，甲方及丙、丁方有权在给乙方的任何款项中先行提取补偿，不足部分乙方仍应予以赔偿。</w:t>
      </w:r>
    </w:p>
    <w:p>
      <w:pPr>
        <w:snapToGrid w:val="0"/>
        <w:spacing w:line="360" w:lineRule="auto"/>
        <w:ind w:firstLine="420" w:firstLineChars="200"/>
        <w:rPr>
          <w:color w:val="auto"/>
          <w:szCs w:val="21"/>
          <w:highlight w:val="none"/>
        </w:rPr>
      </w:pPr>
      <w:r>
        <w:rPr>
          <w:rFonts w:hint="eastAsia"/>
          <w:color w:val="auto"/>
          <w:szCs w:val="21"/>
          <w:highlight w:val="none"/>
        </w:rPr>
        <w:t>16.5因乙方原因解除本合同时，乙方应向丙方支付签约合同价款</w:t>
      </w:r>
      <w:r>
        <w:rPr>
          <w:rFonts w:hint="eastAsia"/>
          <w:bCs/>
          <w:color w:val="auto"/>
          <w:szCs w:val="21"/>
          <w:highlight w:val="none"/>
        </w:rPr>
        <w:t>20</w:t>
      </w:r>
      <w:r>
        <w:rPr>
          <w:rFonts w:hint="eastAsia"/>
          <w:color w:val="auto"/>
          <w:szCs w:val="21"/>
          <w:highlight w:val="none"/>
        </w:rPr>
        <w:t>%的违约金，且甲方及丙、丁方有权决定是否接受属于乙方在现场的一切设施、设备、材料使用于本工程，并乙方应承担由此造成的甲方及丙、丁方的全部损失。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 .6未经甲方及丙、丁方书面同意，乙方将本合同的权利、义务以任何形式全部或部分让与他人的，甲方及丙、丁方有权解除本合同</w:t>
      </w:r>
      <w:r>
        <w:rPr>
          <w:color w:val="auto"/>
          <w:szCs w:val="21"/>
          <w:highlight w:val="none"/>
        </w:rPr>
        <w:t>、</w:t>
      </w:r>
      <w:r>
        <w:rPr>
          <w:rFonts w:hint="eastAsia"/>
          <w:color w:val="auto"/>
          <w:szCs w:val="21"/>
          <w:highlight w:val="none"/>
        </w:rPr>
        <w:t>没收全部的履约保证金</w:t>
      </w:r>
      <w:r>
        <w:rPr>
          <w:color w:val="auto"/>
          <w:szCs w:val="21"/>
          <w:highlight w:val="none"/>
        </w:rPr>
        <w:t>，</w:t>
      </w:r>
      <w:r>
        <w:rPr>
          <w:rFonts w:hint="eastAsia"/>
          <w:color w:val="auto"/>
          <w:szCs w:val="21"/>
          <w:highlight w:val="none"/>
        </w:rPr>
        <w:t>乙方应按照本合同价款总额的</w:t>
      </w:r>
      <w:r>
        <w:rPr>
          <w:rFonts w:hint="eastAsia"/>
          <w:bCs/>
          <w:color w:val="auto"/>
          <w:szCs w:val="21"/>
          <w:highlight w:val="none"/>
        </w:rPr>
        <w:t>20</w:t>
      </w:r>
      <w:r>
        <w:rPr>
          <w:rFonts w:hint="eastAsia"/>
          <w:color w:val="auto"/>
          <w:szCs w:val="21"/>
          <w:highlight w:val="none"/>
        </w:rPr>
        <w:t>%向丙方支付违约金，并赔偿由此造成的甲方及丙、丁方的全部损失。</w:t>
      </w:r>
    </w:p>
    <w:p>
      <w:pPr>
        <w:snapToGrid w:val="0"/>
        <w:spacing w:line="360" w:lineRule="auto"/>
        <w:ind w:firstLine="420" w:firstLineChars="200"/>
        <w:rPr>
          <w:color w:val="auto"/>
          <w:szCs w:val="21"/>
          <w:highlight w:val="none"/>
        </w:rPr>
      </w:pPr>
      <w:r>
        <w:rPr>
          <w:rFonts w:hint="eastAsia"/>
          <w:color w:val="auto"/>
          <w:szCs w:val="21"/>
          <w:highlight w:val="none"/>
        </w:rPr>
        <w:t>16.7本合同中所有乙方应支付给丙方的违约金，乙方在收到书面通知后未及时支付的，甲方有权在收到丙方扣款通知后在应付乙方的任何款项中扣除后转交给丙方。</w:t>
      </w:r>
    </w:p>
    <w:p>
      <w:pPr>
        <w:pStyle w:val="25"/>
        <w:spacing w:line="360" w:lineRule="auto"/>
        <w:ind w:firstLineChars="200"/>
        <w:rPr>
          <w:color w:val="auto"/>
          <w:sz w:val="21"/>
          <w:szCs w:val="21"/>
          <w:highlight w:val="none"/>
        </w:rPr>
      </w:pPr>
      <w:r>
        <w:rPr>
          <w:rFonts w:hint="eastAsia"/>
          <w:color w:val="auto"/>
          <w:sz w:val="21"/>
          <w:szCs w:val="21"/>
          <w:highlight w:val="none"/>
        </w:rPr>
        <w:t>16.8因乙方原因延误工期给甲方造成损失的（包括但不限于直接损失与间接损失）均由乙方承担相应责任及费用，甲方有权从乙方工程款中扣除相应费用，不足部分甲方有权追偿。</w:t>
      </w:r>
    </w:p>
    <w:p>
      <w:pPr>
        <w:spacing w:line="360" w:lineRule="auto"/>
        <w:rPr>
          <w:color w:val="auto"/>
          <w:szCs w:val="21"/>
          <w:highlight w:val="none"/>
        </w:rPr>
      </w:pPr>
      <w:r>
        <w:rPr>
          <w:rFonts w:hint="eastAsia"/>
          <w:color w:val="auto"/>
          <w:szCs w:val="21"/>
          <w:highlight w:val="none"/>
        </w:rPr>
        <w:t xml:space="preserve">  16.9因乙方原因造成绍兴市妇幼保健院（绍兴市儿童医院）建设项目工程单项或整体验收不合格</w:t>
      </w:r>
      <w:r>
        <w:rPr>
          <w:rFonts w:hint="eastAsia"/>
          <w:color w:val="auto"/>
          <w:szCs w:val="21"/>
          <w:highlight w:val="none"/>
          <w:lang w:val="en-US" w:eastAsia="zh-CN"/>
        </w:rPr>
        <w:t>或</w:t>
      </w:r>
      <w:r>
        <w:rPr>
          <w:rFonts w:hint="eastAsia"/>
          <w:color w:val="auto"/>
          <w:szCs w:val="21"/>
          <w:highlight w:val="none"/>
        </w:rPr>
        <w:t>未能通过“钱江杯”“鲁班奖”验收标准的，甲方有权没收乙方缴纳的履约保证金，同时由此产生的一切责任与费用均由乙方承担，甲方有权在乙方工程款中扣除相应费用，不足部分甲方有权追偿。</w:t>
      </w:r>
    </w:p>
    <w:p>
      <w:pPr>
        <w:snapToGrid w:val="0"/>
        <w:spacing w:line="360" w:lineRule="auto"/>
        <w:ind w:firstLine="420" w:firstLineChars="200"/>
        <w:outlineLvl w:val="0"/>
        <w:rPr>
          <w:color w:val="auto"/>
          <w:szCs w:val="21"/>
          <w:highlight w:val="none"/>
        </w:rPr>
      </w:pPr>
      <w:bookmarkStart w:id="439" w:name="_Toc18664"/>
      <w:r>
        <w:rPr>
          <w:rFonts w:hint="eastAsia"/>
          <w:color w:val="auto"/>
          <w:szCs w:val="21"/>
          <w:highlight w:val="none"/>
        </w:rPr>
        <w:t>17、其他</w:t>
      </w:r>
      <w:bookmarkEnd w:id="439"/>
    </w:p>
    <w:p>
      <w:pPr>
        <w:snapToGrid w:val="0"/>
        <w:spacing w:line="360" w:lineRule="auto"/>
        <w:ind w:firstLine="420" w:firstLineChars="200"/>
        <w:rPr>
          <w:color w:val="auto"/>
          <w:szCs w:val="21"/>
          <w:highlight w:val="none"/>
        </w:rPr>
      </w:pPr>
      <w:r>
        <w:rPr>
          <w:rFonts w:hint="eastAsia"/>
          <w:color w:val="auto"/>
          <w:szCs w:val="21"/>
          <w:highlight w:val="none"/>
        </w:rPr>
        <w:t>17.1乙方提出使用专利技术或特殊工艺，应取得甲方及丙、丁方和监理单位认可，乙方负责办理申报手续并承担有关费用。</w:t>
      </w:r>
    </w:p>
    <w:p>
      <w:pPr>
        <w:snapToGrid w:val="0"/>
        <w:spacing w:line="360" w:lineRule="auto"/>
        <w:ind w:firstLine="420" w:firstLineChars="200"/>
        <w:rPr>
          <w:color w:val="auto"/>
          <w:szCs w:val="21"/>
          <w:highlight w:val="none"/>
        </w:rPr>
      </w:pPr>
      <w:r>
        <w:rPr>
          <w:rFonts w:hint="eastAsia"/>
          <w:color w:val="auto"/>
          <w:szCs w:val="21"/>
          <w:highlight w:val="none"/>
        </w:rPr>
        <w:t>17.2乙方擅自使用专利技术侵犯他人专利权的因此产生的侵权纠纷</w:t>
      </w:r>
      <w:r>
        <w:rPr>
          <w:color w:val="auto"/>
          <w:szCs w:val="21"/>
          <w:highlight w:val="none"/>
        </w:rPr>
        <w:t>，</w:t>
      </w:r>
      <w:r>
        <w:rPr>
          <w:rFonts w:hint="eastAsia"/>
          <w:color w:val="auto"/>
          <w:szCs w:val="21"/>
          <w:highlight w:val="none"/>
        </w:rPr>
        <w:t>由乙方自行承担并每发生一次</w:t>
      </w:r>
      <w:r>
        <w:rPr>
          <w:color w:val="auto"/>
          <w:szCs w:val="21"/>
          <w:highlight w:val="none"/>
        </w:rPr>
        <w:t>，</w:t>
      </w:r>
      <w:r>
        <w:rPr>
          <w:rFonts w:hint="eastAsia"/>
          <w:color w:val="auto"/>
          <w:szCs w:val="21"/>
          <w:highlight w:val="none"/>
        </w:rPr>
        <w:t>乙方应向丙方支付违约金元，如造成甲方及丙、丁方损失的</w:t>
      </w:r>
      <w:r>
        <w:rPr>
          <w:color w:val="auto"/>
          <w:szCs w:val="21"/>
          <w:highlight w:val="none"/>
        </w:rPr>
        <w:t>，</w:t>
      </w:r>
      <w:r>
        <w:rPr>
          <w:rFonts w:hint="eastAsia"/>
          <w:color w:val="auto"/>
          <w:szCs w:val="21"/>
          <w:highlight w:val="none"/>
        </w:rPr>
        <w:t>甲方及丙、丁方有权全额向乙方追索且甲方及丙、丁方有权视情形解除本合同。</w:t>
      </w:r>
    </w:p>
    <w:p>
      <w:pPr>
        <w:pStyle w:val="25"/>
        <w:spacing w:line="360" w:lineRule="auto"/>
        <w:ind w:firstLine="422" w:firstLineChars="200"/>
        <w:rPr>
          <w:b/>
          <w:bCs/>
          <w:color w:val="auto"/>
          <w:sz w:val="21"/>
          <w:szCs w:val="21"/>
          <w:highlight w:val="none"/>
        </w:rPr>
      </w:pPr>
      <w:r>
        <w:rPr>
          <w:rFonts w:hint="eastAsia"/>
          <w:b/>
          <w:bCs/>
          <w:color w:val="auto"/>
          <w:sz w:val="21"/>
          <w:szCs w:val="21"/>
          <w:highlight w:val="none"/>
        </w:rPr>
        <w:t>特别注明：本项目所有涉及到的方案或者深化图纸及变更都需经丙</w:t>
      </w:r>
      <w:r>
        <w:rPr>
          <w:rFonts w:hint="eastAsia"/>
          <w:b/>
          <w:bCs/>
          <w:color w:val="auto"/>
          <w:sz w:val="21"/>
          <w:szCs w:val="21"/>
          <w:highlight w:val="none"/>
          <w:lang w:eastAsia="zh-CN"/>
        </w:rPr>
        <w:t>、</w:t>
      </w:r>
      <w:r>
        <w:rPr>
          <w:rFonts w:hint="eastAsia"/>
          <w:b/>
          <w:bCs/>
          <w:color w:val="auto"/>
          <w:sz w:val="21"/>
          <w:szCs w:val="21"/>
          <w:highlight w:val="none"/>
          <w:lang w:val="en-US" w:eastAsia="zh-CN"/>
        </w:rPr>
        <w:t>丁</w:t>
      </w:r>
      <w:r>
        <w:rPr>
          <w:rFonts w:hint="eastAsia"/>
          <w:b/>
          <w:bCs/>
          <w:color w:val="auto"/>
          <w:sz w:val="21"/>
          <w:szCs w:val="21"/>
          <w:highlight w:val="none"/>
        </w:rPr>
        <w:t>方书面确认并同意后实施，甲方单方面要求乙方的变更无效。</w:t>
      </w:r>
    </w:p>
    <w:p>
      <w:pPr>
        <w:snapToGrid w:val="0"/>
        <w:spacing w:line="360" w:lineRule="auto"/>
        <w:ind w:firstLine="422" w:firstLineChars="200"/>
        <w:rPr>
          <w:b/>
          <w:color w:val="auto"/>
          <w:szCs w:val="21"/>
          <w:highlight w:val="none"/>
        </w:rPr>
      </w:pPr>
      <w:r>
        <w:rPr>
          <w:rFonts w:hint="eastAsia"/>
          <w:b/>
          <w:color w:val="auto"/>
          <w:szCs w:val="21"/>
          <w:highlight w:val="none"/>
        </w:rPr>
        <w:t>18、售后服务</w:t>
      </w:r>
    </w:p>
    <w:p>
      <w:pPr>
        <w:snapToGrid w:val="0"/>
        <w:spacing w:line="360" w:lineRule="auto"/>
        <w:ind w:firstLine="420" w:firstLineChars="200"/>
        <w:rPr>
          <w:color w:val="auto"/>
          <w:szCs w:val="21"/>
          <w:highlight w:val="none"/>
        </w:rPr>
      </w:pPr>
      <w:r>
        <w:rPr>
          <w:rFonts w:hint="eastAsia"/>
          <w:color w:val="auto"/>
          <w:szCs w:val="21"/>
          <w:highlight w:val="none"/>
        </w:rPr>
        <w:t>18.1乙方应按法律、行政法规或国家关于设备质量保修的有关规定，对交付甲方及丙方使用的设备在质量保修期内承担质量保修责任。如乙方为联合体的，则应按照联合体成员各自承担的合同内容履行售后服务。</w:t>
      </w:r>
    </w:p>
    <w:p>
      <w:pPr>
        <w:snapToGrid w:val="0"/>
        <w:spacing w:line="360" w:lineRule="auto"/>
        <w:ind w:firstLine="420" w:firstLineChars="200"/>
        <w:rPr>
          <w:color w:val="auto"/>
          <w:szCs w:val="21"/>
          <w:highlight w:val="none"/>
        </w:rPr>
      </w:pPr>
      <w:r>
        <w:rPr>
          <w:rFonts w:hint="eastAsia"/>
          <w:color w:val="auto"/>
          <w:szCs w:val="21"/>
          <w:highlight w:val="none"/>
        </w:rPr>
        <w:t>18.2无论在质量保证期内还是质量保证期满后，一旦设备发生故障，而甲方及丙、丁方无法自行排除时，在接到甲方及丙方通知后，乙方须在甲方及丙、丁方书面通知后2小时内赶到现场维修并及时提供备品、备件，并于4小时内完成维修，质保期内乙方须安排专业维保人员驻场，驻场人员数量及资质须满足甲方及丙方需求并获得书面审批，人员未到场一天，扣500元/天。</w:t>
      </w:r>
    </w:p>
    <w:p>
      <w:pPr>
        <w:snapToGrid w:val="0"/>
        <w:spacing w:line="360" w:lineRule="auto"/>
        <w:ind w:firstLine="420" w:firstLineChars="200"/>
        <w:rPr>
          <w:color w:val="auto"/>
          <w:szCs w:val="21"/>
          <w:highlight w:val="none"/>
        </w:rPr>
      </w:pPr>
      <w:r>
        <w:rPr>
          <w:rFonts w:hint="eastAsia"/>
          <w:color w:val="auto"/>
          <w:szCs w:val="21"/>
          <w:highlight w:val="none"/>
        </w:rPr>
        <w:t>18.3每个维修项目完成后，经甲方及丙方或设备管理方验收并签字后，方为该维修项目本次维修完毕。</w:t>
      </w:r>
    </w:p>
    <w:p>
      <w:pPr>
        <w:snapToGrid w:val="0"/>
        <w:spacing w:line="360" w:lineRule="auto"/>
        <w:ind w:firstLine="420" w:firstLineChars="200"/>
        <w:rPr>
          <w:color w:val="auto"/>
          <w:szCs w:val="21"/>
          <w:highlight w:val="none"/>
        </w:rPr>
      </w:pPr>
      <w:r>
        <w:rPr>
          <w:rFonts w:hint="eastAsia"/>
          <w:color w:val="auto"/>
          <w:szCs w:val="21"/>
          <w:highlight w:val="none"/>
        </w:rPr>
        <w:t>18.4乙方未按本合同约定到场维修或未按约定时间维修完毕的，甲方及丙、丁方有权委派他方处理，处理结果由甲方及丙、丁方或管理方签字认可后即生效，不再经由乙方确认（甲方及丙、丁方或管理方将处理情况通知乙方），因此所发生的一切费用从乙方保修款中扣除，不足扣除的，另行向乙方追偿。且乙方未能按售后服务要求提供服务的</w:t>
      </w:r>
      <w:r>
        <w:rPr>
          <w:color w:val="auto"/>
          <w:szCs w:val="21"/>
          <w:highlight w:val="none"/>
        </w:rPr>
        <w:t>，</w:t>
      </w:r>
      <w:r>
        <w:rPr>
          <w:rFonts w:hint="eastAsia"/>
          <w:color w:val="auto"/>
          <w:szCs w:val="21"/>
          <w:highlight w:val="none"/>
        </w:rPr>
        <w:t>每发生一次</w:t>
      </w:r>
      <w:r>
        <w:rPr>
          <w:color w:val="auto"/>
          <w:szCs w:val="21"/>
          <w:highlight w:val="none"/>
        </w:rPr>
        <w:t>，</w:t>
      </w:r>
      <w:r>
        <w:rPr>
          <w:rFonts w:hint="eastAsia"/>
          <w:color w:val="auto"/>
          <w:szCs w:val="21"/>
          <w:highlight w:val="none"/>
        </w:rPr>
        <w:t>乙方应向丙方支付违约金</w:t>
      </w:r>
      <w:r>
        <w:rPr>
          <w:color w:val="auto"/>
          <w:szCs w:val="21"/>
          <w:highlight w:val="none"/>
        </w:rPr>
        <w:t>1000</w:t>
      </w:r>
      <w:r>
        <w:rPr>
          <w:rFonts w:hint="eastAsia"/>
          <w:color w:val="auto"/>
          <w:szCs w:val="21"/>
          <w:highlight w:val="none"/>
        </w:rPr>
        <w:t>元。</w:t>
      </w:r>
    </w:p>
    <w:p>
      <w:pPr>
        <w:tabs>
          <w:tab w:val="left" w:pos="1800"/>
        </w:tabs>
        <w:spacing w:line="360" w:lineRule="auto"/>
        <w:ind w:left="210" w:leftChars="100"/>
        <w:rPr>
          <w:color w:val="auto"/>
          <w:szCs w:val="21"/>
          <w:highlight w:val="none"/>
        </w:rPr>
      </w:pPr>
      <w:bookmarkStart w:id="440" w:name="OLE_LINK6"/>
      <w:r>
        <w:rPr>
          <w:rFonts w:hint="eastAsia"/>
          <w:color w:val="auto"/>
          <w:szCs w:val="21"/>
          <w:highlight w:val="none"/>
        </w:rPr>
        <w:t xml:space="preserve">  18.5</w:t>
      </w:r>
      <w:bookmarkEnd w:id="440"/>
      <w:r>
        <w:rPr>
          <w:rFonts w:hint="eastAsia"/>
          <w:color w:val="auto"/>
          <w:szCs w:val="21"/>
          <w:highlight w:val="none"/>
        </w:rPr>
        <w:t>乙方承诺，无论以上质量缺陷属乙方、甲方及丙、丁方或其他方责任，在接到通知后，均遵守上述时间性要求不问理由地进行维修，并在维修过程中与甲方及丙、丁方及管理方共同取证，以判断责任原因，不属乙方责任的，由责任方向乙方支付材料及人工费用。</w:t>
      </w:r>
    </w:p>
    <w:p>
      <w:pPr>
        <w:tabs>
          <w:tab w:val="left" w:pos="1800"/>
        </w:tabs>
        <w:spacing w:line="360" w:lineRule="auto"/>
        <w:ind w:left="210" w:leftChars="100"/>
        <w:rPr>
          <w:color w:val="auto"/>
          <w:szCs w:val="21"/>
          <w:highlight w:val="none"/>
        </w:rPr>
      </w:pPr>
      <w:r>
        <w:rPr>
          <w:rFonts w:hint="eastAsia"/>
          <w:color w:val="auto"/>
          <w:szCs w:val="21"/>
          <w:highlight w:val="none"/>
        </w:rPr>
        <w:t xml:space="preserve">  18.6乙方免费培训甲方及丙方或甲方及丙方指定的操作、管理人员，经培训合格后能上岗操作。</w:t>
      </w:r>
    </w:p>
    <w:p>
      <w:pPr>
        <w:spacing w:line="360" w:lineRule="auto"/>
        <w:ind w:left="210" w:leftChars="100"/>
        <w:rPr>
          <w:b/>
          <w:bCs/>
          <w:color w:val="auto"/>
          <w:szCs w:val="21"/>
          <w:highlight w:val="none"/>
        </w:rPr>
      </w:pPr>
      <w:r>
        <w:rPr>
          <w:rFonts w:hint="eastAsia"/>
          <w:b/>
          <w:bCs/>
          <w:color w:val="auto"/>
          <w:szCs w:val="21"/>
          <w:highlight w:val="none"/>
        </w:rPr>
        <w:t xml:space="preserve"> 19.物流系统设备供货内容</w:t>
      </w:r>
    </w:p>
    <w:p>
      <w:pPr>
        <w:spacing w:line="360" w:lineRule="auto"/>
        <w:ind w:firstLine="420" w:firstLineChars="200"/>
        <w:rPr>
          <w:i/>
          <w:iCs/>
          <w:color w:val="auto"/>
          <w:szCs w:val="21"/>
          <w:highlight w:val="none"/>
        </w:rPr>
      </w:pPr>
      <w:r>
        <w:rPr>
          <w:rFonts w:hint="eastAsia"/>
          <w:color w:val="auto"/>
          <w:szCs w:val="21"/>
          <w:highlight w:val="none"/>
        </w:rPr>
        <w:t>19.1具体详见招标文件所附货物清单</w:t>
      </w:r>
    </w:p>
    <w:p>
      <w:pPr>
        <w:spacing w:line="360" w:lineRule="auto"/>
        <w:ind w:firstLine="210"/>
        <w:rPr>
          <w:color w:val="auto"/>
          <w:szCs w:val="21"/>
          <w:highlight w:val="none"/>
        </w:rPr>
      </w:pPr>
      <w:r>
        <w:rPr>
          <w:rFonts w:hint="eastAsia"/>
          <w:color w:val="auto"/>
          <w:szCs w:val="21"/>
          <w:highlight w:val="none"/>
        </w:rPr>
        <w:t xml:space="preserve">  19.2本合同价格包括物流系统设备的深化设计、制造、运输、安装</w:t>
      </w:r>
      <w:r>
        <w:rPr>
          <w:rFonts w:hint="eastAsia"/>
          <w:bCs/>
          <w:color w:val="auto"/>
          <w:szCs w:val="21"/>
          <w:highlight w:val="none"/>
        </w:rPr>
        <w:t>调试、试运行、</w:t>
      </w:r>
      <w:r>
        <w:rPr>
          <w:rFonts w:hint="eastAsia"/>
          <w:color w:val="auto"/>
          <w:szCs w:val="21"/>
          <w:highlight w:val="none"/>
        </w:rPr>
        <w:t>设备检测、验收、税金、保险等所有费用。</w:t>
      </w:r>
    </w:p>
    <w:p>
      <w:pPr>
        <w:pStyle w:val="6"/>
        <w:adjustRightInd w:val="0"/>
        <w:ind w:firstLine="422"/>
        <w:textAlignment w:val="baseline"/>
        <w:rPr>
          <w:color w:val="auto"/>
          <w:spacing w:val="30"/>
          <w:szCs w:val="21"/>
          <w:highlight w:val="none"/>
        </w:rPr>
      </w:pPr>
      <w:r>
        <w:rPr>
          <w:rFonts w:hint="eastAsia"/>
          <w:color w:val="auto"/>
          <w:szCs w:val="21"/>
          <w:highlight w:val="none"/>
        </w:rPr>
        <w:t>附件1：廉政合同（格式）</w:t>
      </w:r>
    </w:p>
    <w:p>
      <w:pPr>
        <w:spacing w:line="360" w:lineRule="auto"/>
        <w:jc w:val="center"/>
        <w:rPr>
          <w:b/>
          <w:color w:val="auto"/>
          <w:szCs w:val="21"/>
          <w:highlight w:val="none"/>
        </w:rPr>
      </w:pPr>
      <w:r>
        <w:rPr>
          <w:rFonts w:hint="eastAsia"/>
          <w:b/>
          <w:color w:val="auto"/>
          <w:szCs w:val="21"/>
          <w:highlight w:val="none"/>
        </w:rPr>
        <w:t>廉政合同</w:t>
      </w:r>
    </w:p>
    <w:p>
      <w:pPr>
        <w:spacing w:line="360" w:lineRule="auto"/>
        <w:rPr>
          <w:color w:val="auto"/>
          <w:szCs w:val="21"/>
          <w:highlight w:val="none"/>
        </w:rPr>
      </w:pPr>
    </w:p>
    <w:p>
      <w:pPr>
        <w:spacing w:line="360" w:lineRule="auto"/>
        <w:rPr>
          <w:color w:val="auto"/>
          <w:szCs w:val="21"/>
          <w:highlight w:val="none"/>
        </w:rPr>
      </w:pPr>
      <w:r>
        <w:rPr>
          <w:rFonts w:hint="eastAsia"/>
          <w:color w:val="auto"/>
          <w:szCs w:val="21"/>
          <w:highlight w:val="none"/>
        </w:rPr>
        <w:t>甲方 ：浙江精工钢结构集团有限公司</w:t>
      </w:r>
    </w:p>
    <w:p>
      <w:pPr>
        <w:spacing w:line="360" w:lineRule="auto"/>
        <w:rPr>
          <w:color w:val="auto"/>
          <w:szCs w:val="21"/>
          <w:highlight w:val="none"/>
        </w:rPr>
      </w:pPr>
      <w:r>
        <w:rPr>
          <w:rFonts w:hint="eastAsia"/>
          <w:color w:val="auto"/>
          <w:szCs w:val="21"/>
          <w:highlight w:val="none"/>
        </w:rPr>
        <w:t xml:space="preserve">乙方 ：                         （中标单位） </w:t>
      </w:r>
    </w:p>
    <w:p>
      <w:pPr>
        <w:spacing w:line="360" w:lineRule="auto"/>
        <w:ind w:firstLine="420" w:firstLineChars="200"/>
        <w:rPr>
          <w:color w:val="auto"/>
          <w:szCs w:val="21"/>
          <w:highlight w:val="none"/>
        </w:rPr>
      </w:pPr>
      <w:r>
        <w:rPr>
          <w:rFonts w:hint="eastAsia"/>
          <w:color w:val="auto"/>
          <w:szCs w:val="21"/>
          <w:highlight w:val="none"/>
        </w:rPr>
        <w:t>为加强工程建设中的廉政建设，规范工程建设过程中甲、乙双方的各项活动，防止发生各种谋取不正当利益的违法违纪行为，保护国家、集体和当事人的合法权益，根据国家有关工程建设的法律法规和廉政建设责任制规定，特订立本廉政合同。</w:t>
      </w:r>
    </w:p>
    <w:p>
      <w:pPr>
        <w:spacing w:line="360" w:lineRule="auto"/>
        <w:ind w:firstLine="472" w:firstLineChars="225"/>
        <w:rPr>
          <w:color w:val="auto"/>
          <w:szCs w:val="21"/>
          <w:highlight w:val="none"/>
        </w:rPr>
      </w:pPr>
      <w:r>
        <w:rPr>
          <w:rFonts w:hint="eastAsia"/>
          <w:color w:val="auto"/>
          <w:szCs w:val="21"/>
          <w:highlight w:val="none"/>
        </w:rPr>
        <w:t>第一条 甲乙双方的责任</w:t>
      </w:r>
    </w:p>
    <w:p>
      <w:pPr>
        <w:spacing w:line="360" w:lineRule="auto"/>
        <w:ind w:firstLine="472" w:firstLineChars="225"/>
        <w:rPr>
          <w:color w:val="auto"/>
          <w:szCs w:val="21"/>
          <w:highlight w:val="none"/>
        </w:rPr>
      </w:pPr>
      <w:r>
        <w:rPr>
          <w:rFonts w:hint="eastAsia"/>
          <w:color w:val="auto"/>
          <w:szCs w:val="21"/>
          <w:highlight w:val="none"/>
        </w:rPr>
        <w:t>（一）应严格遵守国家关于市场准入、项目招标投标、工程建设、市场活动的有关法律、法规，相关政策，以及廉政建设的各项规定。</w:t>
      </w:r>
    </w:p>
    <w:p>
      <w:pPr>
        <w:spacing w:line="360" w:lineRule="auto"/>
        <w:ind w:firstLine="472" w:firstLineChars="225"/>
        <w:rPr>
          <w:color w:val="auto"/>
          <w:szCs w:val="21"/>
          <w:highlight w:val="none"/>
        </w:rPr>
      </w:pPr>
      <w:r>
        <w:rPr>
          <w:rFonts w:hint="eastAsia"/>
          <w:color w:val="auto"/>
          <w:szCs w:val="21"/>
          <w:highlight w:val="none"/>
        </w:rPr>
        <w:t>（二）严格执行</w:t>
      </w:r>
      <w:r>
        <w:rPr>
          <w:rFonts w:hint="eastAsia"/>
          <w:color w:val="auto"/>
          <w:kern w:val="58"/>
          <w:szCs w:val="21"/>
          <w:highlight w:val="none"/>
        </w:rPr>
        <w:t>绍兴市妇幼保健院（绍兴市儿童医院）建设项目医疗物流系统项目</w:t>
      </w:r>
      <w:r>
        <w:rPr>
          <w:rFonts w:hint="eastAsia"/>
          <w:color w:val="auto"/>
          <w:szCs w:val="21"/>
          <w:highlight w:val="none"/>
        </w:rPr>
        <w:t>供货协议书文件，自觉按协议书办事。</w:t>
      </w:r>
    </w:p>
    <w:p>
      <w:pPr>
        <w:spacing w:line="360" w:lineRule="auto"/>
        <w:ind w:firstLine="472" w:firstLineChars="225"/>
        <w:rPr>
          <w:color w:val="auto"/>
          <w:szCs w:val="21"/>
          <w:highlight w:val="none"/>
        </w:rPr>
      </w:pPr>
      <w:r>
        <w:rPr>
          <w:rFonts w:hint="eastAsia"/>
          <w:color w:val="auto"/>
          <w:szCs w:val="21"/>
          <w:highlight w:val="none"/>
        </w:rPr>
        <w:t>（三）业务活动必须坚持公开、公平、公正、诚信、透明的原则（除法律法规另有规定者外），不得为获取不正当的利益，损害国家、集体和对方利益，不得违反工程建设管理的规章制度。</w:t>
      </w:r>
    </w:p>
    <w:p>
      <w:pPr>
        <w:spacing w:line="360" w:lineRule="auto"/>
        <w:ind w:firstLine="472" w:firstLineChars="225"/>
        <w:rPr>
          <w:color w:val="auto"/>
          <w:szCs w:val="21"/>
          <w:highlight w:val="none"/>
        </w:rPr>
      </w:pPr>
      <w:r>
        <w:rPr>
          <w:rFonts w:hint="eastAsia"/>
          <w:color w:val="auto"/>
          <w:szCs w:val="21"/>
          <w:highlight w:val="none"/>
        </w:rPr>
        <w:t>（四）发现对方在业务活动中有违规、违纪、违法行为的，应及时提醒对方，情节严重的，应向其上级主管部门或纪检监察、司法等有关机关举报。</w:t>
      </w:r>
    </w:p>
    <w:p>
      <w:pPr>
        <w:spacing w:line="360" w:lineRule="auto"/>
        <w:ind w:firstLine="472" w:firstLineChars="225"/>
        <w:rPr>
          <w:color w:val="auto"/>
          <w:szCs w:val="21"/>
          <w:highlight w:val="none"/>
        </w:rPr>
      </w:pPr>
      <w:r>
        <w:rPr>
          <w:rFonts w:hint="eastAsia"/>
          <w:color w:val="auto"/>
          <w:szCs w:val="21"/>
          <w:highlight w:val="none"/>
        </w:rPr>
        <w:t>第二条 甲方的责任</w:t>
      </w:r>
    </w:p>
    <w:p>
      <w:pPr>
        <w:spacing w:line="360" w:lineRule="auto"/>
        <w:ind w:firstLine="472" w:firstLineChars="225"/>
        <w:rPr>
          <w:color w:val="auto"/>
          <w:szCs w:val="21"/>
          <w:highlight w:val="none"/>
        </w:rPr>
      </w:pPr>
      <w:r>
        <w:rPr>
          <w:rFonts w:hint="eastAsia"/>
          <w:color w:val="auto"/>
          <w:szCs w:val="21"/>
          <w:highlight w:val="none"/>
        </w:rPr>
        <w:t>甲方的领导和从事该建设工程项目的工作人员，在工程建设的事前、事中、事后应遵守以下规定：</w:t>
      </w:r>
    </w:p>
    <w:p>
      <w:pPr>
        <w:spacing w:line="360" w:lineRule="auto"/>
        <w:ind w:firstLine="472" w:firstLineChars="225"/>
        <w:rPr>
          <w:color w:val="auto"/>
          <w:szCs w:val="21"/>
          <w:highlight w:val="none"/>
        </w:rPr>
      </w:pPr>
      <w:r>
        <w:rPr>
          <w:rFonts w:hint="eastAsia"/>
          <w:color w:val="auto"/>
          <w:szCs w:val="21"/>
          <w:highlight w:val="none"/>
        </w:rPr>
        <w:t>（一）不准向乙方和相关单位索要或接受回扣、礼金、有价证券、贵重物品和好处费、感谢费等。</w:t>
      </w:r>
    </w:p>
    <w:p>
      <w:pPr>
        <w:spacing w:line="360" w:lineRule="auto"/>
        <w:ind w:firstLine="472" w:firstLineChars="225"/>
        <w:rPr>
          <w:color w:val="auto"/>
          <w:szCs w:val="21"/>
          <w:highlight w:val="none"/>
        </w:rPr>
      </w:pPr>
      <w:r>
        <w:rPr>
          <w:rFonts w:hint="eastAsia"/>
          <w:color w:val="auto"/>
          <w:szCs w:val="21"/>
          <w:highlight w:val="none"/>
        </w:rPr>
        <w:t>（二）不准在乙方和相关单位报销任何应由甲方或个人支付的费用。</w:t>
      </w:r>
    </w:p>
    <w:p>
      <w:pPr>
        <w:spacing w:line="360" w:lineRule="auto"/>
        <w:ind w:firstLine="472" w:firstLineChars="225"/>
        <w:rPr>
          <w:color w:val="auto"/>
          <w:szCs w:val="21"/>
          <w:highlight w:val="none"/>
        </w:rPr>
      </w:pPr>
      <w:r>
        <w:rPr>
          <w:rFonts w:hint="eastAsia"/>
          <w:color w:val="auto"/>
          <w:szCs w:val="21"/>
          <w:highlight w:val="none"/>
        </w:rPr>
        <w:t>（三）不准要求、暗示或接受乙方和相关单位为个人装修住房、婚丧嫁娶、配偶子女的工作安排以及出国（境）、旅游等提供方便。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（四）不准参加有可能影响公正执行公务的乙方和相关单位的宴请、娱乐等活动。</w:t>
      </w:r>
    </w:p>
    <w:p>
      <w:pPr>
        <w:spacing w:line="360" w:lineRule="auto"/>
        <w:ind w:firstLine="472" w:firstLineChars="225"/>
        <w:rPr>
          <w:color w:val="auto"/>
          <w:szCs w:val="21"/>
          <w:highlight w:val="none"/>
        </w:rPr>
      </w:pPr>
      <w:r>
        <w:rPr>
          <w:rFonts w:hint="eastAsia"/>
          <w:color w:val="auto"/>
          <w:szCs w:val="21"/>
          <w:highlight w:val="none"/>
        </w:rPr>
        <w:t>（五）不准向乙方和相关单位介绍或为配偶、子女、亲属参与同甲方钢筋供货合同有关的业务等活动。不得以任何理由要求乙方和相关单位在生产过程中使用某种产品、材料和设备。</w:t>
      </w:r>
    </w:p>
    <w:p>
      <w:pPr>
        <w:spacing w:line="360" w:lineRule="auto"/>
        <w:ind w:firstLine="472" w:firstLineChars="225"/>
        <w:rPr>
          <w:color w:val="auto"/>
          <w:szCs w:val="21"/>
          <w:highlight w:val="none"/>
        </w:rPr>
      </w:pPr>
      <w:r>
        <w:rPr>
          <w:rFonts w:hint="eastAsia"/>
          <w:color w:val="auto"/>
          <w:szCs w:val="21"/>
          <w:highlight w:val="none"/>
        </w:rPr>
        <w:t>第三条 乙方的责任</w:t>
      </w:r>
    </w:p>
    <w:p>
      <w:pPr>
        <w:spacing w:line="360" w:lineRule="auto"/>
        <w:ind w:firstLine="472" w:firstLineChars="225"/>
        <w:rPr>
          <w:color w:val="auto"/>
          <w:szCs w:val="21"/>
          <w:highlight w:val="none"/>
        </w:rPr>
      </w:pPr>
      <w:r>
        <w:rPr>
          <w:rFonts w:hint="eastAsia"/>
          <w:color w:val="auto"/>
          <w:szCs w:val="21"/>
          <w:highlight w:val="none"/>
        </w:rPr>
        <w:t>应与甲方保持正常的业务交往，按照有关法律法规和程序开展业务工作，严格执行工程建设的有关方针、政策，尤其是有关强制性标准和规范，并遵守以下规定：</w:t>
      </w:r>
    </w:p>
    <w:p>
      <w:pPr>
        <w:spacing w:line="360" w:lineRule="auto"/>
        <w:ind w:firstLine="472" w:firstLineChars="225"/>
        <w:rPr>
          <w:color w:val="auto"/>
          <w:szCs w:val="21"/>
          <w:highlight w:val="none"/>
        </w:rPr>
      </w:pPr>
      <w:r>
        <w:rPr>
          <w:rFonts w:hint="eastAsia"/>
          <w:color w:val="auto"/>
          <w:szCs w:val="21"/>
          <w:highlight w:val="none"/>
        </w:rPr>
        <w:t>（一）不准以任何理由向甲方及其工作人员索要、接受或赠送礼金、有价证券、贵重物品及回扣、好处费、感谢费等。</w:t>
      </w:r>
    </w:p>
    <w:p>
      <w:pPr>
        <w:spacing w:line="360" w:lineRule="auto"/>
        <w:ind w:firstLine="472" w:firstLineChars="225"/>
        <w:rPr>
          <w:color w:val="auto"/>
          <w:szCs w:val="21"/>
          <w:highlight w:val="none"/>
        </w:rPr>
      </w:pPr>
      <w:r>
        <w:rPr>
          <w:rFonts w:hint="eastAsia"/>
          <w:color w:val="auto"/>
          <w:szCs w:val="21"/>
          <w:highlight w:val="none"/>
        </w:rPr>
        <w:t>（二）不准以任何理由为甲方和相关单位报销应由对方或个人支付的费用。</w:t>
      </w:r>
    </w:p>
    <w:p>
      <w:pPr>
        <w:spacing w:line="360" w:lineRule="auto"/>
        <w:ind w:firstLine="472" w:firstLineChars="225"/>
        <w:rPr>
          <w:color w:val="auto"/>
          <w:szCs w:val="21"/>
          <w:highlight w:val="none"/>
        </w:rPr>
      </w:pPr>
      <w:r>
        <w:rPr>
          <w:rFonts w:hint="eastAsia"/>
          <w:color w:val="auto"/>
          <w:szCs w:val="21"/>
          <w:highlight w:val="none"/>
        </w:rPr>
        <w:t>（三）不准接受或暗示为甲方、相关单位或个人装修住房、婚丧嫁娶、配偶子女的工作安排以及出国（境）、旅游等提供方便。</w:t>
      </w:r>
    </w:p>
    <w:p>
      <w:pPr>
        <w:spacing w:line="360" w:lineRule="auto"/>
        <w:ind w:firstLine="472" w:firstLineChars="225"/>
        <w:rPr>
          <w:color w:val="auto"/>
          <w:szCs w:val="21"/>
          <w:highlight w:val="none"/>
        </w:rPr>
      </w:pPr>
      <w:r>
        <w:rPr>
          <w:rFonts w:hint="eastAsia"/>
          <w:color w:val="auto"/>
          <w:szCs w:val="21"/>
          <w:highlight w:val="none"/>
        </w:rPr>
        <w:t>（四）不准以任何理由为甲方、相关单位或个人组织有可能影响公正执行公务的宴请、健身、娱乐等活动。</w:t>
      </w:r>
    </w:p>
    <w:p>
      <w:pPr>
        <w:spacing w:line="360" w:lineRule="auto"/>
        <w:ind w:firstLine="472" w:firstLineChars="225"/>
        <w:rPr>
          <w:color w:val="auto"/>
          <w:szCs w:val="21"/>
          <w:highlight w:val="none"/>
        </w:rPr>
      </w:pPr>
      <w:r>
        <w:rPr>
          <w:rFonts w:hint="eastAsia"/>
          <w:color w:val="auto"/>
          <w:szCs w:val="21"/>
          <w:highlight w:val="none"/>
        </w:rPr>
        <w:t>第四条 违约责任</w:t>
      </w:r>
    </w:p>
    <w:p>
      <w:pPr>
        <w:spacing w:line="360" w:lineRule="auto"/>
        <w:ind w:firstLine="472" w:firstLineChars="225"/>
        <w:rPr>
          <w:color w:val="auto"/>
          <w:szCs w:val="21"/>
          <w:highlight w:val="none"/>
        </w:rPr>
      </w:pPr>
      <w:r>
        <w:rPr>
          <w:rFonts w:hint="eastAsia"/>
          <w:color w:val="auto"/>
          <w:szCs w:val="21"/>
          <w:highlight w:val="none"/>
        </w:rPr>
        <w:t>（一）甲方工作人员有违反本协议第一、二条责任行为的，按照管理权限，依据有关法律法规和规定给予党纪、政纪处分或组织处理；涉嫌犯罪的，移交司法机关追究刑事责任；给乙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二）乙方工作人员有违反本协议第一、三条责任行为的，按照管理权限，依据有关法律法规和规定给予党纪、政纪处分或组织处理；涉嫌犯罪的，移交司法机关追究刑事责任；给甲方单位造成经济损失的，应予以赔偿。</w:t>
      </w:r>
    </w:p>
    <w:p>
      <w:pPr>
        <w:spacing w:line="360" w:lineRule="auto"/>
        <w:ind w:firstLine="472" w:firstLineChars="225"/>
        <w:rPr>
          <w:color w:val="auto"/>
          <w:szCs w:val="21"/>
          <w:highlight w:val="none"/>
        </w:rPr>
      </w:pPr>
      <w:r>
        <w:rPr>
          <w:rFonts w:hint="eastAsia"/>
          <w:color w:val="auto"/>
          <w:szCs w:val="21"/>
          <w:highlight w:val="none"/>
        </w:rPr>
        <w:t>第五条 本合同与协议书具有同等法律效力。经双方签字盖章后立即生效。</w:t>
      </w:r>
    </w:p>
    <w:p>
      <w:pPr>
        <w:spacing w:line="360" w:lineRule="auto"/>
        <w:ind w:firstLine="472" w:firstLineChars="225"/>
        <w:rPr>
          <w:color w:val="auto"/>
          <w:szCs w:val="21"/>
          <w:highlight w:val="none"/>
        </w:rPr>
      </w:pPr>
      <w:r>
        <w:rPr>
          <w:rFonts w:hint="eastAsia"/>
          <w:color w:val="auto"/>
          <w:szCs w:val="21"/>
          <w:highlight w:val="none"/>
        </w:rPr>
        <w:t>第六条 本合同的有效期同主合同。</w:t>
      </w:r>
    </w:p>
    <w:p>
      <w:pPr>
        <w:spacing w:line="360" w:lineRule="auto"/>
        <w:ind w:firstLine="420" w:firstLineChars="200"/>
        <w:rPr>
          <w:color w:val="auto"/>
          <w:szCs w:val="21"/>
          <w:highlight w:val="none"/>
        </w:rPr>
      </w:pPr>
      <w:r>
        <w:rPr>
          <w:rFonts w:hint="eastAsia"/>
          <w:color w:val="auto"/>
          <w:szCs w:val="21"/>
          <w:highlight w:val="none"/>
        </w:rPr>
        <w:t>第七条 本合同正副本份数同主合同。</w:t>
      </w:r>
    </w:p>
    <w:p>
      <w:pPr>
        <w:spacing w:line="360" w:lineRule="auto"/>
        <w:ind w:firstLine="472" w:firstLineChars="225"/>
        <w:rPr>
          <w:color w:val="auto"/>
          <w:szCs w:val="21"/>
          <w:highlight w:val="none"/>
        </w:rPr>
      </w:pPr>
    </w:p>
    <w:p>
      <w:pPr>
        <w:tabs>
          <w:tab w:val="left" w:pos="3780"/>
        </w:tabs>
        <w:spacing w:line="360" w:lineRule="auto"/>
        <w:rPr>
          <w:color w:val="auto"/>
          <w:szCs w:val="21"/>
          <w:highlight w:val="none"/>
        </w:rPr>
      </w:pPr>
      <w:r>
        <w:rPr>
          <w:rFonts w:hint="eastAsia"/>
          <w:color w:val="auto"/>
          <w:szCs w:val="21"/>
          <w:highlight w:val="none"/>
        </w:rPr>
        <w:t>甲方：</w:t>
      </w:r>
      <w:r>
        <w:rPr>
          <w:rFonts w:hint="eastAsia"/>
          <w:color w:val="auto"/>
          <w:szCs w:val="21"/>
          <w:highlight w:val="none"/>
          <w:u w:val="single"/>
        </w:rPr>
        <w:t xml:space="preserve">浙江精工钢结构集团有限公司  </w:t>
      </w:r>
      <w:r>
        <w:rPr>
          <w:rFonts w:hint="eastAsia"/>
          <w:color w:val="auto"/>
          <w:szCs w:val="21"/>
          <w:highlight w:val="none"/>
        </w:rPr>
        <w:t xml:space="preserve">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（盖章）</w:t>
      </w:r>
      <w:r>
        <w:rPr>
          <w:rFonts w:hint="eastAsia"/>
          <w:color w:val="auto"/>
          <w:szCs w:val="21"/>
          <w:highlight w:val="none"/>
          <w:u w:val="single"/>
        </w:rPr>
        <w:t xml:space="preserve">                                             </w:t>
      </w:r>
      <w:r>
        <w:rPr>
          <w:rFonts w:hint="eastAsia"/>
          <w:color w:val="auto"/>
          <w:szCs w:val="21"/>
          <w:highlight w:val="none"/>
        </w:rPr>
        <w:t>（盖章）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u w:val="single"/>
        </w:rPr>
      </w:pPr>
      <w:r>
        <w:rPr>
          <w:rFonts w:hint="eastAsia"/>
          <w:color w:val="auto"/>
          <w:szCs w:val="21"/>
          <w:highlight w:val="none"/>
        </w:rPr>
        <w:t>日期：      年     月     日           日期：     年     月       日</w:t>
      </w:r>
    </w:p>
    <w:p>
      <w:pPr>
        <w:spacing w:line="360" w:lineRule="auto"/>
        <w:rPr>
          <w:color w:val="auto"/>
          <w:szCs w:val="21"/>
          <w:highlight w:val="none"/>
        </w:rPr>
      </w:pPr>
      <w:r>
        <w:rPr>
          <w:rFonts w:hint="eastAsia"/>
          <w:color w:val="auto"/>
          <w:szCs w:val="21"/>
          <w:highlight w:val="none"/>
        </w:rPr>
        <w:br w:type="page"/>
      </w:r>
    </w:p>
    <w:p>
      <w:pPr>
        <w:pStyle w:val="6"/>
        <w:adjustRightInd w:val="0"/>
        <w:ind w:firstLine="422"/>
        <w:textAlignment w:val="baseline"/>
        <w:rPr>
          <w:color w:val="auto"/>
          <w:szCs w:val="21"/>
          <w:highlight w:val="none"/>
        </w:rPr>
      </w:pPr>
      <w:r>
        <w:rPr>
          <w:rFonts w:hint="eastAsia"/>
          <w:color w:val="auto"/>
          <w:szCs w:val="21"/>
          <w:highlight w:val="none"/>
        </w:rPr>
        <w:t>附件2：履约保函（格式）</w:t>
      </w:r>
    </w:p>
    <w:p>
      <w:pPr>
        <w:snapToGrid w:val="0"/>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履约保函</w:t>
      </w:r>
    </w:p>
    <w:p>
      <w:pPr>
        <w:spacing w:line="360" w:lineRule="auto"/>
        <w:rPr>
          <w:b/>
          <w:color w:val="auto"/>
          <w:szCs w:val="21"/>
          <w:highlight w:val="none"/>
          <w:u w:val="single"/>
        </w:rPr>
      </w:pPr>
    </w:p>
    <w:p>
      <w:pPr>
        <w:spacing w:line="360" w:lineRule="auto"/>
        <w:rPr>
          <w:b/>
          <w:color w:val="auto"/>
          <w:szCs w:val="21"/>
          <w:highlight w:val="none"/>
        </w:rPr>
      </w:pPr>
      <w:r>
        <w:rPr>
          <w:rFonts w:hint="eastAsia"/>
          <w:color w:val="auto"/>
          <w:szCs w:val="21"/>
          <w:highlight w:val="none"/>
          <w:u w:val="single"/>
        </w:rPr>
        <w:t>浙江精工钢结构集团有限公司</w:t>
      </w:r>
      <w:r>
        <w:rPr>
          <w:rFonts w:hint="eastAsia"/>
          <w:b/>
          <w:color w:val="auto"/>
          <w:szCs w:val="21"/>
          <w:highlight w:val="none"/>
        </w:rPr>
        <w:t>：</w:t>
      </w:r>
    </w:p>
    <w:p>
      <w:pPr>
        <w:spacing w:line="360" w:lineRule="auto"/>
        <w:ind w:firstLine="420" w:firstLineChars="200"/>
        <w:rPr>
          <w:color w:val="auto"/>
          <w:szCs w:val="21"/>
          <w:highlight w:val="none"/>
        </w:rPr>
      </w:pPr>
      <w:r>
        <w:rPr>
          <w:rFonts w:hint="eastAsia"/>
          <w:color w:val="auto"/>
          <w:szCs w:val="21"/>
          <w:highlight w:val="none"/>
        </w:rPr>
        <w:t>鉴于       （以下简称“甲方”）接受      （以下简称“乙方”）于   年  月  日参加          （项目名称）的投标。我方愿意无条件地、不可撤销地就乙方履行与你方订立的合同，向你方提供保函。</w:t>
      </w:r>
    </w:p>
    <w:p>
      <w:pPr>
        <w:spacing w:line="360" w:lineRule="auto"/>
        <w:ind w:firstLine="420" w:firstLineChars="200"/>
        <w:rPr>
          <w:color w:val="auto"/>
          <w:szCs w:val="21"/>
          <w:highlight w:val="none"/>
        </w:rPr>
      </w:pPr>
      <w:r>
        <w:rPr>
          <w:rFonts w:hint="eastAsia"/>
          <w:color w:val="auto"/>
          <w:szCs w:val="21"/>
          <w:highlight w:val="none"/>
        </w:rPr>
        <w:t>1.保函金额人民币</w:t>
      </w:r>
      <w:r>
        <w:rPr>
          <w:rFonts w:hint="eastAsia"/>
          <w:color w:val="auto"/>
          <w:szCs w:val="21"/>
          <w:highlight w:val="none"/>
          <w:u w:val="single"/>
        </w:rPr>
        <w:t xml:space="preserve">（大写）              </w:t>
      </w:r>
      <w:r>
        <w:rPr>
          <w:rFonts w:hint="eastAsia"/>
          <w:color w:val="auto"/>
          <w:szCs w:val="21"/>
          <w:highlight w:val="none"/>
        </w:rPr>
        <w:t>元（¥）。</w:t>
      </w:r>
    </w:p>
    <w:p>
      <w:pPr>
        <w:spacing w:line="360" w:lineRule="auto"/>
        <w:ind w:firstLine="420" w:firstLineChars="200"/>
        <w:rPr>
          <w:color w:val="auto"/>
          <w:szCs w:val="21"/>
          <w:highlight w:val="none"/>
        </w:rPr>
      </w:pPr>
      <w:r>
        <w:rPr>
          <w:rFonts w:hint="eastAsia"/>
          <w:color w:val="auto"/>
          <w:szCs w:val="21"/>
          <w:highlight w:val="none"/>
        </w:rPr>
        <w:t>2.保函有效期：自甲、乙双方签订的合同协议书生效之日起，至</w:t>
      </w:r>
      <w:r>
        <w:rPr>
          <w:rFonts w:hint="eastAsia"/>
          <w:color w:val="auto"/>
          <w:szCs w:val="21"/>
          <w:highlight w:val="none"/>
          <w:u w:val="single"/>
        </w:rPr>
        <w:t xml:space="preserve">20  </w:t>
      </w:r>
      <w:r>
        <w:rPr>
          <w:rFonts w:hint="eastAsia"/>
          <w:color w:val="auto"/>
          <w:szCs w:val="21"/>
          <w:highlight w:val="none"/>
        </w:rPr>
        <w:t>年  月  日止。</w:t>
      </w:r>
    </w:p>
    <w:p>
      <w:pPr>
        <w:spacing w:line="360" w:lineRule="auto"/>
        <w:ind w:firstLine="420" w:firstLineChars="200"/>
        <w:rPr>
          <w:color w:val="auto"/>
          <w:szCs w:val="21"/>
          <w:highlight w:val="none"/>
        </w:rPr>
      </w:pPr>
      <w:r>
        <w:rPr>
          <w:rFonts w:hint="eastAsia"/>
          <w:color w:val="auto"/>
          <w:szCs w:val="21"/>
          <w:highlight w:val="none"/>
        </w:rPr>
        <w:t>3.在本保函有效期内，我方在收到你方以书面形式提出的在担保金额内的赔偿要求后，在5个工作日内无条件支付。</w:t>
      </w:r>
    </w:p>
    <w:p>
      <w:pPr>
        <w:spacing w:line="360" w:lineRule="auto"/>
        <w:ind w:firstLine="420" w:firstLineChars="200"/>
        <w:rPr>
          <w:color w:val="auto"/>
          <w:szCs w:val="21"/>
          <w:highlight w:val="none"/>
        </w:rPr>
      </w:pPr>
      <w:r>
        <w:rPr>
          <w:rFonts w:hint="eastAsia"/>
          <w:color w:val="auto"/>
          <w:szCs w:val="21"/>
          <w:highlight w:val="none"/>
        </w:rPr>
        <w:t>4.甲、乙双方按规定修改合同时，我方承担本担保规定的义务不变。</w:t>
      </w:r>
    </w:p>
    <w:p>
      <w:pPr>
        <w:spacing w:line="360" w:lineRule="auto"/>
        <w:ind w:firstLine="420" w:firstLineChars="200"/>
        <w:rPr>
          <w:color w:val="auto"/>
          <w:szCs w:val="21"/>
          <w:highlight w:val="none"/>
        </w:rPr>
      </w:pPr>
      <w:r>
        <w:rPr>
          <w:rFonts w:hint="eastAsia"/>
          <w:color w:val="auto"/>
          <w:szCs w:val="21"/>
          <w:highlight w:val="none"/>
        </w:rPr>
        <w:t>5.本保函以及与本保函有关的纠纷，由各方协商解决，协商不成的，任何一方均可向甲方所在地人民法院提请诉讼。</w:t>
      </w:r>
    </w:p>
    <w:p>
      <w:pPr>
        <w:spacing w:line="360" w:lineRule="auto"/>
        <w:ind w:firstLine="420" w:firstLineChars="200"/>
        <w:rPr>
          <w:color w:val="auto"/>
          <w:szCs w:val="21"/>
          <w:highlight w:val="none"/>
        </w:rPr>
      </w:pPr>
    </w:p>
    <w:p>
      <w:pPr>
        <w:spacing w:line="360" w:lineRule="auto"/>
        <w:rPr>
          <w:color w:val="auto"/>
          <w:szCs w:val="21"/>
          <w:highlight w:val="none"/>
        </w:rPr>
      </w:pPr>
    </w:p>
    <w:p>
      <w:pPr>
        <w:spacing w:line="360" w:lineRule="auto"/>
        <w:rPr>
          <w:color w:val="auto"/>
          <w:szCs w:val="21"/>
          <w:highlight w:val="none"/>
        </w:rPr>
      </w:pPr>
    </w:p>
    <w:p>
      <w:pPr>
        <w:spacing w:line="360" w:lineRule="auto"/>
        <w:ind w:firstLine="2520" w:firstLineChars="1200"/>
        <w:rPr>
          <w:color w:val="auto"/>
          <w:szCs w:val="21"/>
          <w:highlight w:val="none"/>
        </w:rPr>
      </w:pPr>
      <w:r>
        <w:rPr>
          <w:rFonts w:hint="eastAsia"/>
          <w:color w:val="auto"/>
          <w:szCs w:val="21"/>
          <w:highlight w:val="none"/>
          <w:lang w:eastAsia="zh-CN"/>
        </w:rPr>
        <w:t>连带责任</w:t>
      </w:r>
      <w:r>
        <w:rPr>
          <w:rFonts w:hint="eastAsia"/>
          <w:color w:val="auto"/>
          <w:szCs w:val="21"/>
          <w:highlight w:val="none"/>
        </w:rPr>
        <w:t>担保人：（盖单位公章）</w:t>
      </w:r>
    </w:p>
    <w:p>
      <w:pPr>
        <w:spacing w:line="360" w:lineRule="auto"/>
        <w:ind w:firstLine="2520" w:firstLineChars="1200"/>
        <w:rPr>
          <w:color w:val="auto"/>
          <w:szCs w:val="21"/>
          <w:highlight w:val="none"/>
        </w:rPr>
      </w:pPr>
      <w:r>
        <w:rPr>
          <w:rFonts w:hint="eastAsia"/>
          <w:color w:val="auto"/>
          <w:szCs w:val="21"/>
          <w:highlight w:val="none"/>
        </w:rPr>
        <w:t>法定代表人或其委托代理人：（签字）</w:t>
      </w:r>
    </w:p>
    <w:p>
      <w:pPr>
        <w:spacing w:line="360" w:lineRule="auto"/>
        <w:ind w:firstLine="2520" w:firstLineChars="1200"/>
        <w:rPr>
          <w:color w:val="auto"/>
          <w:szCs w:val="21"/>
          <w:highlight w:val="none"/>
        </w:rPr>
      </w:pPr>
      <w:r>
        <w:rPr>
          <w:rFonts w:hint="eastAsia"/>
          <w:color w:val="auto"/>
          <w:szCs w:val="21"/>
          <w:highlight w:val="none"/>
        </w:rPr>
        <w:t>地址：</w:t>
      </w:r>
    </w:p>
    <w:p>
      <w:pPr>
        <w:spacing w:line="360" w:lineRule="auto"/>
        <w:ind w:firstLine="2520" w:firstLineChars="1200"/>
        <w:rPr>
          <w:color w:val="auto"/>
          <w:szCs w:val="21"/>
          <w:highlight w:val="none"/>
        </w:rPr>
      </w:pPr>
      <w:r>
        <w:rPr>
          <w:rFonts w:hint="eastAsia"/>
          <w:color w:val="auto"/>
          <w:szCs w:val="21"/>
          <w:highlight w:val="none"/>
        </w:rPr>
        <w:t>邮编：</w:t>
      </w:r>
    </w:p>
    <w:p>
      <w:pPr>
        <w:spacing w:line="360" w:lineRule="auto"/>
        <w:ind w:firstLine="2520" w:firstLineChars="1200"/>
        <w:rPr>
          <w:color w:val="auto"/>
          <w:szCs w:val="21"/>
          <w:highlight w:val="none"/>
        </w:rPr>
      </w:pPr>
      <w:r>
        <w:rPr>
          <w:rFonts w:hint="eastAsia"/>
          <w:color w:val="auto"/>
          <w:szCs w:val="21"/>
          <w:highlight w:val="none"/>
        </w:rPr>
        <w:t>电话：</w:t>
      </w:r>
    </w:p>
    <w:p>
      <w:pPr>
        <w:spacing w:line="360" w:lineRule="auto"/>
        <w:ind w:firstLine="2520" w:firstLineChars="1200"/>
        <w:rPr>
          <w:color w:val="auto"/>
          <w:szCs w:val="21"/>
          <w:highlight w:val="none"/>
        </w:rPr>
      </w:pPr>
      <w:r>
        <w:rPr>
          <w:rFonts w:hint="eastAsia"/>
          <w:color w:val="auto"/>
          <w:szCs w:val="21"/>
          <w:highlight w:val="none"/>
        </w:rPr>
        <w:t>传真：</w:t>
      </w:r>
    </w:p>
    <w:p>
      <w:pPr>
        <w:tabs>
          <w:tab w:val="left" w:pos="4500"/>
          <w:tab w:val="left" w:pos="4680"/>
        </w:tabs>
        <w:spacing w:line="360" w:lineRule="auto"/>
        <w:rPr>
          <w:color w:val="auto"/>
          <w:szCs w:val="21"/>
          <w:highlight w:val="none"/>
        </w:rPr>
      </w:pPr>
      <w:r>
        <w:rPr>
          <w:rFonts w:hint="eastAsia"/>
          <w:color w:val="auto"/>
          <w:szCs w:val="21"/>
          <w:highlight w:val="none"/>
        </w:rPr>
        <w:t xml:space="preserve">     年     月     日</w:t>
      </w:r>
    </w:p>
    <w:p>
      <w:pPr>
        <w:spacing w:line="360" w:lineRule="auto"/>
        <w:rPr>
          <w:color w:val="auto"/>
          <w:szCs w:val="21"/>
          <w:highlight w:val="none"/>
        </w:rPr>
        <w:sectPr>
          <w:footerReference r:id="rId5" w:type="even"/>
          <w:pgSz w:w="11906" w:h="16838"/>
          <w:pgMar w:top="1440" w:right="1797" w:bottom="1440" w:left="1797" w:header="851" w:footer="992" w:gutter="0"/>
          <w:cols w:space="720" w:num="1"/>
          <w:docGrid w:linePitch="312" w:charSpace="0"/>
        </w:sectPr>
      </w:pPr>
    </w:p>
    <w:p>
      <w:pPr>
        <w:tabs>
          <w:tab w:val="left" w:pos="4500"/>
          <w:tab w:val="left" w:pos="4680"/>
        </w:tabs>
        <w:spacing w:line="360" w:lineRule="auto"/>
        <w:rPr>
          <w:color w:val="auto"/>
          <w:spacing w:val="30"/>
          <w:szCs w:val="21"/>
          <w:highlight w:val="none"/>
        </w:rPr>
      </w:pPr>
      <w:r>
        <w:rPr>
          <w:rFonts w:hint="eastAsia"/>
          <w:b/>
          <w:color w:val="auto"/>
          <w:szCs w:val="21"/>
          <w:highlight w:val="none"/>
        </w:rPr>
        <w:t>附件3：安全生产合同（格式）</w:t>
      </w:r>
    </w:p>
    <w:p>
      <w:pPr>
        <w:spacing w:line="360" w:lineRule="auto"/>
        <w:rPr>
          <w:color w:val="auto"/>
          <w:szCs w:val="21"/>
          <w:highlight w:val="none"/>
        </w:rPr>
      </w:pPr>
    </w:p>
    <w:p>
      <w:pPr>
        <w:spacing w:line="360" w:lineRule="auto"/>
        <w:jc w:val="center"/>
        <w:rPr>
          <w:b/>
          <w:color w:val="auto"/>
          <w:szCs w:val="21"/>
          <w:highlight w:val="none"/>
        </w:rPr>
      </w:pPr>
      <w:r>
        <w:rPr>
          <w:rFonts w:hint="eastAsia"/>
          <w:b/>
          <w:color w:val="auto"/>
          <w:szCs w:val="21"/>
          <w:highlight w:val="none"/>
        </w:rPr>
        <w:t>安全生产合同</w:t>
      </w:r>
    </w:p>
    <w:p>
      <w:pPr>
        <w:spacing w:line="360" w:lineRule="auto"/>
        <w:ind w:firstLine="527"/>
        <w:rPr>
          <w:color w:val="auto"/>
          <w:szCs w:val="21"/>
          <w:highlight w:val="none"/>
        </w:rPr>
      </w:pPr>
    </w:p>
    <w:p>
      <w:pPr>
        <w:spacing w:line="360" w:lineRule="auto"/>
        <w:ind w:firstLine="527"/>
        <w:rPr>
          <w:color w:val="auto"/>
          <w:szCs w:val="21"/>
          <w:highlight w:val="none"/>
        </w:rPr>
      </w:pPr>
      <w:r>
        <w:rPr>
          <w:rFonts w:hint="eastAsia"/>
          <w:color w:val="auto"/>
          <w:szCs w:val="21"/>
          <w:highlight w:val="none"/>
        </w:rPr>
        <w:t>为在</w:t>
      </w:r>
      <w:r>
        <w:rPr>
          <w:rFonts w:hint="eastAsia"/>
          <w:color w:val="auto"/>
          <w:szCs w:val="21"/>
          <w:highlight w:val="none"/>
          <w:u w:val="single"/>
        </w:rPr>
        <w:t>绍兴市妇幼保健院（绍兴市儿童医院）建设项目医疗物流系统项目</w:t>
      </w:r>
      <w:r>
        <w:rPr>
          <w:rFonts w:hint="eastAsia"/>
          <w:color w:val="auto"/>
          <w:szCs w:val="21"/>
          <w:highlight w:val="none"/>
        </w:rPr>
        <w:t>供货合同的实施过程中创造安全、高效的环境，切实搞好本项目的安全管理工作，      （以下简称“甲方”）与       （以下简称“乙方”）特此签订安全生产合同如下：</w:t>
      </w:r>
    </w:p>
    <w:p>
      <w:pPr>
        <w:spacing w:line="360" w:lineRule="auto"/>
        <w:ind w:firstLine="527"/>
        <w:rPr>
          <w:color w:val="auto"/>
          <w:szCs w:val="21"/>
          <w:highlight w:val="none"/>
        </w:rPr>
      </w:pPr>
      <w:r>
        <w:rPr>
          <w:rFonts w:hint="eastAsia"/>
          <w:color w:val="auto"/>
          <w:szCs w:val="21"/>
          <w:highlight w:val="none"/>
        </w:rPr>
        <w:t>一、甲方职责</w:t>
      </w:r>
    </w:p>
    <w:p>
      <w:pPr>
        <w:spacing w:line="360" w:lineRule="auto"/>
        <w:ind w:firstLine="527"/>
        <w:rPr>
          <w:color w:val="auto"/>
          <w:szCs w:val="21"/>
          <w:highlight w:val="none"/>
        </w:rPr>
      </w:pPr>
      <w:r>
        <w:rPr>
          <w:rFonts w:hint="eastAsia"/>
          <w:color w:val="auto"/>
          <w:szCs w:val="21"/>
          <w:highlight w:val="none"/>
        </w:rPr>
        <w:t>1.严格遵守国家有关安全生产的法律法规等有关安全生产的规定，认真执行合同中的有关安全要求。</w:t>
      </w:r>
    </w:p>
    <w:p>
      <w:pPr>
        <w:spacing w:line="360" w:lineRule="auto"/>
        <w:ind w:firstLine="527"/>
        <w:rPr>
          <w:color w:val="auto"/>
          <w:szCs w:val="21"/>
          <w:highlight w:val="none"/>
        </w:rPr>
      </w:pPr>
      <w:r>
        <w:rPr>
          <w:rFonts w:hint="eastAsia"/>
          <w:color w:val="auto"/>
          <w:szCs w:val="21"/>
          <w:highlight w:val="none"/>
        </w:rPr>
        <w:t>2.定期召开安全生产调度会，及时传达中央及地方有关安全生产的精神。</w:t>
      </w:r>
    </w:p>
    <w:p>
      <w:pPr>
        <w:spacing w:line="360" w:lineRule="auto"/>
        <w:ind w:firstLine="527"/>
        <w:rPr>
          <w:color w:val="auto"/>
          <w:szCs w:val="21"/>
          <w:highlight w:val="none"/>
        </w:rPr>
      </w:pPr>
      <w:r>
        <w:rPr>
          <w:rFonts w:hint="eastAsia"/>
          <w:color w:val="auto"/>
          <w:szCs w:val="21"/>
          <w:highlight w:val="none"/>
        </w:rPr>
        <w:t>3.对乙方现场操作安全生产检查，监督乙方及时处理发现的各项安全隐患。</w:t>
      </w:r>
    </w:p>
    <w:p>
      <w:pPr>
        <w:spacing w:line="360" w:lineRule="auto"/>
        <w:ind w:firstLine="525"/>
        <w:rPr>
          <w:color w:val="auto"/>
          <w:szCs w:val="21"/>
          <w:highlight w:val="none"/>
        </w:rPr>
      </w:pPr>
      <w:r>
        <w:rPr>
          <w:rFonts w:hint="eastAsia"/>
          <w:color w:val="auto"/>
          <w:szCs w:val="21"/>
          <w:highlight w:val="none"/>
        </w:rPr>
        <w:t>二、乙方职责</w:t>
      </w:r>
    </w:p>
    <w:p>
      <w:pPr>
        <w:spacing w:line="360" w:lineRule="auto"/>
        <w:ind w:firstLine="525"/>
        <w:rPr>
          <w:color w:val="auto"/>
          <w:szCs w:val="21"/>
          <w:highlight w:val="none"/>
        </w:rPr>
      </w:pPr>
      <w:r>
        <w:rPr>
          <w:rFonts w:hint="eastAsia"/>
          <w:color w:val="auto"/>
          <w:szCs w:val="21"/>
          <w:highlight w:val="none"/>
        </w:rPr>
        <w:t>1.严格遵守国家有关安全生产的法律法规等有关安全生产的规定，认真执行工程承包合同中的有关安全要求。</w:t>
      </w:r>
    </w:p>
    <w:p>
      <w:pPr>
        <w:spacing w:line="360" w:lineRule="auto"/>
        <w:ind w:firstLine="525"/>
        <w:rPr>
          <w:color w:val="auto"/>
          <w:szCs w:val="21"/>
          <w:highlight w:val="none"/>
        </w:rPr>
      </w:pPr>
      <w:r>
        <w:rPr>
          <w:rFonts w:hint="eastAsia"/>
          <w:color w:val="auto"/>
          <w:szCs w:val="21"/>
          <w:highlight w:val="none"/>
        </w:rPr>
        <w:t>2.坚持“安全第一、预防为主”，加强安全生产宣传教育，增强全员安全生产意识，指定兼职安全检查人员。工作人员必须熟悉和遵守本条款的各项规定，做到生产与安全工作同时计划、布置、检查、总结和评比。</w:t>
      </w:r>
    </w:p>
    <w:p>
      <w:pPr>
        <w:spacing w:line="360" w:lineRule="auto"/>
        <w:ind w:firstLine="525"/>
        <w:rPr>
          <w:color w:val="auto"/>
          <w:szCs w:val="21"/>
          <w:highlight w:val="none"/>
        </w:rPr>
      </w:pPr>
      <w:r>
        <w:rPr>
          <w:rFonts w:hint="eastAsia"/>
          <w:color w:val="auto"/>
          <w:szCs w:val="21"/>
          <w:highlight w:val="none"/>
        </w:rPr>
        <w:t>3.建立安全责任制。从项目负责人到其他人员（包括临时雇请的民工）的安全生产管理系统必须做到纵向到底，一环不漏；人员的安全生产责任制做到横向到边，人人有责。 控制项目负责人是安全生产的第一责任人，负责所有员工的安全和治安保卫工作及预防事故的发生，有权按有关规定发布指令，并采取保护性措施防止事故发生。</w:t>
      </w:r>
    </w:p>
    <w:p>
      <w:pPr>
        <w:spacing w:line="360" w:lineRule="auto"/>
        <w:ind w:firstLine="525"/>
        <w:rPr>
          <w:color w:val="auto"/>
          <w:szCs w:val="21"/>
          <w:highlight w:val="none"/>
        </w:rPr>
      </w:pPr>
      <w:r>
        <w:rPr>
          <w:rFonts w:hint="eastAsia"/>
          <w:color w:val="auto"/>
          <w:szCs w:val="21"/>
          <w:highlight w:val="none"/>
        </w:rPr>
        <w:t>4.乙方在任何时候都应采取各种合理的预防措施，防止工作人员发生任何违法、违禁、暴力或妨碍治安的行为。</w:t>
      </w:r>
    </w:p>
    <w:p>
      <w:pPr>
        <w:spacing w:line="360" w:lineRule="auto"/>
        <w:ind w:firstLine="525"/>
        <w:rPr>
          <w:color w:val="auto"/>
          <w:szCs w:val="21"/>
          <w:highlight w:val="none"/>
        </w:rPr>
      </w:pPr>
      <w:r>
        <w:rPr>
          <w:rFonts w:hint="eastAsia"/>
          <w:color w:val="auto"/>
          <w:szCs w:val="21"/>
          <w:highlight w:val="none"/>
        </w:rPr>
        <w:t>5.乙方参加项目实施的人员，必须接受安全技术教育，熟知和遵守生产过程中的安全技术操作规程。生产、施工现场出现违反安全的操作，项目负责人必须承担管理责任。</w:t>
      </w:r>
    </w:p>
    <w:p>
      <w:pPr>
        <w:spacing w:line="360" w:lineRule="auto"/>
        <w:ind w:firstLine="525"/>
        <w:rPr>
          <w:color w:val="auto"/>
          <w:szCs w:val="21"/>
          <w:highlight w:val="none"/>
        </w:rPr>
      </w:pPr>
      <w:r>
        <w:rPr>
          <w:rFonts w:hint="eastAsia"/>
          <w:color w:val="auto"/>
          <w:szCs w:val="21"/>
          <w:highlight w:val="none"/>
        </w:rPr>
        <w:t>6.所有仪器设备和高空作业的设备均应定期检查，并有安全员的签字记录，保证其经常处于完好状态；不合格的仪器设备和劳动保护用品严禁使用。高空作业时应严格遵守高空作业的安全守则。</w:t>
      </w:r>
    </w:p>
    <w:p>
      <w:pPr>
        <w:spacing w:line="360" w:lineRule="auto"/>
        <w:ind w:firstLine="527"/>
        <w:rPr>
          <w:color w:val="auto"/>
          <w:szCs w:val="21"/>
          <w:highlight w:val="none"/>
        </w:rPr>
      </w:pPr>
      <w:r>
        <w:rPr>
          <w:rFonts w:hint="eastAsia"/>
          <w:color w:val="auto"/>
          <w:szCs w:val="21"/>
          <w:highlight w:val="none"/>
        </w:rPr>
        <w:t>7.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p>
    <w:p>
      <w:pPr>
        <w:spacing w:line="360" w:lineRule="auto"/>
        <w:ind w:firstLine="420" w:firstLineChars="200"/>
        <w:rPr>
          <w:color w:val="auto"/>
          <w:szCs w:val="21"/>
          <w:highlight w:val="none"/>
        </w:rPr>
      </w:pPr>
      <w:r>
        <w:rPr>
          <w:rFonts w:hint="eastAsia"/>
          <w:color w:val="auto"/>
          <w:szCs w:val="21"/>
          <w:highlight w:val="none"/>
        </w:rPr>
        <w:t>8.乙方的所有安全事故、损失均由乙方自行负责。</w:t>
      </w:r>
    </w:p>
    <w:p>
      <w:pPr>
        <w:spacing w:line="360" w:lineRule="auto"/>
        <w:ind w:firstLine="527"/>
        <w:rPr>
          <w:color w:val="auto"/>
          <w:szCs w:val="21"/>
          <w:highlight w:val="none"/>
        </w:rPr>
      </w:pPr>
      <w:r>
        <w:rPr>
          <w:rFonts w:hint="eastAsia"/>
          <w:color w:val="auto"/>
          <w:szCs w:val="21"/>
          <w:highlight w:val="none"/>
        </w:rPr>
        <w:t>三、违约责任：</w:t>
      </w:r>
    </w:p>
    <w:p>
      <w:pPr>
        <w:spacing w:line="360" w:lineRule="auto"/>
        <w:ind w:firstLine="527"/>
        <w:rPr>
          <w:color w:val="auto"/>
          <w:szCs w:val="21"/>
          <w:highlight w:val="none"/>
        </w:rPr>
      </w:pPr>
      <w:r>
        <w:rPr>
          <w:rFonts w:hint="eastAsia"/>
          <w:color w:val="auto"/>
          <w:szCs w:val="21"/>
          <w:highlight w:val="none"/>
        </w:rPr>
        <w:t>如因甲方或乙方违约造成安全事故，将依法追究责任。</w:t>
      </w:r>
    </w:p>
    <w:p>
      <w:pPr>
        <w:spacing w:line="360" w:lineRule="auto"/>
        <w:ind w:firstLine="525"/>
        <w:rPr>
          <w:color w:val="auto"/>
          <w:szCs w:val="21"/>
          <w:highlight w:val="none"/>
        </w:rPr>
      </w:pPr>
      <w:r>
        <w:rPr>
          <w:rFonts w:hint="eastAsia"/>
          <w:color w:val="auto"/>
          <w:szCs w:val="21"/>
          <w:highlight w:val="none"/>
        </w:rPr>
        <w:t>四、本合同正本3份，甲、乙方及浙江精工钢结构集团有限公司各1份；副本11份，甲方3份，乙方3份，浙江精工钢结构集团有限公司5份。</w:t>
      </w:r>
    </w:p>
    <w:p>
      <w:pPr>
        <w:spacing w:line="360" w:lineRule="auto"/>
        <w:ind w:firstLine="525"/>
        <w:rPr>
          <w:color w:val="auto"/>
          <w:szCs w:val="21"/>
          <w:highlight w:val="none"/>
        </w:rPr>
      </w:pPr>
      <w:r>
        <w:rPr>
          <w:rFonts w:hint="eastAsia"/>
          <w:color w:val="auto"/>
          <w:szCs w:val="21"/>
          <w:highlight w:val="none"/>
        </w:rPr>
        <w:t>五、由双方法定代表人或其委托代理人签署并加盖单位章后生效，至合同费用结清为止失效。</w:t>
      </w:r>
    </w:p>
    <w:p>
      <w:pPr>
        <w:spacing w:line="360" w:lineRule="auto"/>
        <w:rPr>
          <w:color w:val="auto"/>
          <w:szCs w:val="21"/>
          <w:highlight w:val="none"/>
        </w:rPr>
      </w:pPr>
    </w:p>
    <w:p>
      <w:pPr>
        <w:tabs>
          <w:tab w:val="left" w:pos="5040"/>
        </w:tabs>
        <w:spacing w:line="360" w:lineRule="auto"/>
        <w:rPr>
          <w:color w:val="auto"/>
          <w:szCs w:val="21"/>
          <w:highlight w:val="none"/>
        </w:rPr>
      </w:pPr>
      <w:r>
        <w:rPr>
          <w:rFonts w:hint="eastAsia"/>
          <w:color w:val="auto"/>
          <w:szCs w:val="21"/>
          <w:highlight w:val="none"/>
        </w:rPr>
        <w:t>甲方：                                              乙方：</w:t>
      </w:r>
    </w:p>
    <w:p>
      <w:pPr>
        <w:spacing w:line="360" w:lineRule="auto"/>
        <w:rPr>
          <w:color w:val="auto"/>
          <w:szCs w:val="21"/>
          <w:highlight w:val="none"/>
          <w:u w:val="single"/>
        </w:rPr>
      </w:pP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r>
        <w:rPr>
          <w:rFonts w:hint="eastAsia"/>
          <w:color w:val="auto"/>
          <w:szCs w:val="21"/>
          <w:highlight w:val="none"/>
        </w:rPr>
        <w:t>（盖单位章）</w:t>
      </w:r>
      <w:r>
        <w:rPr>
          <w:rFonts w:hint="eastAsia"/>
          <w:color w:val="auto"/>
          <w:szCs w:val="21"/>
          <w:highlight w:val="none"/>
          <w:u w:val="single"/>
        </w:rPr>
        <w:t xml:space="preserve">         </w:t>
      </w:r>
    </w:p>
    <w:p>
      <w:pPr>
        <w:spacing w:line="360" w:lineRule="auto"/>
        <w:rPr>
          <w:color w:val="auto"/>
          <w:szCs w:val="21"/>
          <w:highlight w:val="none"/>
        </w:rPr>
      </w:pPr>
      <w:r>
        <w:rPr>
          <w:rFonts w:hint="eastAsia"/>
          <w:color w:val="auto"/>
          <w:szCs w:val="21"/>
          <w:highlight w:val="none"/>
        </w:rPr>
        <w:t>法定代表人或                                    法定代表人或</w:t>
      </w:r>
    </w:p>
    <w:p>
      <w:pPr>
        <w:spacing w:line="360" w:lineRule="auto"/>
        <w:rPr>
          <w:color w:val="auto"/>
          <w:szCs w:val="21"/>
          <w:highlight w:val="none"/>
        </w:rPr>
      </w:pPr>
      <w:r>
        <w:rPr>
          <w:rFonts w:hint="eastAsia"/>
          <w:color w:val="auto"/>
          <w:szCs w:val="21"/>
          <w:highlight w:val="none"/>
        </w:rPr>
        <w:t>其委托代理人：（签字）                  其委托代理人：（签字）</w:t>
      </w:r>
    </w:p>
    <w:p>
      <w:pPr>
        <w:spacing w:line="360" w:lineRule="auto"/>
        <w:rPr>
          <w:color w:val="auto"/>
          <w:szCs w:val="21"/>
          <w:highlight w:val="none"/>
        </w:rPr>
      </w:pPr>
      <w:r>
        <w:rPr>
          <w:rFonts w:hint="eastAsia"/>
          <w:color w:val="auto"/>
          <w:szCs w:val="21"/>
          <w:highlight w:val="none"/>
        </w:rPr>
        <w:t>日期：     年   月   日                         日期：    年   月   日</w:t>
      </w:r>
    </w:p>
    <w:p>
      <w:pPr>
        <w:spacing w:line="360" w:lineRule="auto"/>
        <w:rPr>
          <w:color w:val="auto"/>
          <w:szCs w:val="21"/>
          <w:highlight w:val="none"/>
        </w:rPr>
      </w:pPr>
    </w:p>
    <w:p>
      <w:pPr>
        <w:pStyle w:val="25"/>
        <w:spacing w:line="360" w:lineRule="auto"/>
        <w:ind w:firstLine="210"/>
        <w:rPr>
          <w:color w:val="auto"/>
          <w:sz w:val="21"/>
          <w:szCs w:val="21"/>
          <w:highlight w:val="none"/>
        </w:rPr>
      </w:pPr>
    </w:p>
    <w:p>
      <w:pPr>
        <w:spacing w:line="360" w:lineRule="auto"/>
        <w:rPr>
          <w:color w:val="auto"/>
          <w:szCs w:val="21"/>
          <w:highlight w:val="none"/>
        </w:rPr>
      </w:pPr>
    </w:p>
    <w:p>
      <w:pPr>
        <w:pStyle w:val="25"/>
        <w:spacing w:line="360" w:lineRule="auto"/>
        <w:ind w:firstLine="210"/>
        <w:rPr>
          <w:color w:val="auto"/>
          <w:sz w:val="21"/>
          <w:szCs w:val="21"/>
          <w:highlight w:val="none"/>
        </w:rPr>
      </w:pPr>
    </w:p>
    <w:p>
      <w:pPr>
        <w:spacing w:line="360" w:lineRule="auto"/>
        <w:rPr>
          <w:color w:val="auto"/>
          <w:szCs w:val="21"/>
          <w:highlight w:val="none"/>
        </w:rPr>
      </w:pPr>
    </w:p>
    <w:p>
      <w:pPr>
        <w:pStyle w:val="25"/>
        <w:spacing w:line="360" w:lineRule="auto"/>
        <w:ind w:firstLine="210"/>
        <w:rPr>
          <w:color w:val="auto"/>
          <w:sz w:val="21"/>
          <w:szCs w:val="21"/>
          <w:highlight w:val="none"/>
        </w:rPr>
      </w:pPr>
    </w:p>
    <w:p>
      <w:pPr>
        <w:spacing w:line="360" w:lineRule="auto"/>
        <w:rPr>
          <w:color w:val="auto"/>
          <w:szCs w:val="21"/>
          <w:highlight w:val="none"/>
        </w:rPr>
      </w:pPr>
    </w:p>
    <w:p>
      <w:pPr>
        <w:pStyle w:val="25"/>
        <w:spacing w:line="360" w:lineRule="auto"/>
        <w:ind w:firstLine="210"/>
        <w:rPr>
          <w:color w:val="auto"/>
          <w:sz w:val="21"/>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1"/>
        <w:rPr>
          <w:b/>
          <w:color w:val="auto"/>
          <w:szCs w:val="21"/>
          <w:highlight w:val="none"/>
        </w:rPr>
      </w:pPr>
    </w:p>
    <w:p>
      <w:pPr>
        <w:rPr>
          <w:color w:val="auto"/>
          <w:highlight w:val="none"/>
        </w:rPr>
      </w:pPr>
    </w:p>
    <w:p>
      <w:pPr>
        <w:rPr>
          <w:b/>
          <w:color w:val="auto"/>
          <w:szCs w:val="21"/>
          <w:highlight w:val="none"/>
        </w:rPr>
      </w:pPr>
    </w:p>
    <w:p>
      <w:pPr>
        <w:pStyle w:val="25"/>
        <w:ind w:firstLine="341"/>
        <w:rPr>
          <w:b/>
          <w:color w:val="auto"/>
          <w:szCs w:val="21"/>
          <w:highlight w:val="none"/>
        </w:rPr>
      </w:pPr>
    </w:p>
    <w:p>
      <w:pPr>
        <w:rPr>
          <w:b/>
          <w:color w:val="auto"/>
          <w:szCs w:val="21"/>
          <w:highlight w:val="none"/>
        </w:rPr>
      </w:pPr>
    </w:p>
    <w:p>
      <w:pPr>
        <w:pStyle w:val="25"/>
        <w:ind w:firstLine="340"/>
        <w:rPr>
          <w:color w:val="auto"/>
          <w:highlight w:val="none"/>
        </w:rPr>
      </w:pPr>
    </w:p>
    <w:p>
      <w:pPr>
        <w:tabs>
          <w:tab w:val="left" w:pos="4500"/>
          <w:tab w:val="left" w:pos="4680"/>
        </w:tabs>
        <w:spacing w:line="360" w:lineRule="auto"/>
        <w:rPr>
          <w:b/>
          <w:color w:val="auto"/>
          <w:szCs w:val="21"/>
          <w:highlight w:val="none"/>
        </w:rPr>
      </w:pPr>
    </w:p>
    <w:p>
      <w:pPr>
        <w:tabs>
          <w:tab w:val="left" w:pos="4500"/>
          <w:tab w:val="left" w:pos="4680"/>
        </w:tabs>
        <w:spacing w:line="360" w:lineRule="auto"/>
        <w:rPr>
          <w:color w:val="auto"/>
          <w:szCs w:val="21"/>
          <w:highlight w:val="none"/>
        </w:rPr>
      </w:pPr>
      <w:r>
        <w:rPr>
          <w:rFonts w:hint="eastAsia"/>
          <w:b/>
          <w:color w:val="auto"/>
          <w:szCs w:val="21"/>
          <w:highlight w:val="none"/>
        </w:rPr>
        <w:t>附件4：工程质量保修书（格式）</w:t>
      </w:r>
    </w:p>
    <w:p>
      <w:pPr>
        <w:widowControl/>
        <w:spacing w:line="360" w:lineRule="auto"/>
        <w:jc w:val="center"/>
        <w:rPr>
          <w:rFonts w:ascii="仿宋" w:hAnsi="仿宋" w:eastAsia="仿宋"/>
          <w:b/>
          <w:bCs/>
          <w:color w:val="auto"/>
          <w:szCs w:val="21"/>
          <w:highlight w:val="none"/>
        </w:rPr>
      </w:pPr>
      <w:bookmarkStart w:id="441" w:name="_Toc30226"/>
      <w:r>
        <w:rPr>
          <w:rFonts w:hint="eastAsia" w:ascii="仿宋" w:hAnsi="仿宋" w:eastAsia="仿宋"/>
          <w:b/>
          <w:bCs/>
          <w:color w:val="auto"/>
          <w:szCs w:val="21"/>
          <w:highlight w:val="none"/>
        </w:rPr>
        <w:t>质 量 保 修 书</w:t>
      </w:r>
      <w:bookmarkEnd w:id="441"/>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甲方（总承包单位、招标人）：</w:t>
      </w:r>
      <w:r>
        <w:rPr>
          <w:rFonts w:hint="eastAsia" w:ascii="仿宋" w:hAnsi="仿宋" w:eastAsia="仿宋"/>
          <w:b/>
          <w:color w:val="auto"/>
          <w:highlight w:val="none"/>
          <w:u w:val="single"/>
        </w:rPr>
        <w:t xml:space="preserve">                        </w:t>
      </w:r>
    </w:p>
    <w:p>
      <w:pPr>
        <w:spacing w:line="360" w:lineRule="auto"/>
        <w:ind w:firstLine="211"/>
        <w:rPr>
          <w:rFonts w:ascii="仿宋" w:hAnsi="仿宋" w:eastAsia="仿宋"/>
          <w:b/>
          <w:color w:val="auto"/>
          <w:szCs w:val="21"/>
          <w:highlight w:val="none"/>
          <w:u w:val="single"/>
        </w:rPr>
      </w:pPr>
      <w:r>
        <w:rPr>
          <w:rFonts w:hint="eastAsia" w:ascii="仿宋" w:hAnsi="仿宋" w:eastAsia="仿宋"/>
          <w:b/>
          <w:color w:val="auto"/>
          <w:szCs w:val="21"/>
          <w:highlight w:val="none"/>
        </w:rPr>
        <w:t>乙方（供应商）：</w:t>
      </w:r>
      <w:r>
        <w:rPr>
          <w:rFonts w:hint="eastAsia" w:ascii="仿宋" w:hAnsi="仿宋" w:eastAsia="仿宋"/>
          <w:b/>
          <w:color w:val="auto"/>
          <w:highlight w:val="none"/>
          <w:u w:val="single"/>
        </w:rPr>
        <w:t xml:space="preserve">                        </w:t>
      </w:r>
    </w:p>
    <w:p>
      <w:pPr>
        <w:pStyle w:val="13"/>
        <w:spacing w:line="360" w:lineRule="auto"/>
        <w:ind w:firstLine="211"/>
        <w:rPr>
          <w:rFonts w:ascii="仿宋" w:hAnsi="仿宋" w:eastAsia="仿宋"/>
          <w:b/>
          <w:color w:val="auto"/>
          <w:highlight w:val="none"/>
          <w:u w:val="single"/>
        </w:rPr>
      </w:pPr>
      <w:r>
        <w:rPr>
          <w:rFonts w:hint="eastAsia" w:ascii="仿宋" w:hAnsi="仿宋" w:eastAsia="仿宋"/>
          <w:b/>
          <w:color w:val="auto"/>
          <w:highlight w:val="none"/>
        </w:rPr>
        <w:t>丙方（业主、使用人）：</w:t>
      </w:r>
      <w:r>
        <w:rPr>
          <w:rFonts w:hint="eastAsia" w:ascii="仿宋" w:hAnsi="仿宋" w:eastAsia="仿宋"/>
          <w:b/>
          <w:color w:val="auto"/>
          <w:highlight w:val="none"/>
          <w:u w:val="single"/>
        </w:rPr>
        <w:t xml:space="preserve">                          　　 </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为保证</w:t>
      </w:r>
      <w:r>
        <w:rPr>
          <w:rFonts w:hint="eastAsia" w:ascii="仿宋" w:hAnsi="仿宋" w:eastAsia="仿宋"/>
          <w:b/>
          <w:color w:val="auto"/>
          <w:highlight w:val="none"/>
          <w:u w:val="single"/>
        </w:rPr>
        <w:t xml:space="preserve">                        </w:t>
      </w:r>
      <w:r>
        <w:rPr>
          <w:rFonts w:hint="eastAsia" w:ascii="仿宋" w:hAnsi="仿宋" w:eastAsia="仿宋"/>
          <w:color w:val="auto"/>
          <w:szCs w:val="21"/>
          <w:highlight w:val="none"/>
          <w:u w:val="single"/>
        </w:rPr>
        <w:t>项目</w:t>
      </w:r>
      <w:r>
        <w:rPr>
          <w:rFonts w:hint="eastAsia" w:ascii="仿宋" w:hAnsi="仿宋" w:eastAsia="仿宋"/>
          <w:color w:val="auto"/>
          <w:szCs w:val="21"/>
          <w:highlight w:val="none"/>
        </w:rPr>
        <w:t>在合理使用期限内正常使用，各方经协商一致签订本质量保修书。乙方在质量保修期内按照有关管理规定及约定承担工程及设备质量保修责任。</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一、质量保修范围和内容</w:t>
      </w:r>
    </w:p>
    <w:p>
      <w:pPr>
        <w:spacing w:line="360" w:lineRule="auto"/>
        <w:ind w:firstLine="420" w:firstLineChars="200"/>
        <w:rPr>
          <w:rFonts w:ascii="仿宋" w:hAnsi="仿宋" w:eastAsia="仿宋"/>
          <w:color w:val="auto"/>
          <w:szCs w:val="21"/>
          <w:highlight w:val="none"/>
          <w:u w:val="single"/>
        </w:rPr>
      </w:pPr>
      <w:r>
        <w:rPr>
          <w:rFonts w:hint="eastAsia" w:ascii="仿宋" w:hAnsi="仿宋" w:eastAsia="仿宋"/>
          <w:color w:val="auto"/>
          <w:szCs w:val="21"/>
          <w:highlight w:val="none"/>
        </w:rPr>
        <w:t>乙方在质量保修期内，按照有关法律、法规、规章的管理规定和双方约定，承担本工程及设备质量保修责任。具体质量保修范围双方约定如下：</w:t>
      </w:r>
      <w:r>
        <w:rPr>
          <w:rFonts w:hint="eastAsia" w:ascii="仿宋" w:hAnsi="仿宋" w:eastAsia="仿宋"/>
          <w:color w:val="auto"/>
          <w:szCs w:val="21"/>
          <w:highlight w:val="none"/>
          <w:u w:val="single"/>
        </w:rPr>
        <w:t>合同约定范围的所有项目及变更增加项目。</w:t>
      </w:r>
    </w:p>
    <w:p>
      <w:pPr>
        <w:spacing w:line="360" w:lineRule="auto"/>
        <w:ind w:firstLine="211"/>
        <w:rPr>
          <w:rFonts w:ascii="仿宋" w:hAnsi="仿宋" w:eastAsia="仿宋"/>
          <w:b/>
          <w:color w:val="auto"/>
          <w:szCs w:val="21"/>
          <w:highlight w:val="none"/>
        </w:rPr>
      </w:pPr>
      <w:r>
        <w:rPr>
          <w:rFonts w:hint="eastAsia" w:ascii="仿宋" w:hAnsi="仿宋" w:eastAsia="仿宋"/>
          <w:b/>
          <w:color w:val="auto"/>
          <w:szCs w:val="21"/>
          <w:highlight w:val="none"/>
        </w:rPr>
        <w:t>二、质量保修期</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质量保修期为，，</w:t>
      </w:r>
      <w:r>
        <w:rPr>
          <w:rFonts w:hint="eastAsia" w:ascii="仿宋" w:hAnsi="仿宋" w:eastAsia="仿宋"/>
          <w:b/>
          <w:bCs/>
          <w:color w:val="auto"/>
          <w:szCs w:val="21"/>
          <w:highlight w:val="none"/>
        </w:rPr>
        <w:t>业主</w:t>
      </w:r>
      <w:r>
        <w:rPr>
          <w:rFonts w:hint="eastAsia" w:ascii="仿宋" w:hAnsi="仿宋" w:eastAsia="仿宋"/>
          <w:color w:val="auto"/>
          <w:szCs w:val="21"/>
          <w:highlight w:val="none"/>
        </w:rPr>
        <w:t xml:space="preserve">使用产品之日起算 </w:t>
      </w:r>
      <w:r>
        <w:rPr>
          <w:rFonts w:ascii="仿宋" w:hAnsi="仿宋" w:eastAsia="仿宋"/>
          <w:color w:val="auto"/>
          <w:szCs w:val="21"/>
          <w:highlight w:val="none"/>
        </w:rPr>
        <w:t xml:space="preserve">    </w:t>
      </w:r>
      <w:r>
        <w:rPr>
          <w:rFonts w:hint="eastAsia" w:ascii="仿宋" w:hAnsi="仿宋" w:eastAsia="仿宋"/>
          <w:color w:val="auto"/>
          <w:szCs w:val="21"/>
          <w:highlight w:val="none"/>
        </w:rPr>
        <w:t xml:space="preserve">个月或 </w:t>
      </w:r>
      <w:r>
        <w:rPr>
          <w:rFonts w:ascii="仿宋" w:hAnsi="仿宋" w:eastAsia="仿宋"/>
          <w:color w:val="auto"/>
          <w:szCs w:val="21"/>
          <w:highlight w:val="none"/>
        </w:rPr>
        <w:t xml:space="preserve">   </w:t>
      </w:r>
      <w:r>
        <w:rPr>
          <w:rFonts w:hint="eastAsia" w:ascii="仿宋" w:hAnsi="仿宋" w:eastAsia="仿宋"/>
          <w:color w:val="auto"/>
          <w:szCs w:val="21"/>
          <w:highlight w:val="none"/>
        </w:rPr>
        <w:t>年（质保期优惠的，在此基础上顺延，优惠期满才视为质量保修期满）。</w:t>
      </w:r>
    </w:p>
    <w:p>
      <w:pPr>
        <w:spacing w:line="360" w:lineRule="auto"/>
        <w:ind w:firstLine="210"/>
        <w:rPr>
          <w:rFonts w:ascii="仿宋" w:hAnsi="仿宋" w:eastAsia="仿宋"/>
          <w:b/>
          <w:color w:val="auto"/>
          <w:szCs w:val="21"/>
          <w:highlight w:val="none"/>
        </w:rPr>
      </w:pPr>
      <w:r>
        <w:rPr>
          <w:rFonts w:hint="eastAsia" w:ascii="仿宋" w:hAnsi="仿宋" w:eastAsia="仿宋"/>
          <w:b/>
          <w:color w:val="auto"/>
          <w:szCs w:val="21"/>
          <w:highlight w:val="none"/>
        </w:rPr>
        <w:t>三、质量保修责任</w:t>
      </w:r>
    </w:p>
    <w:p>
      <w:pPr>
        <w:spacing w:line="360" w:lineRule="auto"/>
        <w:ind w:firstLine="504" w:firstLineChars="240"/>
        <w:rPr>
          <w:rFonts w:ascii="仿宋" w:hAnsi="仿宋" w:eastAsia="仿宋"/>
          <w:color w:val="auto"/>
          <w:szCs w:val="21"/>
          <w:highlight w:val="none"/>
        </w:rPr>
      </w:pPr>
      <w:r>
        <w:rPr>
          <w:rFonts w:hint="eastAsia" w:ascii="仿宋" w:hAnsi="仿宋" w:eastAsia="仿宋"/>
          <w:color w:val="auto"/>
          <w:szCs w:val="21"/>
          <w:highlight w:val="none"/>
        </w:rPr>
        <w:t xml:space="preserve"> 1．在质量保证期之内，乙方对由于产品设计、工艺、材料、配套件的缺陷及其安装质量而造成的任何产品质量问题或故障负全部责任。</w:t>
      </w:r>
    </w:p>
    <w:p>
      <w:pPr>
        <w:spacing w:line="360" w:lineRule="auto"/>
        <w:ind w:left="105" w:leftChars="50" w:firstLine="430" w:firstLineChars="205"/>
        <w:rPr>
          <w:rFonts w:ascii="仿宋" w:hAnsi="仿宋" w:eastAsia="仿宋"/>
          <w:color w:val="auto"/>
          <w:szCs w:val="21"/>
          <w:highlight w:val="none"/>
        </w:rPr>
      </w:pPr>
      <w:r>
        <w:rPr>
          <w:rFonts w:hint="eastAsia" w:ascii="仿宋" w:hAnsi="仿宋" w:eastAsia="仿宋"/>
          <w:color w:val="auto"/>
          <w:szCs w:val="21"/>
          <w:highlight w:val="none"/>
        </w:rPr>
        <w:t>2．属于保修范围、内容的项目，乙方应当在接到保修通知起</w:t>
      </w:r>
      <w:r>
        <w:rPr>
          <w:rFonts w:hint="eastAsia" w:ascii="仿宋" w:hAnsi="仿宋" w:eastAsia="仿宋"/>
          <w:bCs/>
          <w:color w:val="auto"/>
          <w:szCs w:val="21"/>
          <w:highlight w:val="none"/>
        </w:rPr>
        <w:t>2小时内</w:t>
      </w:r>
      <w:r>
        <w:rPr>
          <w:rFonts w:hint="eastAsia" w:ascii="仿宋" w:hAnsi="仿宋" w:eastAsia="仿宋"/>
          <w:color w:val="auto"/>
          <w:szCs w:val="21"/>
          <w:highlight w:val="none"/>
        </w:rPr>
        <w:t>赶到现场进行维修，并提供不间断的服务直到结束。质保期内乙方须安排专业维保人员驻场，驻场人员数量及资质须满足丙方需求并获得书面审批。</w:t>
      </w:r>
    </w:p>
    <w:p>
      <w:pPr>
        <w:spacing w:line="360" w:lineRule="auto"/>
        <w:ind w:firstLine="525" w:firstLineChars="250"/>
        <w:rPr>
          <w:rFonts w:ascii="仿宋" w:hAnsi="仿宋" w:eastAsia="仿宋"/>
          <w:color w:val="auto"/>
          <w:szCs w:val="21"/>
          <w:highlight w:val="none"/>
        </w:rPr>
      </w:pPr>
      <w:r>
        <w:rPr>
          <w:rFonts w:hint="eastAsia" w:ascii="仿宋" w:hAnsi="仿宋" w:eastAsia="仿宋"/>
          <w:color w:val="auto"/>
          <w:szCs w:val="21"/>
          <w:highlight w:val="none"/>
        </w:rPr>
        <w:t>3．如设备暂时不能修复，乙方应做好故障设备的相关的围挡保护及明显的故障告示通知，直至故障设备完全修复为止。</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 xml:space="preserve">4. 乙方不在约定期限内派人保修的，，甲、丙方可以委托他人修理，由此产生的费用从质量保修金内扣除。 </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5. 每次维修及维保好后，乙方需一式两份报告给甲、丙方，包括故障原因，解决措施（或维保内容），完成修理（或维保）所费时间及恢复正常运行日期。</w:t>
      </w:r>
    </w:p>
    <w:p>
      <w:pPr>
        <w:spacing w:line="360" w:lineRule="auto"/>
        <w:ind w:firstLine="495" w:firstLineChars="236"/>
        <w:rPr>
          <w:rFonts w:ascii="仿宋" w:hAnsi="仿宋" w:eastAsia="仿宋"/>
          <w:color w:val="auto"/>
          <w:szCs w:val="21"/>
          <w:highlight w:val="none"/>
        </w:rPr>
      </w:pPr>
      <w:r>
        <w:rPr>
          <w:rFonts w:hint="eastAsia" w:ascii="仿宋" w:hAnsi="仿宋" w:eastAsia="仿宋"/>
          <w:color w:val="auto"/>
          <w:szCs w:val="21"/>
          <w:highlight w:val="none"/>
        </w:rPr>
        <w:t>6. 乙方如未按上述要求履行保修义务，每违反一次，从质量保修金中扣除违约金壹仟元整（1000.00元）；</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7、在质保期结束时，须由专业工程师对设备进行另一次测试，任何故障须由乙方自费解决并取得甲、丙方的同意。</w:t>
      </w:r>
    </w:p>
    <w:p>
      <w:pPr>
        <w:snapToGrid w:val="0"/>
        <w:spacing w:line="360" w:lineRule="auto"/>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8、在质保期结束前，乙方需按照设备检验检测要求对设备进行一次检验，并取得相关管理部门颁发的检验合格证，相关费用由乙方承担。</w:t>
      </w:r>
    </w:p>
    <w:p>
      <w:pPr>
        <w:spacing w:line="360" w:lineRule="auto"/>
        <w:ind w:firstLine="210"/>
        <w:rPr>
          <w:rFonts w:ascii="仿宋" w:hAnsi="仿宋" w:eastAsia="仿宋"/>
          <w:color w:val="auto"/>
          <w:szCs w:val="21"/>
          <w:highlight w:val="none"/>
        </w:rPr>
      </w:pPr>
      <w:r>
        <w:rPr>
          <w:rFonts w:hint="eastAsia" w:ascii="仿宋" w:hAnsi="仿宋" w:eastAsia="仿宋"/>
          <w:color w:val="auto"/>
          <w:szCs w:val="21"/>
          <w:highlight w:val="none"/>
        </w:rPr>
        <w:t xml:space="preserve">  9、保修费用由乙方承担。</w:t>
      </w:r>
    </w:p>
    <w:p>
      <w:pPr>
        <w:spacing w:line="360" w:lineRule="auto"/>
        <w:ind w:firstLine="498" w:firstLineChars="236"/>
        <w:rPr>
          <w:rFonts w:ascii="仿宋" w:hAnsi="仿宋" w:eastAsia="仿宋"/>
          <w:b/>
          <w:color w:val="auto"/>
          <w:szCs w:val="21"/>
          <w:highlight w:val="none"/>
        </w:rPr>
      </w:pPr>
      <w:r>
        <w:rPr>
          <w:rFonts w:hint="eastAsia" w:ascii="仿宋" w:hAnsi="仿宋" w:eastAsia="仿宋"/>
          <w:b/>
          <w:color w:val="auto"/>
          <w:szCs w:val="21"/>
          <w:highlight w:val="none"/>
        </w:rPr>
        <w:t>四、质量保修金的支付</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本项目质量保修金为结算总价款的</w:t>
      </w:r>
      <w:r>
        <w:rPr>
          <w:rFonts w:hint="eastAsia" w:ascii="仿宋" w:hAnsi="仿宋" w:eastAsia="仿宋"/>
          <w:color w:val="auto"/>
          <w:szCs w:val="21"/>
          <w:highlight w:val="none"/>
          <w:u w:val="single"/>
        </w:rPr>
        <w:t xml:space="preserve">2.5 </w:t>
      </w:r>
      <w:r>
        <w:rPr>
          <w:rFonts w:hint="eastAsia" w:ascii="仿宋" w:hAnsi="仿宋" w:eastAsia="仿宋"/>
          <w:color w:val="auto"/>
          <w:szCs w:val="21"/>
          <w:highlight w:val="none"/>
        </w:rPr>
        <w:t>%，在工程竣工结算时一次性扣留。质量保修金返还时</w:t>
      </w:r>
      <w:r>
        <w:rPr>
          <w:rFonts w:hint="eastAsia" w:ascii="仿宋" w:hAnsi="仿宋" w:eastAsia="仿宋"/>
          <w:color w:val="auto"/>
          <w:szCs w:val="21"/>
          <w:highlight w:val="none"/>
          <w:u w:val="single"/>
        </w:rPr>
        <w:t>不计银行利息。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五、质量保修金的返还</w:t>
      </w:r>
    </w:p>
    <w:p>
      <w:pPr>
        <w:spacing w:line="360" w:lineRule="auto"/>
        <w:ind w:firstLine="495" w:firstLineChars="236"/>
        <w:rPr>
          <w:rFonts w:ascii="仿宋" w:hAnsi="仿宋" w:eastAsia="仿宋"/>
          <w:color w:val="auto"/>
          <w:szCs w:val="21"/>
          <w:highlight w:val="none"/>
          <w:u w:val="single"/>
        </w:rPr>
      </w:pPr>
      <w:r>
        <w:rPr>
          <w:rFonts w:hint="eastAsia" w:ascii="仿宋" w:hAnsi="仿宋" w:eastAsia="仿宋"/>
          <w:color w:val="auto"/>
          <w:szCs w:val="21"/>
          <w:highlight w:val="none"/>
          <w:u w:val="single"/>
        </w:rPr>
        <w:t>质量保修期满后，经甲、丙方组织验收，如合同约定范围的所有项目及变更增加项目无任何产品质量问题或故障，丙方通知甲方在扣除相应的维修保养违约金和相应赔偿金（如有）后，30日历天内返还剩余质量保修金（不计息）。</w:t>
      </w:r>
    </w:p>
    <w:p>
      <w:pPr>
        <w:spacing w:line="360" w:lineRule="auto"/>
        <w:ind w:firstLine="413" w:firstLineChars="196"/>
        <w:rPr>
          <w:rFonts w:ascii="仿宋" w:hAnsi="仿宋" w:eastAsia="仿宋"/>
          <w:b/>
          <w:color w:val="auto"/>
          <w:szCs w:val="21"/>
          <w:highlight w:val="none"/>
        </w:rPr>
      </w:pPr>
      <w:r>
        <w:rPr>
          <w:rFonts w:hint="eastAsia" w:ascii="仿宋" w:hAnsi="仿宋" w:eastAsia="仿宋"/>
          <w:b/>
          <w:color w:val="auto"/>
          <w:szCs w:val="21"/>
          <w:highlight w:val="none"/>
        </w:rPr>
        <w:t>六、其他</w:t>
      </w:r>
    </w:p>
    <w:p>
      <w:pPr>
        <w:spacing w:line="360" w:lineRule="auto"/>
        <w:ind w:firstLine="210"/>
        <w:rPr>
          <w:rFonts w:ascii="仿宋" w:hAnsi="仿宋" w:eastAsia="仿宋"/>
          <w:color w:val="auto"/>
          <w:szCs w:val="21"/>
          <w:highlight w:val="none"/>
          <w:u w:val="single"/>
        </w:rPr>
      </w:pPr>
      <w:r>
        <w:rPr>
          <w:rFonts w:hint="eastAsia" w:ascii="仿宋" w:hAnsi="仿宋" w:eastAsia="仿宋"/>
          <w:color w:val="auto"/>
          <w:szCs w:val="21"/>
          <w:highlight w:val="none"/>
        </w:rPr>
        <w:t>各方约定的其他工程质量保修事项：</w:t>
      </w:r>
      <w:r>
        <w:rPr>
          <w:rFonts w:hint="eastAsia" w:ascii="仿宋" w:hAnsi="仿宋" w:eastAsia="仿宋"/>
          <w:color w:val="auto"/>
          <w:szCs w:val="21"/>
          <w:highlight w:val="none"/>
          <w:u w:val="single"/>
        </w:rPr>
        <w:t xml:space="preserve"> 按有关规定执行。</w:t>
      </w:r>
    </w:p>
    <w:p>
      <w:pPr>
        <w:pStyle w:val="2"/>
        <w:rPr>
          <w:rFonts w:hint="eastAsia"/>
          <w:color w:val="auto"/>
          <w:highlight w:val="none"/>
        </w:rPr>
      </w:pPr>
      <w:r>
        <w:rPr>
          <w:rFonts w:hint="eastAsia"/>
          <w:color w:val="auto"/>
          <w:highlight w:val="none"/>
        </w:rPr>
        <w:t>甲方对乙方的保修义务对丙方承担连带责任。</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甲方：（盖章）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rPr>
          <w:rFonts w:ascii="仿宋" w:hAnsi="仿宋" w:eastAsia="仿宋"/>
          <w:color w:val="auto"/>
          <w:szCs w:val="21"/>
          <w:highlight w:val="none"/>
        </w:rPr>
      </w:pPr>
      <w:r>
        <w:rPr>
          <w:rFonts w:hint="eastAsia" w:ascii="仿宋" w:hAnsi="仿宋" w:eastAsia="仿宋"/>
          <w:color w:val="auto"/>
          <w:szCs w:val="21"/>
          <w:highlight w:val="none"/>
        </w:rPr>
        <w:t>　　电话：</w:t>
      </w:r>
    </w:p>
    <w:p>
      <w:pPr>
        <w:rPr>
          <w:rFonts w:ascii="仿宋" w:hAnsi="仿宋" w:eastAsia="仿宋"/>
          <w:color w:val="auto"/>
          <w:szCs w:val="21"/>
          <w:highlight w:val="none"/>
        </w:rPr>
      </w:pPr>
    </w:p>
    <w:p>
      <w:pPr>
        <w:ind w:firstLine="420" w:firstLineChars="200"/>
        <w:rPr>
          <w:rFonts w:ascii="仿宋" w:hAnsi="仿宋" w:eastAsia="仿宋"/>
          <w:color w:val="auto"/>
          <w:szCs w:val="21"/>
          <w:highlight w:val="none"/>
        </w:rPr>
      </w:pPr>
      <w:r>
        <w:rPr>
          <w:rFonts w:hint="eastAsia" w:ascii="仿宋" w:hAnsi="仿宋" w:eastAsia="仿宋"/>
          <w:color w:val="auto"/>
          <w:szCs w:val="21"/>
          <w:highlight w:val="none"/>
        </w:rPr>
        <w:t xml:space="preserve">乙方：（盖章）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　　　　　　　　　　　　　　　　　　　 </w:t>
      </w:r>
    </w:p>
    <w:p>
      <w:pPr>
        <w:pStyle w:val="23"/>
        <w:shd w:val="clear" w:color="auto" w:fill="FFFFFF"/>
        <w:spacing w:before="0" w:beforeAutospacing="0" w:after="0" w:afterAutospacing="0" w:line="360" w:lineRule="auto"/>
        <w:ind w:firstLine="21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w:t>
      </w:r>
    </w:p>
    <w:p>
      <w:pPr>
        <w:spacing w:line="360" w:lineRule="auto"/>
        <w:ind w:firstLine="420" w:firstLineChars="200"/>
        <w:rPr>
          <w:rFonts w:ascii="仿宋" w:hAnsi="仿宋" w:eastAsia="仿宋"/>
          <w:color w:val="auto"/>
          <w:szCs w:val="21"/>
          <w:highlight w:val="none"/>
        </w:rPr>
      </w:pP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丙方：（盖章）</w:t>
      </w: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法定代表人或授权代表：</w:t>
      </w: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地址：</w:t>
      </w: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r>
        <w:rPr>
          <w:rFonts w:hint="eastAsia" w:ascii="仿宋" w:hAnsi="仿宋" w:eastAsia="仿宋"/>
          <w:color w:val="auto"/>
          <w:sz w:val="21"/>
          <w:szCs w:val="21"/>
          <w:highlight w:val="none"/>
        </w:rPr>
        <w:t xml:space="preserve">  电话：</w:t>
      </w: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pStyle w:val="23"/>
        <w:shd w:val="clear" w:color="auto" w:fill="FFFFFF"/>
        <w:spacing w:before="0" w:beforeAutospacing="0" w:after="0" w:afterAutospacing="0" w:line="360" w:lineRule="auto"/>
        <w:ind w:firstLine="420" w:firstLineChars="200"/>
        <w:rPr>
          <w:rFonts w:ascii="仿宋" w:hAnsi="仿宋" w:eastAsia="仿宋"/>
          <w:color w:val="auto"/>
          <w:sz w:val="21"/>
          <w:szCs w:val="21"/>
          <w:highlight w:val="none"/>
        </w:rPr>
      </w:pPr>
    </w:p>
    <w:p>
      <w:pPr>
        <w:jc w:val="center"/>
        <w:rPr>
          <w:rFonts w:ascii="黑体" w:eastAsia="黑体"/>
          <w:color w:val="auto"/>
          <w:sz w:val="29"/>
          <w:highlight w:val="none"/>
        </w:rPr>
        <w:sectPr>
          <w:pgSz w:w="11910" w:h="16840"/>
          <w:pgMar w:top="1600" w:right="541" w:bottom="900" w:left="1020" w:header="0" w:footer="704" w:gutter="0"/>
          <w:cols w:space="720" w:num="1"/>
        </w:sectPr>
      </w:pPr>
    </w:p>
    <w:p>
      <w:pPr>
        <w:pStyle w:val="4"/>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w:t>
      </w:r>
      <w:r>
        <w:rPr>
          <w:rFonts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t>图纸</w:t>
      </w:r>
    </w:p>
    <w:p>
      <w:pPr>
        <w:spacing w:line="420" w:lineRule="auto"/>
        <w:ind w:firstLine="480"/>
        <w:rPr>
          <w:rFonts w:asciiTheme="minorEastAsia" w:hAnsiTheme="minorEastAsia" w:eastAsiaTheme="minorEastAsia" w:cstheme="minorEastAsia"/>
          <w:color w:val="auto"/>
          <w:sz w:val="24"/>
          <w:szCs w:val="24"/>
          <w:highlight w:val="none"/>
        </w:rPr>
      </w:pPr>
    </w:p>
    <w:p>
      <w:pPr>
        <w:widowControl/>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招标人提供由深圳市建筑设计研究总院有限公司提供的物流系统设备采购及安装工程施工图纸（电子版），请各投标人在</w:t>
      </w:r>
      <w:r>
        <w:rPr>
          <w:rFonts w:hint="eastAsia" w:asciiTheme="minorEastAsia" w:hAnsiTheme="minorEastAsia" w:eastAsiaTheme="minorEastAsia" w:cstheme="minorEastAsia"/>
          <w:color w:val="auto"/>
          <w:sz w:val="24"/>
          <w:szCs w:val="24"/>
          <w:highlight w:val="none"/>
          <w:lang w:bidi="ar"/>
        </w:rPr>
        <w:t>在登陆绍兴公共资源交易网交易平台后在货物清单及其他中下载电子版图纸</w:t>
      </w:r>
      <w:r>
        <w:rPr>
          <w:rFonts w:hint="eastAsia" w:asciiTheme="minorEastAsia" w:hAnsiTheme="minorEastAsia" w:eastAsiaTheme="minorEastAsia" w:cstheme="minorEastAsia"/>
          <w:color w:val="auto"/>
          <w:sz w:val="24"/>
          <w:szCs w:val="24"/>
          <w:highlight w:val="none"/>
        </w:rPr>
        <w:t>。</w:t>
      </w:r>
    </w:p>
    <w:p>
      <w:pPr>
        <w:spacing w:line="400" w:lineRule="auto"/>
        <w:rPr>
          <w:rFonts w:asciiTheme="minorEastAsia" w:hAnsiTheme="minorEastAsia" w:eastAsiaTheme="minorEastAsia" w:cstheme="minorEastAsia"/>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一、图纸目录</w:t>
      </w:r>
    </w:p>
    <w:p>
      <w:pPr>
        <w:spacing w:line="400" w:lineRule="auto"/>
        <w:rPr>
          <w:rFonts w:asciiTheme="minorEastAsia" w:hAnsiTheme="minorEastAsia" w:eastAsiaTheme="minorEastAsia" w:cstheme="minorEastAsia"/>
          <w:color w:val="auto"/>
          <w:sz w:val="24"/>
          <w:szCs w:val="24"/>
          <w:highlight w:val="none"/>
        </w:rPr>
      </w:pPr>
    </w:p>
    <w:tbl>
      <w:tblPr>
        <w:tblStyle w:val="26"/>
        <w:tblW w:w="8748" w:type="dxa"/>
        <w:tblInd w:w="0" w:type="dxa"/>
        <w:tblLayout w:type="fixed"/>
        <w:tblCellMar>
          <w:top w:w="0" w:type="dxa"/>
          <w:left w:w="10" w:type="dxa"/>
          <w:bottom w:w="0" w:type="dxa"/>
          <w:right w:w="10" w:type="dxa"/>
        </w:tblCellMar>
      </w:tblPr>
      <w:tblGrid>
        <w:gridCol w:w="828"/>
        <w:gridCol w:w="1980"/>
        <w:gridCol w:w="2520"/>
        <w:gridCol w:w="1260"/>
        <w:gridCol w:w="1260"/>
        <w:gridCol w:w="900"/>
      </w:tblGrid>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图名</w:t>
            </w: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图号</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版本</w:t>
            </w: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出图日期</w:t>
            </w: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3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r>
        <w:tblPrEx>
          <w:tblCellMar>
            <w:top w:w="0" w:type="dxa"/>
            <w:left w:w="10" w:type="dxa"/>
            <w:bottom w:w="0" w:type="dxa"/>
            <w:right w:w="10" w:type="dxa"/>
          </w:tblCellMar>
        </w:tblPrEx>
        <w:trPr>
          <w:cantSplit/>
          <w:trHeight w:val="1" w:hRule="atLeast"/>
        </w:trPr>
        <w:tc>
          <w:tcPr>
            <w:tcW w:w="82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9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252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126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pPr>
              <w:spacing w:line="440" w:lineRule="auto"/>
              <w:rPr>
                <w:rFonts w:asciiTheme="minorEastAsia" w:hAnsiTheme="minorEastAsia" w:eastAsiaTheme="minorEastAsia" w:cstheme="minorEastAsia"/>
                <w:color w:val="auto"/>
                <w:sz w:val="24"/>
                <w:szCs w:val="24"/>
                <w:highlight w:val="none"/>
              </w:rPr>
            </w:pPr>
          </w:p>
        </w:tc>
      </w:tr>
    </w:tbl>
    <w:p>
      <w:pPr>
        <w:keepNext/>
        <w:keepLines/>
        <w:spacing w:before="100" w:line="400" w:lineRule="auto"/>
        <w:rPr>
          <w:rFonts w:asciiTheme="minorEastAsia" w:hAnsiTheme="minorEastAsia" w:eastAsiaTheme="minorEastAsia" w:cstheme="minorEastAsia"/>
          <w:b/>
          <w:color w:val="auto"/>
          <w:sz w:val="24"/>
          <w:szCs w:val="24"/>
          <w:highlight w:val="none"/>
        </w:rPr>
      </w:pPr>
    </w:p>
    <w:p>
      <w:pPr>
        <w:keepNext/>
        <w:keepLines/>
        <w:spacing w:before="100"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二、图纸</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由招标人另册提供。</w:t>
      </w:r>
    </w:p>
    <w:p>
      <w:pPr>
        <w:spacing w:line="40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spacing w:line="400" w:lineRule="auto"/>
        <w:rPr>
          <w:rFonts w:asciiTheme="minorEastAsia" w:hAnsiTheme="minorEastAsia" w:eastAsiaTheme="minorEastAsia" w:cstheme="minorEastAsia"/>
          <w:color w:val="auto"/>
          <w:sz w:val="24"/>
          <w:szCs w:val="24"/>
          <w:highlight w:val="none"/>
        </w:rPr>
      </w:pPr>
    </w:p>
    <w:p>
      <w:pPr>
        <w:pStyle w:val="4"/>
        <w:rPr>
          <w:color w:val="auto"/>
          <w:highlight w:val="none"/>
        </w:rPr>
      </w:pPr>
      <w:bookmarkStart w:id="442" w:name="_Toc19145"/>
      <w:r>
        <w:rPr>
          <w:rFonts w:hint="eastAsia"/>
          <w:color w:val="auto"/>
          <w:highlight w:val="none"/>
        </w:rPr>
        <w:t>第六章</w:t>
      </w:r>
      <w:r>
        <w:rPr>
          <w:color w:val="auto"/>
          <w:highlight w:val="none"/>
        </w:rPr>
        <w:t xml:space="preserve">  </w:t>
      </w:r>
      <w:r>
        <w:rPr>
          <w:rFonts w:hint="eastAsia"/>
          <w:color w:val="auto"/>
          <w:highlight w:val="none"/>
        </w:rPr>
        <w:t>技术标准和要求</w:t>
      </w:r>
      <w:bookmarkEnd w:id="442"/>
    </w:p>
    <w:p>
      <w:pPr>
        <w:pStyle w:val="25"/>
        <w:numPr>
          <w:ilvl w:val="0"/>
          <w:numId w:val="4"/>
        </w:numPr>
        <w:ind w:firstLineChars="0"/>
        <w:rPr>
          <w:b/>
          <w:bCs/>
          <w:color w:val="auto"/>
          <w:sz w:val="24"/>
          <w:szCs w:val="24"/>
          <w:highlight w:val="none"/>
        </w:rPr>
      </w:pPr>
      <w:r>
        <w:rPr>
          <w:rFonts w:hint="eastAsia"/>
          <w:b/>
          <w:bCs/>
          <w:color w:val="auto"/>
          <w:sz w:val="24"/>
          <w:szCs w:val="24"/>
          <w:highlight w:val="none"/>
        </w:rPr>
        <w:t>招标内容：</w:t>
      </w:r>
    </w:p>
    <w:p>
      <w:pPr>
        <w:rPr>
          <w:color w:val="auto"/>
          <w:highlight w:val="none"/>
        </w:rPr>
      </w:pPr>
    </w:p>
    <w:p>
      <w:pPr>
        <w:numPr>
          <w:ilvl w:val="0"/>
          <w:numId w:val="5"/>
        </w:numPr>
        <w:autoSpaceDE w:val="0"/>
        <w:autoSpaceDN w:val="0"/>
        <w:spacing w:line="360" w:lineRule="auto"/>
        <w:rPr>
          <w:b/>
          <w:bCs/>
          <w:color w:val="auto"/>
          <w:highlight w:val="none"/>
        </w:rPr>
      </w:pPr>
      <w:r>
        <w:rPr>
          <w:rFonts w:hint="eastAsia"/>
          <w:b/>
          <w:bCs/>
          <w:color w:val="auto"/>
          <w:highlight w:val="none"/>
        </w:rPr>
        <w:t>招标范围：</w:t>
      </w:r>
    </w:p>
    <w:p>
      <w:pPr>
        <w:autoSpaceDE w:val="0"/>
        <w:autoSpaceDN w:val="0"/>
        <w:spacing w:line="360" w:lineRule="auto"/>
        <w:ind w:left="420" w:leftChars="200" w:right="420" w:rightChars="200" w:firstLine="440" w:firstLineChars="200"/>
        <w:rPr>
          <w:color w:val="auto"/>
          <w:sz w:val="22"/>
          <w:highlight w:val="none"/>
        </w:rPr>
      </w:pPr>
      <w:r>
        <w:rPr>
          <w:rFonts w:hint="eastAsia"/>
          <w:color w:val="auto"/>
          <w:sz w:val="22"/>
          <w:highlight w:val="none"/>
        </w:rPr>
        <w:t>医疗物流传输系统设备采购、供货及安装，其中箱式物流系统站点46个，气动物流系统站点39个，详见招标文件 “</w:t>
      </w:r>
      <w:r>
        <w:rPr>
          <w:color w:val="auto"/>
          <w:highlight w:val="none"/>
        </w:rPr>
        <w:t xml:space="preserve"> </w:t>
      </w:r>
      <w:r>
        <w:rPr>
          <w:rFonts w:hint="eastAsia"/>
          <w:color w:val="auto"/>
          <w:highlight w:val="none"/>
        </w:rPr>
        <w:t>技术标准和要求</w:t>
      </w:r>
      <w:r>
        <w:rPr>
          <w:rFonts w:hint="eastAsia"/>
          <w:color w:val="auto"/>
          <w:sz w:val="22"/>
          <w:highlight w:val="none"/>
        </w:rPr>
        <w:t>”。</w:t>
      </w:r>
    </w:p>
    <w:p>
      <w:pPr>
        <w:pStyle w:val="25"/>
        <w:autoSpaceDE w:val="0"/>
        <w:autoSpaceDN w:val="0"/>
        <w:spacing w:line="360" w:lineRule="auto"/>
        <w:ind w:left="420" w:leftChars="200" w:right="420" w:rightChars="200" w:firstLine="440" w:firstLineChars="200"/>
        <w:rPr>
          <w:color w:val="auto"/>
          <w:sz w:val="22"/>
          <w:szCs w:val="22"/>
          <w:highlight w:val="none"/>
        </w:rPr>
      </w:pPr>
      <w:r>
        <w:rPr>
          <w:rFonts w:hint="eastAsia"/>
          <w:color w:val="auto"/>
          <w:sz w:val="22"/>
          <w:szCs w:val="22"/>
          <w:highlight w:val="none"/>
        </w:rPr>
        <w:t>招标人提供的医疗物流系统设备采购及安装的图纸及货物清单中的所有工程内容，包括物流系统设备采购及安装工程施工图的进一步深化设计、现有建筑基础上的物流管道等处的结构补强（招标人提供结构参考图纸）预留孔洞、设备基础、预埋铁构件、预埋管、套管及其封堵、设备材料供货、运输、卸货、保管、施工、安装、调试、检测、并最终通过验收，同时负责技术服务与培训，提交相关技术资料以及质保期内的维修保养等，即“交钥匙”工程。</w:t>
      </w:r>
    </w:p>
    <w:p>
      <w:pPr>
        <w:numPr>
          <w:ilvl w:val="0"/>
          <w:numId w:val="5"/>
        </w:numPr>
        <w:autoSpaceDE w:val="0"/>
        <w:autoSpaceDN w:val="0"/>
        <w:spacing w:line="360" w:lineRule="auto"/>
        <w:rPr>
          <w:b/>
          <w:bCs/>
          <w:color w:val="auto"/>
          <w:highlight w:val="none"/>
        </w:rPr>
      </w:pPr>
      <w:r>
        <w:rPr>
          <w:rFonts w:hint="eastAsia"/>
          <w:b/>
          <w:bCs/>
          <w:color w:val="auto"/>
          <w:highlight w:val="none"/>
        </w:rPr>
        <w:t>招标界面：</w:t>
      </w:r>
    </w:p>
    <w:p>
      <w:pPr>
        <w:autoSpaceDE w:val="0"/>
        <w:autoSpaceDN w:val="0"/>
        <w:spacing w:line="360" w:lineRule="auto"/>
        <w:ind w:left="420" w:leftChars="200" w:right="420" w:rightChars="200" w:firstLine="440" w:firstLineChars="200"/>
        <w:rPr>
          <w:color w:val="auto"/>
          <w:sz w:val="22"/>
          <w:highlight w:val="none"/>
        </w:rPr>
      </w:pPr>
      <w:r>
        <w:rPr>
          <w:rFonts w:hint="eastAsia"/>
          <w:color w:val="auto"/>
          <w:sz w:val="22"/>
          <w:highlight w:val="none"/>
        </w:rPr>
        <w:t>总承包单位负责：按图纸施工医疗物流传输系统井道，配合医疗物流专业承包商安装、移交井道防火门及其钥匙；物流中心机房装修施工，机房内暖通系统由总包单位施工，总承包单位负责预留机房内的电源箱；与物流系统的消防联动调试等。</w:t>
      </w:r>
    </w:p>
    <w:p>
      <w:pPr>
        <w:autoSpaceDE w:val="0"/>
        <w:autoSpaceDN w:val="0"/>
        <w:spacing w:line="360" w:lineRule="auto"/>
        <w:ind w:left="420" w:leftChars="200" w:right="420" w:rightChars="200" w:firstLine="440" w:firstLineChars="200"/>
        <w:rPr>
          <w:color w:val="auto"/>
          <w:sz w:val="22"/>
          <w:highlight w:val="none"/>
        </w:rPr>
      </w:pPr>
      <w:r>
        <w:rPr>
          <w:rFonts w:hint="eastAsia"/>
          <w:color w:val="auto"/>
          <w:sz w:val="22"/>
          <w:highlight w:val="none"/>
        </w:rPr>
        <w:t>医疗物流传输系统专业承包商负责：医疗物流系统的轨道及其附件（含传输箱）、站点、控制系统（含控制柜出线）的采购、运输、安装、调试与验收；从井道内提供的电源处接线；井道与轨道穿过防火分区的防火门/窗采购、安装；配合总承包商消防验收，提供产品与消防相关的资料及与消防系统联动调试、验收。</w:t>
      </w:r>
    </w:p>
    <w:p>
      <w:pPr>
        <w:pStyle w:val="25"/>
        <w:ind w:firstLine="340"/>
        <w:rPr>
          <w:color w:val="auto"/>
          <w:highlight w:val="none"/>
        </w:rPr>
      </w:pPr>
    </w:p>
    <w:p>
      <w:pPr>
        <w:pStyle w:val="25"/>
        <w:numPr>
          <w:ilvl w:val="0"/>
          <w:numId w:val="4"/>
        </w:numPr>
        <w:ind w:firstLineChars="0"/>
        <w:rPr>
          <w:b/>
          <w:bCs/>
          <w:color w:val="auto"/>
          <w:sz w:val="24"/>
          <w:szCs w:val="24"/>
          <w:highlight w:val="none"/>
        </w:rPr>
      </w:pPr>
      <w:r>
        <w:rPr>
          <w:rFonts w:hint="eastAsia"/>
          <w:b/>
          <w:bCs/>
          <w:color w:val="auto"/>
          <w:sz w:val="24"/>
          <w:szCs w:val="24"/>
          <w:highlight w:val="none"/>
        </w:rPr>
        <w:t>总体系统技术要求：</w:t>
      </w:r>
    </w:p>
    <w:p>
      <w:pPr>
        <w:rPr>
          <w:color w:val="auto"/>
          <w:highlight w:val="none"/>
        </w:rPr>
      </w:pPr>
    </w:p>
    <w:tbl>
      <w:tblPr>
        <w:tblStyle w:val="26"/>
        <w:tblW w:w="8804" w:type="dxa"/>
        <w:tblInd w:w="0" w:type="dxa"/>
        <w:tblLayout w:type="autofit"/>
        <w:tblCellMar>
          <w:top w:w="0" w:type="dxa"/>
          <w:left w:w="0" w:type="dxa"/>
          <w:bottom w:w="0" w:type="dxa"/>
          <w:right w:w="0" w:type="dxa"/>
        </w:tblCellMar>
      </w:tblPr>
      <w:tblGrid>
        <w:gridCol w:w="1822"/>
        <w:gridCol w:w="6982"/>
      </w:tblGrid>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一、 中型箱式物流传输系统总体要求</w:t>
            </w:r>
          </w:p>
        </w:tc>
      </w:tr>
      <w:tr>
        <w:tblPrEx>
          <w:tblCellMar>
            <w:top w:w="0" w:type="dxa"/>
            <w:left w:w="0" w:type="dxa"/>
            <w:bottom w:w="0" w:type="dxa"/>
            <w:right w:w="0" w:type="dxa"/>
          </w:tblCellMar>
        </w:tblPrEx>
        <w:trPr>
          <w:trHeight w:val="9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1.系统整体要求</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箱式物流传输系统是以周转箱为载体，通过传输线体和提升设备的运载，自动、平稳的将输送物品传输至目的地的新型医院物流设备。任意收发站之间可安全、高效的收发物品。形成一套科学合理、有效的物资自动化传输系统，全面解决院内大部分物品的自动化、智能化传输需求。</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2.传输对象</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如：药品、标本、血液制品、血样、X光片、医疗器械、手术包、医用消耗品和文本、文件、被服、餐饮等物品。</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3.适用环境条件</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温度：-10℃—+45℃；相对湿度：40%～98%（无凝露）；湿度变化率：≤±10%/h。</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4.运行时间</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保障每日连续工作 24 小时，每周连续工作 7 日。</w:t>
            </w:r>
          </w:p>
        </w:tc>
      </w:tr>
      <w:tr>
        <w:tblPrEx>
          <w:tblCellMar>
            <w:top w:w="0" w:type="dxa"/>
            <w:left w:w="0" w:type="dxa"/>
            <w:bottom w:w="0" w:type="dxa"/>
            <w:right w:w="0" w:type="dxa"/>
          </w:tblCellMar>
        </w:tblPrEx>
        <w:trPr>
          <w:trHeight w:val="28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5.系统工作站点数</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46个箱式物流站点（分布详见招标图纸）。</w:t>
            </w:r>
          </w:p>
        </w:tc>
      </w:tr>
      <w:tr>
        <w:tblPrEx>
          <w:tblCellMar>
            <w:top w:w="0" w:type="dxa"/>
            <w:left w:w="0" w:type="dxa"/>
            <w:bottom w:w="0" w:type="dxa"/>
            <w:right w:w="0" w:type="dxa"/>
          </w:tblCellMar>
        </w:tblPrEx>
        <w:trPr>
          <w:trHeight w:val="23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6.平稳性</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系统启动及停止均有缓冲，无撞击，系统载物箱传输全过程保持水平状态。</w:t>
            </w:r>
          </w:p>
        </w:tc>
      </w:tr>
      <w:tr>
        <w:tblPrEx>
          <w:tblCellMar>
            <w:top w:w="0" w:type="dxa"/>
            <w:left w:w="0" w:type="dxa"/>
            <w:bottom w:w="0" w:type="dxa"/>
            <w:right w:w="0" w:type="dxa"/>
          </w:tblCellMar>
        </w:tblPrEx>
        <w:trPr>
          <w:trHeight w:val="82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7.安全性</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系统无超标噪声污染、不对其他设备产生电磁干扰。系统易管理、易维护、易升级。系统具备故障恢复能力，传输中如发生断电，数据不会丢失，来电后能自动恢复，继续完成原定传输指令。</w:t>
            </w:r>
          </w:p>
        </w:tc>
      </w:tr>
      <w:tr>
        <w:tblPrEx>
          <w:tblCellMar>
            <w:top w:w="0" w:type="dxa"/>
            <w:left w:w="0" w:type="dxa"/>
            <w:bottom w:w="0" w:type="dxa"/>
            <w:right w:w="0" w:type="dxa"/>
          </w:tblCellMar>
        </w:tblPrEx>
        <w:trPr>
          <w:trHeight w:val="748"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8.防火性能</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每个垂直方向上的工作站点出入口，需配置自动防火门/窗/防火卷帘及防火控制监控器，保证载物箱出入时能自动开启或关闭。防火门/窗/防火卷帘任意向火面材料厚度、防火等级、耐火等级等条件需满足甲级消防规范要求。</w:t>
            </w:r>
          </w:p>
        </w:tc>
      </w:tr>
      <w:tr>
        <w:tblPrEx>
          <w:tblCellMar>
            <w:top w:w="0" w:type="dxa"/>
            <w:left w:w="0" w:type="dxa"/>
            <w:bottom w:w="0" w:type="dxa"/>
            <w:right w:w="0" w:type="dxa"/>
          </w:tblCellMar>
        </w:tblPrEx>
        <w:trPr>
          <w:trHeight w:val="106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9.稳定性</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部分科室有直接传输整包装物品的需要（如药房等），考虑到易碎品整包装直接传输的便捷性和安全性，要求所投中型箱式物流传输系统可直接传输尺寸小于等于标准周转箱/托盘的整包装物品，且传输前后整包装物品（易碎品）无损坏。</w:t>
            </w:r>
            <w:r>
              <w:rPr>
                <w:rFonts w:hint="eastAsia"/>
                <w:b/>
                <w:bCs/>
                <w:color w:val="auto"/>
                <w:sz w:val="20"/>
                <w:szCs w:val="20"/>
                <w:highlight w:val="none"/>
                <w:lang w:bidi="ar"/>
              </w:rPr>
              <w:t>投标文件中需提供实际传输场景的图片。</w:t>
            </w:r>
          </w:p>
        </w:tc>
      </w:tr>
      <w:tr>
        <w:tblPrEx>
          <w:tblCellMar>
            <w:top w:w="0" w:type="dxa"/>
            <w:left w:w="0" w:type="dxa"/>
            <w:bottom w:w="0" w:type="dxa"/>
            <w:right w:w="0" w:type="dxa"/>
          </w:tblCellMar>
        </w:tblPrEx>
        <w:trPr>
          <w:trHeight w:val="812"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10. 系统可扩展性</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系统容量应适当预留，可满足招标人未来扩大分站数量的需求。垂直提升系统可根据医院的传输数量及效率需要，在垂直方向上可扩展、增加运送箱位数，最少不低于六箱位。</w:t>
            </w:r>
            <w:r>
              <w:rPr>
                <w:rFonts w:hint="eastAsia"/>
                <w:b/>
                <w:bCs/>
                <w:color w:val="auto"/>
                <w:sz w:val="20"/>
                <w:szCs w:val="20"/>
                <w:highlight w:val="none"/>
                <w:lang w:bidi="ar"/>
              </w:rPr>
              <w:t>投标文件中需提供可扩展增箱位的技术实现方案。</w:t>
            </w:r>
          </w:p>
        </w:tc>
      </w:tr>
      <w:tr>
        <w:tblPrEx>
          <w:tblCellMar>
            <w:top w:w="0" w:type="dxa"/>
            <w:left w:w="0" w:type="dxa"/>
            <w:bottom w:w="0" w:type="dxa"/>
            <w:right w:w="0" w:type="dxa"/>
          </w:tblCellMar>
        </w:tblPrEx>
        <w:trPr>
          <w:trHeight w:val="32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11. 设计使用寿命</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系统使用寿命≥30 年。</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二、中型箱式物流传输系统主要技术要求</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1. 总述</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系统组成：系统由水平传输分拣、垂直传输分拣、智能工作站点、传输控制系统、上位机软件系统、物资传输周转箱等组成。</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2. 垂直传输分拣系统</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2.1 垂直传输分拣系统分类</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分类</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主要有高层垂直分拣机</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2.2 高层垂直分拣机</w:t>
            </w:r>
          </w:p>
        </w:tc>
      </w:tr>
      <w:tr>
        <w:tblPrEx>
          <w:tblCellMar>
            <w:top w:w="0" w:type="dxa"/>
            <w:left w:w="0" w:type="dxa"/>
            <w:bottom w:w="0" w:type="dxa"/>
            <w:right w:w="0" w:type="dxa"/>
          </w:tblCellMar>
        </w:tblPrEx>
        <w:trPr>
          <w:trHeight w:val="752"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2.2.1</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高层垂直分拣机为高速分拣结构，为保证垂直分拣的安全性，系统由（包含但不限于）：曳引机、曳引机制动器、渐进式安全钳、限速器自动门、自动防火门、箱内分拣设备等部件构成。具有高效、静音、可靠、安全的特点。</w:t>
            </w:r>
          </w:p>
        </w:tc>
      </w:tr>
      <w:tr>
        <w:tblPrEx>
          <w:tblCellMar>
            <w:top w:w="0" w:type="dxa"/>
            <w:left w:w="0" w:type="dxa"/>
            <w:bottom w:w="0" w:type="dxa"/>
            <w:right w:w="0" w:type="dxa"/>
          </w:tblCellMar>
        </w:tblPrEx>
        <w:trPr>
          <w:trHeight w:val="1530" w:hRule="atLeast"/>
        </w:trPr>
        <w:tc>
          <w:tcPr>
            <w:tcW w:w="182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Fonts w:hint="eastAsia"/>
                <w:color w:val="auto"/>
                <w:sz w:val="20"/>
                <w:szCs w:val="20"/>
                <w:highlight w:val="none"/>
                <w:lang w:bidi="ar"/>
              </w:rPr>
              <w:t>2.2.2</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为保障未来使用效率需求，提升速度≥1.75m/s，在图纸规定的井道尺寸内，单个垂直提升设备的轿厢内可以同时进入、并且承载不少于四个标准周转箱（</w:t>
            </w:r>
            <w:r>
              <w:rPr>
                <w:rFonts w:hint="eastAsia"/>
                <w:color w:val="auto"/>
                <w:sz w:val="20"/>
                <w:szCs w:val="20"/>
                <w:highlight w:val="none"/>
                <w:lang w:val="en-US" w:eastAsia="zh-CN" w:bidi="ar"/>
              </w:rPr>
              <w:t>容积为0.06立方米，</w:t>
            </w:r>
            <w:r>
              <w:rPr>
                <w:rFonts w:hint="eastAsia" w:ascii="Times New Roman" w:hAnsi="Times New Roman" w:eastAsia="宋体"/>
                <w:color w:val="auto"/>
                <w:sz w:val="20"/>
                <w:szCs w:val="20"/>
                <w:highlight w:val="none"/>
                <w:lang w:val="en-US" w:eastAsia="zh-CN" w:bidi="ar"/>
              </w:rPr>
              <w:t>具体周转箱尺寸根据现场实际井道尺寸，并在进场前需经过业主确认</w:t>
            </w:r>
            <w:r>
              <w:rPr>
                <w:rFonts w:hint="eastAsia"/>
                <w:color w:val="auto"/>
                <w:sz w:val="20"/>
                <w:szCs w:val="20"/>
                <w:highlight w:val="none"/>
                <w:lang w:val="en-US" w:eastAsia="zh-CN" w:bidi="ar"/>
              </w:rPr>
              <w:t>箱体规格</w:t>
            </w:r>
            <w:r>
              <w:rPr>
                <w:rFonts w:hint="eastAsia" w:ascii="Times New Roman" w:hAnsi="Times New Roman" w:eastAsia="宋体"/>
                <w:color w:val="auto"/>
                <w:sz w:val="20"/>
                <w:szCs w:val="20"/>
                <w:highlight w:val="none"/>
                <w:lang w:val="en-US" w:eastAsia="zh-CN" w:bidi="ar"/>
              </w:rPr>
              <w:t>和同意后方可进场。</w:t>
            </w:r>
            <w:r>
              <w:rPr>
                <w:rFonts w:hint="eastAsia"/>
                <w:color w:val="auto"/>
                <w:sz w:val="20"/>
                <w:szCs w:val="20"/>
                <w:highlight w:val="none"/>
                <w:lang w:bidi="ar"/>
              </w:rPr>
              <w:t>），在一个往复循环内传送至垂直方向上的不同目的地。</w:t>
            </w:r>
          </w:p>
          <w:p>
            <w:pPr>
              <w:widowControl/>
              <w:textAlignment w:val="top"/>
              <w:rPr>
                <w:rFonts w:ascii="宋体" w:hAnsi="宋体"/>
                <w:b/>
                <w:color w:val="auto"/>
                <w:sz w:val="20"/>
                <w:szCs w:val="20"/>
                <w:highlight w:val="none"/>
                <w:lang w:bidi="ar"/>
              </w:rPr>
            </w:pPr>
            <w:r>
              <w:rPr>
                <w:rFonts w:ascii="宋体" w:hAnsi="宋体"/>
                <w:b/>
                <w:color w:val="auto"/>
                <w:sz w:val="20"/>
                <w:szCs w:val="20"/>
                <w:highlight w:val="none"/>
                <w:lang w:bidi="ar"/>
              </w:rPr>
              <w:t>投标文件中需提供详细说明，并提供已运行使用医院的照片、医院出具的使用证明</w:t>
            </w:r>
            <w:r>
              <w:rPr>
                <w:rFonts w:hint="eastAsia"/>
                <w:b/>
                <w:color w:val="auto"/>
                <w:sz w:val="20"/>
                <w:szCs w:val="20"/>
                <w:highlight w:val="none"/>
              </w:rPr>
              <w:t>。</w:t>
            </w:r>
          </w:p>
        </w:tc>
      </w:tr>
      <w:tr>
        <w:tblPrEx>
          <w:tblCellMar>
            <w:top w:w="0" w:type="dxa"/>
            <w:left w:w="0" w:type="dxa"/>
            <w:bottom w:w="0" w:type="dxa"/>
            <w:right w:w="0" w:type="dxa"/>
          </w:tblCellMar>
        </w:tblPrEx>
        <w:trPr>
          <w:trHeight w:val="90" w:hRule="atLeast"/>
        </w:trPr>
        <w:tc>
          <w:tcPr>
            <w:tcW w:w="1822" w:type="dxa"/>
            <w:vMerge w:val="restart"/>
            <w:tcBorders>
              <w:top w:val="single" w:color="000000" w:sz="8" w:space="0"/>
              <w:left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2.2.3</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垂直分拣机工作时噪声指标不得大于45 分贝，</w:t>
            </w:r>
            <w:r>
              <w:rPr>
                <w:rFonts w:hint="eastAsia"/>
                <w:b/>
                <w:bCs/>
                <w:color w:val="auto"/>
                <w:sz w:val="20"/>
                <w:szCs w:val="20"/>
                <w:highlight w:val="none"/>
                <w:lang w:bidi="ar"/>
              </w:rPr>
              <w:t>投标文件需</w:t>
            </w:r>
            <w:r>
              <w:rPr>
                <w:rFonts w:hint="eastAsia"/>
                <w:b/>
                <w:bCs/>
                <w:color w:val="auto"/>
                <w:sz w:val="20"/>
                <w:szCs w:val="20"/>
                <w:highlight w:val="none"/>
              </w:rPr>
              <w:t>提供</w:t>
            </w:r>
            <w:r>
              <w:rPr>
                <w:rFonts w:hint="eastAsia"/>
                <w:b/>
                <w:bCs/>
                <w:color w:val="auto"/>
                <w:sz w:val="20"/>
                <w:szCs w:val="20"/>
                <w:highlight w:val="none"/>
                <w:lang w:bidi="ar"/>
              </w:rPr>
              <w:t>CNAS</w:t>
            </w:r>
            <w:r>
              <w:rPr>
                <w:rFonts w:hint="eastAsia"/>
                <w:b/>
                <w:bCs/>
                <w:color w:val="auto"/>
                <w:sz w:val="20"/>
                <w:szCs w:val="20"/>
                <w:highlight w:val="none"/>
                <w:lang w:val="en-US" w:eastAsia="zh-CN" w:bidi="ar"/>
              </w:rPr>
              <w:t>或</w:t>
            </w:r>
            <w:r>
              <w:rPr>
                <w:rFonts w:hint="eastAsia"/>
                <w:b/>
                <w:bCs/>
                <w:color w:val="auto"/>
                <w:sz w:val="20"/>
                <w:szCs w:val="20"/>
                <w:highlight w:val="none"/>
                <w:lang w:bidi="ar"/>
              </w:rPr>
              <w:t>CMA</w:t>
            </w:r>
            <w:r>
              <w:rPr>
                <w:rFonts w:hint="eastAsia"/>
                <w:b/>
                <w:bCs/>
                <w:color w:val="auto"/>
                <w:sz w:val="20"/>
                <w:szCs w:val="20"/>
                <w:highlight w:val="none"/>
              </w:rPr>
              <w:t>标识的第三方检测机构出具的检验报告</w:t>
            </w:r>
            <w:r>
              <w:rPr>
                <w:rFonts w:hint="eastAsia"/>
                <w:b/>
                <w:bCs/>
                <w:color w:val="auto"/>
                <w:sz w:val="20"/>
                <w:szCs w:val="20"/>
                <w:highlight w:val="none"/>
                <w:lang w:bidi="ar"/>
              </w:rPr>
              <w:t>。</w:t>
            </w:r>
          </w:p>
        </w:tc>
      </w:tr>
      <w:tr>
        <w:tblPrEx>
          <w:tblCellMar>
            <w:top w:w="0" w:type="dxa"/>
            <w:left w:w="0" w:type="dxa"/>
            <w:bottom w:w="0" w:type="dxa"/>
            <w:right w:w="0" w:type="dxa"/>
          </w:tblCellMar>
        </w:tblPrEx>
        <w:trPr>
          <w:trHeight w:val="345" w:hRule="atLeast"/>
        </w:trPr>
        <w:tc>
          <w:tcPr>
            <w:tcW w:w="1822" w:type="dxa"/>
            <w:vMerge w:val="continue"/>
            <w:tcBorders>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垂直传输分拣效率≥320箱/小时。</w:t>
            </w:r>
          </w:p>
        </w:tc>
      </w:tr>
      <w:tr>
        <w:tblPrEx>
          <w:tblCellMar>
            <w:top w:w="0" w:type="dxa"/>
            <w:left w:w="0" w:type="dxa"/>
            <w:bottom w:w="0" w:type="dxa"/>
            <w:right w:w="0" w:type="dxa"/>
          </w:tblCellMar>
        </w:tblPrEx>
        <w:trPr>
          <w:trHeight w:val="500" w:hRule="atLeast"/>
        </w:trPr>
        <w:tc>
          <w:tcPr>
            <w:tcW w:w="182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Fonts w:hint="eastAsia"/>
                <w:color w:val="auto"/>
                <w:sz w:val="20"/>
                <w:szCs w:val="20"/>
                <w:highlight w:val="none"/>
                <w:lang w:bidi="ar"/>
              </w:rPr>
              <w:t>2.2.4</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r>
              <w:rPr>
                <w:rFonts w:hint="eastAsia"/>
                <w:color w:val="auto"/>
                <w:sz w:val="20"/>
                <w:szCs w:val="20"/>
                <w:highlight w:val="none"/>
                <w:lang w:bidi="ar"/>
              </w:rPr>
              <w:t>垂直分拣机具备应急故障处理系统。</w:t>
            </w:r>
          </w:p>
        </w:tc>
      </w:tr>
      <w:tr>
        <w:tblPrEx>
          <w:tblCellMar>
            <w:top w:w="0" w:type="dxa"/>
            <w:left w:w="0" w:type="dxa"/>
            <w:bottom w:w="0" w:type="dxa"/>
            <w:right w:w="0" w:type="dxa"/>
          </w:tblCellMar>
        </w:tblPrEx>
        <w:trPr>
          <w:trHeight w:val="1394"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垂直分拣机运行时，当遇到停电或其他突发故障时，可采用垂直分拣机的应急控制系统，通过备用控制电源，系统可自动打开曳引机抱闸，以设定的安全速度，通过定位系统反馈的实时位置数据，将轿厢自动平层输运到最近的楼层，手动取出轿厢内的周转箱或传输的物品。</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3、智能工作站点</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3.1智能工作站点</w:t>
            </w:r>
          </w:p>
        </w:tc>
      </w:tr>
      <w:tr>
        <w:tblPrEx>
          <w:tblCellMar>
            <w:top w:w="0" w:type="dxa"/>
            <w:left w:w="0" w:type="dxa"/>
            <w:bottom w:w="0" w:type="dxa"/>
            <w:right w:w="0" w:type="dxa"/>
          </w:tblCellMar>
        </w:tblPrEx>
        <w:trPr>
          <w:trHeight w:val="1638"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3.1.1</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Style w:val="64"/>
                <w:rFonts w:hint="default"/>
                <w:color w:val="auto"/>
                <w:sz w:val="20"/>
                <w:szCs w:val="20"/>
                <w:highlight w:val="none"/>
                <w:lang w:bidi="ar"/>
              </w:rPr>
              <w:t>工作站的收发为上下或水平双轨结构，具备独立的发送和接收通道，任意站点间可相互发送、接收，</w:t>
            </w:r>
            <w:r>
              <w:rPr>
                <w:rStyle w:val="65"/>
                <w:rFonts w:hint="default"/>
                <w:color w:val="auto"/>
                <w:sz w:val="20"/>
                <w:szCs w:val="20"/>
                <w:highlight w:val="none"/>
                <w:lang w:bidi="ar"/>
              </w:rPr>
              <w:t>每条通道至少可以停放不少于两个标准传输箱</w:t>
            </w:r>
            <w:r>
              <w:rPr>
                <w:rStyle w:val="64"/>
                <w:rFonts w:hint="default"/>
                <w:color w:val="auto"/>
                <w:sz w:val="20"/>
                <w:szCs w:val="20"/>
                <w:highlight w:val="none"/>
                <w:lang w:bidi="ar"/>
              </w:rPr>
              <w:t>。发送工作站具备触摸屏操作或语音指令选择目的地的双重功能。具备站点名称显示、到货提醒、设备运行状态显示等功能。物流站点需配备语音提醒报警功能，在收发货及设备故障、箱位占满的情况下报警提醒。站点可安装蜂鸣器、语音提示器或客户端提醒功能，进行远距离提醒。</w:t>
            </w:r>
          </w:p>
        </w:tc>
      </w:tr>
      <w:tr>
        <w:tblPrEx>
          <w:tblCellMar>
            <w:top w:w="0" w:type="dxa"/>
            <w:left w:w="0" w:type="dxa"/>
            <w:bottom w:w="0" w:type="dxa"/>
            <w:right w:w="0" w:type="dxa"/>
          </w:tblCellMar>
        </w:tblPrEx>
        <w:trPr>
          <w:trHeight w:val="825" w:hRule="atLeast"/>
        </w:trPr>
        <w:tc>
          <w:tcPr>
            <w:tcW w:w="182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3.1.2 站点显示</w:t>
            </w:r>
          </w:p>
        </w:tc>
        <w:tc>
          <w:tcPr>
            <w:tcW w:w="698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Style w:val="64"/>
                <w:rFonts w:hint="default"/>
                <w:color w:val="auto"/>
                <w:sz w:val="20"/>
                <w:szCs w:val="20"/>
                <w:highlight w:val="none"/>
                <w:lang w:bidi="ar"/>
              </w:rPr>
              <w:t>站点配备大于等于</w:t>
            </w:r>
            <w:r>
              <w:rPr>
                <w:rStyle w:val="66"/>
                <w:rFonts w:hint="default"/>
                <w:color w:val="auto"/>
                <w:sz w:val="20"/>
                <w:szCs w:val="20"/>
                <w:highlight w:val="none"/>
                <w:lang w:bidi="ar"/>
              </w:rPr>
              <w:t>21</w:t>
            </w:r>
            <w:r>
              <w:rPr>
                <w:rStyle w:val="64"/>
                <w:rFonts w:hint="default"/>
                <w:color w:val="auto"/>
                <w:sz w:val="20"/>
                <w:szCs w:val="20"/>
                <w:highlight w:val="none"/>
                <w:lang w:bidi="ar"/>
              </w:rPr>
              <w:t>英寸触摸屏。可显示站点名称、实时显示语音交互内容、到货提醒、货物运送状态、设备运行状态、时间、日历、医院文宣等内容；</w:t>
            </w:r>
          </w:p>
        </w:tc>
      </w:tr>
      <w:tr>
        <w:tblPrEx>
          <w:tblCellMar>
            <w:top w:w="0" w:type="dxa"/>
            <w:left w:w="0" w:type="dxa"/>
            <w:bottom w:w="0" w:type="dxa"/>
            <w:right w:w="0" w:type="dxa"/>
          </w:tblCellMar>
        </w:tblPrEx>
        <w:trPr>
          <w:trHeight w:val="312"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3.1.3 声光指示</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物流站点具备声光指示器，用于提醒操作人员载物箱到达信息及站点满箱信息。</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3.1.4 噪音控制</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rPr>
              <w:t>物流站点工作时噪声指标不得大于45 分贝。</w:t>
            </w:r>
          </w:p>
          <w:p>
            <w:pPr>
              <w:widowControl/>
              <w:textAlignment w:val="top"/>
              <w:rPr>
                <w:color w:val="auto"/>
                <w:sz w:val="20"/>
                <w:szCs w:val="20"/>
                <w:highlight w:val="none"/>
              </w:rPr>
            </w:pPr>
            <w:r>
              <w:rPr>
                <w:rFonts w:hint="eastAsia"/>
                <w:b/>
                <w:bCs/>
                <w:color w:val="auto"/>
                <w:sz w:val="20"/>
                <w:szCs w:val="20"/>
                <w:highlight w:val="none"/>
              </w:rPr>
              <w:t>投标文件需提供</w:t>
            </w:r>
            <w:r>
              <w:rPr>
                <w:rFonts w:hint="eastAsia"/>
                <w:b/>
                <w:bCs/>
                <w:color w:val="auto"/>
                <w:sz w:val="20"/>
                <w:szCs w:val="20"/>
                <w:highlight w:val="none"/>
                <w:lang w:bidi="ar"/>
              </w:rPr>
              <w:t>CNAS</w:t>
            </w:r>
            <w:r>
              <w:rPr>
                <w:rFonts w:hint="eastAsia"/>
                <w:b/>
                <w:bCs/>
                <w:color w:val="auto"/>
                <w:sz w:val="20"/>
                <w:szCs w:val="20"/>
                <w:highlight w:val="none"/>
                <w:lang w:val="en-US" w:eastAsia="zh-CN" w:bidi="ar"/>
              </w:rPr>
              <w:t>或</w:t>
            </w:r>
            <w:r>
              <w:rPr>
                <w:rFonts w:hint="eastAsia"/>
                <w:b/>
                <w:bCs/>
                <w:color w:val="auto"/>
                <w:sz w:val="20"/>
                <w:szCs w:val="20"/>
                <w:highlight w:val="none"/>
                <w:lang w:bidi="ar"/>
              </w:rPr>
              <w:t>CMA</w:t>
            </w:r>
            <w:r>
              <w:rPr>
                <w:rFonts w:hint="eastAsia"/>
                <w:b/>
                <w:bCs/>
                <w:color w:val="auto"/>
                <w:sz w:val="20"/>
                <w:szCs w:val="20"/>
                <w:highlight w:val="none"/>
              </w:rPr>
              <w:t>标识的第三方检测机构出具的检验报告。</w:t>
            </w:r>
          </w:p>
        </w:tc>
      </w:tr>
      <w:tr>
        <w:tblPrEx>
          <w:tblCellMar>
            <w:top w:w="0" w:type="dxa"/>
            <w:left w:w="0" w:type="dxa"/>
            <w:bottom w:w="0" w:type="dxa"/>
            <w:right w:w="0" w:type="dxa"/>
          </w:tblCellMar>
        </w:tblPrEx>
        <w:trPr>
          <w:trHeight w:val="1568" w:hRule="atLeast"/>
        </w:trPr>
        <w:tc>
          <w:tcPr>
            <w:tcW w:w="1822" w:type="dxa"/>
            <w:vMerge w:val="restart"/>
            <w:tcBorders>
              <w:top w:val="single" w:color="000000" w:sz="8" w:space="0"/>
              <w:left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Fonts w:hint="eastAsia"/>
                <w:color w:val="auto"/>
                <w:sz w:val="20"/>
                <w:szCs w:val="20"/>
                <w:highlight w:val="none"/>
                <w:lang w:bidi="ar"/>
              </w:rPr>
              <w:t>3.1.5智能监控系统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left"/>
              <w:textAlignment w:val="bottom"/>
              <w:rPr>
                <w:color w:val="auto"/>
                <w:sz w:val="20"/>
                <w:szCs w:val="20"/>
                <w:highlight w:val="none"/>
                <w:lang w:bidi="ar"/>
              </w:rPr>
            </w:pPr>
            <w:r>
              <w:rPr>
                <w:rFonts w:hint="eastAsia"/>
                <w:color w:val="auto"/>
                <w:sz w:val="20"/>
                <w:szCs w:val="20"/>
                <w:highlight w:val="none"/>
                <w:lang w:bidi="ar"/>
              </w:rPr>
              <w:t>在所有收发站点设置监控系统。实现在任意一个站点，可根据时间列表或根据周转箱条码/芯片信息，查询不少于一周内每箱物资的发送、在途、及接收的监控信息及画面，实现物品的全程追溯和电子化签收的追溯管理。</w:t>
            </w:r>
          </w:p>
          <w:p>
            <w:pPr>
              <w:widowControl/>
              <w:jc w:val="left"/>
              <w:textAlignment w:val="bottom"/>
              <w:rPr>
                <w:color w:val="auto"/>
                <w:sz w:val="20"/>
                <w:szCs w:val="20"/>
                <w:highlight w:val="none"/>
              </w:rPr>
            </w:pPr>
            <w:r>
              <w:rPr>
                <w:rFonts w:hint="eastAsia"/>
                <w:b/>
                <w:bCs/>
                <w:color w:val="auto"/>
                <w:sz w:val="20"/>
                <w:szCs w:val="20"/>
                <w:highlight w:val="none"/>
                <w:lang w:bidi="ar"/>
              </w:rPr>
              <w:t>投标文件中需提供印有CNAS</w:t>
            </w:r>
            <w:r>
              <w:rPr>
                <w:rFonts w:hint="eastAsia"/>
                <w:b/>
                <w:bCs/>
                <w:color w:val="auto"/>
                <w:sz w:val="20"/>
                <w:szCs w:val="20"/>
                <w:highlight w:val="none"/>
                <w:lang w:val="en-US" w:eastAsia="zh-CN" w:bidi="ar"/>
              </w:rPr>
              <w:t>或</w:t>
            </w:r>
            <w:r>
              <w:rPr>
                <w:rFonts w:hint="eastAsia"/>
                <w:b/>
                <w:bCs/>
                <w:color w:val="auto"/>
                <w:sz w:val="20"/>
                <w:szCs w:val="20"/>
                <w:highlight w:val="none"/>
                <w:lang w:bidi="ar"/>
              </w:rPr>
              <w:t>CMA标识的软件测试报告。</w:t>
            </w:r>
          </w:p>
        </w:tc>
      </w:tr>
      <w:tr>
        <w:tblPrEx>
          <w:tblCellMar>
            <w:top w:w="0" w:type="dxa"/>
            <w:left w:w="0" w:type="dxa"/>
            <w:bottom w:w="0" w:type="dxa"/>
            <w:right w:w="0" w:type="dxa"/>
          </w:tblCellMar>
        </w:tblPrEx>
        <w:trPr>
          <w:trHeight w:val="1140" w:hRule="atLeast"/>
        </w:trPr>
        <w:tc>
          <w:tcPr>
            <w:tcW w:w="1822" w:type="dxa"/>
            <w:vMerge w:val="restart"/>
            <w:tcBorders>
              <w:top w:val="single" w:color="000000" w:sz="8" w:space="0"/>
              <w:left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3.1.6  语音通话系统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bottom"/>
          </w:tcPr>
          <w:p>
            <w:pPr>
              <w:widowControl/>
              <w:textAlignment w:val="bottom"/>
              <w:rPr>
                <w:color w:val="auto"/>
                <w:sz w:val="20"/>
                <w:szCs w:val="20"/>
                <w:highlight w:val="none"/>
                <w:lang w:bidi="ar"/>
              </w:rPr>
            </w:pPr>
            <w:r>
              <w:rPr>
                <w:rFonts w:hint="eastAsia"/>
                <w:color w:val="auto"/>
                <w:sz w:val="20"/>
                <w:szCs w:val="20"/>
                <w:highlight w:val="none"/>
                <w:lang w:bidi="ar"/>
              </w:rPr>
              <w:t>站点需配置语音通话功能，可通过站点触摸屏，实现任意两个站点之间，一键呼叫，语音实时通话。</w:t>
            </w:r>
          </w:p>
          <w:p>
            <w:pPr>
              <w:widowControl/>
              <w:textAlignment w:val="bottom"/>
              <w:rPr>
                <w:color w:val="auto"/>
                <w:sz w:val="20"/>
                <w:szCs w:val="20"/>
                <w:highlight w:val="none"/>
              </w:rPr>
            </w:pPr>
            <w:r>
              <w:rPr>
                <w:rFonts w:hint="eastAsia"/>
                <w:b/>
                <w:bCs/>
                <w:color w:val="auto"/>
                <w:sz w:val="20"/>
                <w:szCs w:val="20"/>
                <w:highlight w:val="none"/>
                <w:lang w:bidi="ar"/>
              </w:rPr>
              <w:t>投标文件中需提供印有CNAS</w:t>
            </w:r>
            <w:r>
              <w:rPr>
                <w:rFonts w:hint="eastAsia"/>
                <w:b/>
                <w:bCs/>
                <w:color w:val="auto"/>
                <w:sz w:val="20"/>
                <w:szCs w:val="20"/>
                <w:highlight w:val="none"/>
                <w:lang w:val="en-US" w:eastAsia="zh-CN" w:bidi="ar"/>
              </w:rPr>
              <w:t>或</w:t>
            </w:r>
            <w:r>
              <w:rPr>
                <w:rFonts w:hint="eastAsia"/>
                <w:b/>
                <w:bCs/>
                <w:color w:val="auto"/>
                <w:sz w:val="20"/>
                <w:szCs w:val="20"/>
                <w:highlight w:val="none"/>
                <w:lang w:bidi="ar"/>
              </w:rPr>
              <w:t>CMA标识的软件测试报告。</w:t>
            </w:r>
          </w:p>
        </w:tc>
      </w:tr>
      <w:tr>
        <w:tblPrEx>
          <w:tblCellMar>
            <w:top w:w="0" w:type="dxa"/>
            <w:left w:w="0" w:type="dxa"/>
            <w:bottom w:w="0" w:type="dxa"/>
            <w:right w:w="0" w:type="dxa"/>
          </w:tblCellMar>
        </w:tblPrEx>
        <w:trPr>
          <w:trHeight w:val="844" w:hRule="atLeast"/>
        </w:trPr>
        <w:tc>
          <w:tcPr>
            <w:tcW w:w="1822" w:type="dxa"/>
            <w:tcBorders>
              <w:top w:val="single" w:color="000000" w:sz="8" w:space="0"/>
              <w:left w:val="single" w:color="000000" w:sz="8" w:space="0"/>
              <w:right w:val="single" w:color="000000" w:sz="8" w:space="0"/>
            </w:tcBorders>
            <w:tcMar>
              <w:top w:w="15" w:type="dxa"/>
              <w:left w:w="15" w:type="dxa"/>
              <w:right w:w="15" w:type="dxa"/>
            </w:tcMar>
            <w:vAlign w:val="center"/>
          </w:tcPr>
          <w:p>
            <w:pPr>
              <w:widowControl/>
              <w:jc w:val="left"/>
              <w:textAlignment w:val="top"/>
              <w:rPr>
                <w:color w:val="auto"/>
                <w:sz w:val="20"/>
                <w:szCs w:val="20"/>
                <w:highlight w:val="none"/>
              </w:rPr>
            </w:pPr>
            <w:r>
              <w:rPr>
                <w:rFonts w:hint="eastAsia"/>
                <w:color w:val="auto"/>
                <w:sz w:val="20"/>
                <w:szCs w:val="20"/>
                <w:highlight w:val="none"/>
                <w:lang w:bidi="ar"/>
              </w:rPr>
              <w:t>3.1.7  人脸识别系统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left"/>
              <w:textAlignment w:val="bottom"/>
              <w:rPr>
                <w:color w:val="auto"/>
                <w:sz w:val="20"/>
                <w:szCs w:val="20"/>
                <w:highlight w:val="none"/>
                <w:lang w:bidi="ar"/>
              </w:rPr>
            </w:pPr>
            <w:r>
              <w:rPr>
                <w:rFonts w:hint="eastAsia"/>
                <w:color w:val="auto"/>
                <w:sz w:val="20"/>
                <w:szCs w:val="20"/>
                <w:highlight w:val="none"/>
                <w:lang w:bidi="ar"/>
              </w:rPr>
              <w:t>站点配置人脸识别系统，和整体物流系统的上位系统对接、通过人脸自动识别解锁操作人员权限，授权进行相关操作。</w:t>
            </w:r>
          </w:p>
          <w:p>
            <w:pPr>
              <w:widowControl/>
              <w:jc w:val="left"/>
              <w:textAlignment w:val="bottom"/>
              <w:rPr>
                <w:color w:val="auto"/>
                <w:sz w:val="20"/>
                <w:szCs w:val="20"/>
                <w:highlight w:val="none"/>
              </w:rPr>
            </w:pP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3.1.8</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bottom"/>
          </w:tcPr>
          <w:p>
            <w:pPr>
              <w:widowControl/>
              <w:textAlignment w:val="bottom"/>
              <w:rPr>
                <w:color w:val="auto"/>
                <w:sz w:val="20"/>
                <w:szCs w:val="20"/>
                <w:highlight w:val="none"/>
              </w:rPr>
            </w:pPr>
            <w:r>
              <w:rPr>
                <w:rFonts w:hint="eastAsia"/>
                <w:color w:val="auto"/>
                <w:sz w:val="20"/>
                <w:szCs w:val="20"/>
                <w:highlight w:val="none"/>
                <w:lang w:bidi="ar"/>
              </w:rPr>
              <w:t>工作站外观需符合医院装修风格。（提供实物图片）</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Style w:val="67"/>
                <w:rFonts w:ascii="宋体" w:hAnsi="宋体"/>
                <w:color w:val="auto"/>
                <w:sz w:val="20"/>
                <w:szCs w:val="20"/>
                <w:highlight w:val="none"/>
                <w:lang w:bidi="ar"/>
              </w:rPr>
              <w:t>4.</w:t>
            </w:r>
            <w:r>
              <w:rPr>
                <w:rStyle w:val="63"/>
                <w:rFonts w:ascii="宋体" w:hAnsi="宋体"/>
                <w:color w:val="auto"/>
                <w:sz w:val="20"/>
                <w:szCs w:val="20"/>
                <w:highlight w:val="none"/>
                <w:lang w:bidi="ar"/>
              </w:rPr>
              <w:t xml:space="preserve"> </w:t>
            </w:r>
            <w:r>
              <w:rPr>
                <w:rStyle w:val="67"/>
                <w:rFonts w:ascii="宋体" w:hAnsi="宋体"/>
                <w:color w:val="auto"/>
                <w:sz w:val="20"/>
                <w:szCs w:val="20"/>
                <w:highlight w:val="none"/>
                <w:lang w:bidi="ar"/>
              </w:rPr>
              <w:t>水平传输分拣系统</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4.1 水平传输分拣系统技术要求</w:t>
            </w:r>
          </w:p>
        </w:tc>
      </w:tr>
      <w:tr>
        <w:tblPrEx>
          <w:tblCellMar>
            <w:top w:w="0" w:type="dxa"/>
            <w:left w:w="0" w:type="dxa"/>
            <w:bottom w:w="0" w:type="dxa"/>
            <w:right w:w="0" w:type="dxa"/>
          </w:tblCellMar>
        </w:tblPrEx>
        <w:trPr>
          <w:trHeight w:val="83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4.1.1</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jc w:val="left"/>
              <w:textAlignment w:val="top"/>
              <w:rPr>
                <w:color w:val="auto"/>
                <w:sz w:val="20"/>
                <w:szCs w:val="20"/>
                <w:highlight w:val="none"/>
                <w:lang w:bidi="ar"/>
              </w:rPr>
            </w:pPr>
            <w:r>
              <w:rPr>
                <w:rFonts w:hint="eastAsia"/>
                <w:color w:val="auto"/>
                <w:sz w:val="20"/>
                <w:szCs w:val="20"/>
                <w:highlight w:val="none"/>
                <w:lang w:bidi="ar"/>
              </w:rPr>
              <w:t>水平传输分拣系统采用电滚筒驱动方式或双侧皮带传输方式。传输速度≥0.5m/s</w:t>
            </w:r>
          </w:p>
          <w:p>
            <w:pPr>
              <w:widowControl/>
              <w:jc w:val="left"/>
              <w:textAlignment w:val="top"/>
              <w:rPr>
                <w:color w:val="auto"/>
                <w:sz w:val="20"/>
                <w:szCs w:val="20"/>
                <w:highlight w:val="none"/>
              </w:rPr>
            </w:pPr>
            <w:r>
              <w:rPr>
                <w:rFonts w:hint="eastAsia"/>
                <w:b/>
                <w:bCs/>
                <w:color w:val="auto"/>
                <w:sz w:val="20"/>
                <w:szCs w:val="20"/>
                <w:highlight w:val="none"/>
                <w:lang w:bidi="ar"/>
              </w:rPr>
              <w:t>投标文件中需提供实物照片。</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4.1.2</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水平传输线工作时噪声指标不得大于45 分贝。</w:t>
            </w:r>
          </w:p>
          <w:p>
            <w:pPr>
              <w:widowControl/>
              <w:textAlignment w:val="top"/>
              <w:rPr>
                <w:color w:val="auto"/>
                <w:sz w:val="20"/>
                <w:szCs w:val="20"/>
                <w:highlight w:val="none"/>
              </w:rPr>
            </w:pPr>
            <w:r>
              <w:rPr>
                <w:rFonts w:hint="eastAsia"/>
                <w:b/>
                <w:bCs/>
                <w:color w:val="auto"/>
                <w:sz w:val="20"/>
                <w:szCs w:val="20"/>
                <w:highlight w:val="none"/>
                <w:lang w:bidi="ar"/>
              </w:rPr>
              <w:t>投标文件需</w:t>
            </w:r>
            <w:r>
              <w:rPr>
                <w:rFonts w:hint="eastAsia"/>
                <w:b/>
                <w:bCs/>
                <w:color w:val="auto"/>
                <w:sz w:val="20"/>
                <w:szCs w:val="20"/>
                <w:highlight w:val="none"/>
              </w:rPr>
              <w:t>提供</w:t>
            </w:r>
            <w:r>
              <w:rPr>
                <w:rFonts w:hint="eastAsia"/>
                <w:b/>
                <w:bCs/>
                <w:color w:val="auto"/>
                <w:sz w:val="20"/>
                <w:szCs w:val="20"/>
                <w:highlight w:val="none"/>
                <w:lang w:bidi="ar"/>
              </w:rPr>
              <w:t>CNAS</w:t>
            </w:r>
            <w:r>
              <w:rPr>
                <w:rFonts w:hint="eastAsia"/>
                <w:b/>
                <w:bCs/>
                <w:color w:val="auto"/>
                <w:sz w:val="20"/>
                <w:szCs w:val="20"/>
                <w:highlight w:val="none"/>
                <w:lang w:val="en-US" w:eastAsia="zh-CN" w:bidi="ar"/>
              </w:rPr>
              <w:t>或</w:t>
            </w:r>
            <w:r>
              <w:rPr>
                <w:rFonts w:hint="eastAsia"/>
                <w:b/>
                <w:bCs/>
                <w:color w:val="auto"/>
                <w:sz w:val="20"/>
                <w:szCs w:val="20"/>
                <w:highlight w:val="none"/>
                <w:lang w:bidi="ar"/>
              </w:rPr>
              <w:t>CMA</w:t>
            </w:r>
            <w:r>
              <w:rPr>
                <w:rFonts w:hint="eastAsia"/>
                <w:b/>
                <w:bCs/>
                <w:color w:val="auto"/>
                <w:sz w:val="20"/>
                <w:szCs w:val="20"/>
                <w:highlight w:val="none"/>
              </w:rPr>
              <w:t>标识的第三方检测机构出具的检验报告</w:t>
            </w:r>
            <w:r>
              <w:rPr>
                <w:rFonts w:hint="eastAsia"/>
                <w:b/>
                <w:bCs/>
                <w:color w:val="auto"/>
                <w:sz w:val="20"/>
                <w:szCs w:val="20"/>
                <w:highlight w:val="none"/>
                <w:lang w:bidi="ar"/>
              </w:rPr>
              <w:t>。</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4.1.3</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水平传输分拣线通过率≥1000 箱/小时。</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4.1.4</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监测装置：每个独立的传输单元具备光电监测功能，可实时上传至中心控制室。</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4.2 水平传输分拣线模组机架及技术要求</w:t>
            </w:r>
          </w:p>
        </w:tc>
      </w:tr>
      <w:tr>
        <w:tblPrEx>
          <w:tblCellMar>
            <w:top w:w="0" w:type="dxa"/>
            <w:left w:w="0" w:type="dxa"/>
            <w:bottom w:w="0" w:type="dxa"/>
            <w:right w:w="0" w:type="dxa"/>
          </w:tblCellMar>
        </w:tblPrEx>
        <w:trPr>
          <w:trHeight w:val="58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4.2.1 组成</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水平传输分拣线模组机架使用≥2.5mm 高强度冷轧碳钢/铝合金材料制造，确保传输线模组机架强度。冷轧碳钢表面需进行防锈喷塑处理。</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4.3 平行换轨器或转向器设备</w:t>
            </w:r>
          </w:p>
        </w:tc>
      </w:tr>
      <w:tr>
        <w:tblPrEx>
          <w:tblCellMar>
            <w:top w:w="0" w:type="dxa"/>
            <w:left w:w="0" w:type="dxa"/>
            <w:bottom w:w="0" w:type="dxa"/>
            <w:right w:w="0" w:type="dxa"/>
          </w:tblCellMar>
        </w:tblPrEx>
        <w:trPr>
          <w:trHeight w:val="120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4.3.1</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平行换轨器可实现水平传输线之间的自动水平切换移动，无需旋转。内置传感器，能自动精确定位到相应位置，重复定位精度小于0.2mm，平行换轨器可以实现提前换轨，周转箱到达时无需等待。</w:t>
            </w:r>
          </w:p>
          <w:p>
            <w:pPr>
              <w:widowControl/>
              <w:textAlignment w:val="top"/>
              <w:rPr>
                <w:color w:val="auto"/>
                <w:sz w:val="20"/>
                <w:szCs w:val="20"/>
                <w:highlight w:val="none"/>
              </w:rPr>
            </w:pPr>
          </w:p>
        </w:tc>
      </w:tr>
      <w:tr>
        <w:tblPrEx>
          <w:tblCellMar>
            <w:top w:w="0" w:type="dxa"/>
            <w:left w:w="0" w:type="dxa"/>
            <w:bottom w:w="0" w:type="dxa"/>
            <w:right w:w="0" w:type="dxa"/>
          </w:tblCellMar>
        </w:tblPrEx>
        <w:trPr>
          <w:trHeight w:val="82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 xml:space="preserve">4.3.2 </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转向器设备旋转方式：可0-90度原地旋转,占地空间（面积）小于0.5平方米。</w:t>
            </w:r>
          </w:p>
          <w:p>
            <w:pPr>
              <w:widowControl/>
              <w:textAlignment w:val="top"/>
              <w:rPr>
                <w:color w:val="auto"/>
                <w:sz w:val="20"/>
                <w:szCs w:val="20"/>
                <w:highlight w:val="none"/>
              </w:rPr>
            </w:pPr>
            <w:r>
              <w:rPr>
                <w:rFonts w:hint="eastAsia"/>
                <w:b/>
                <w:bCs/>
                <w:color w:val="auto"/>
                <w:sz w:val="20"/>
                <w:szCs w:val="20"/>
                <w:highlight w:val="none"/>
                <w:lang w:bidi="ar"/>
              </w:rPr>
              <w:t>投标文件需提供已投入使用用户实物照并提供医院联系方式备查</w:t>
            </w:r>
            <w:r>
              <w:rPr>
                <w:rFonts w:hint="eastAsia"/>
                <w:b/>
                <w:bCs/>
                <w:color w:val="auto"/>
                <w:sz w:val="20"/>
                <w:szCs w:val="20"/>
                <w:highlight w:val="none"/>
              </w:rPr>
              <w:t>。</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5.传输控制系统</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 传输控制系统组成及技术条件</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5.1.1 系统组成</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传输控制系统由分布式标准化控制柜、设备层网络、控制层网络、管理层网络及控制软件组成。</w:t>
            </w:r>
          </w:p>
        </w:tc>
      </w:tr>
      <w:tr>
        <w:tblPrEx>
          <w:tblCellMar>
            <w:top w:w="0" w:type="dxa"/>
            <w:left w:w="0" w:type="dxa"/>
            <w:bottom w:w="0" w:type="dxa"/>
            <w:right w:w="0" w:type="dxa"/>
          </w:tblCellMar>
        </w:tblPrEx>
        <w:trPr>
          <w:trHeight w:val="542" w:hRule="atLeast"/>
        </w:trPr>
        <w:tc>
          <w:tcPr>
            <w:tcW w:w="182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5.1.2 基本要求</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1、控制系统除具备先进性、经济性以及安全性外，还需要具备不小于 10%的冗余功能以应对后期系统的增加，损坏之后快速替换，布线断裂等情况。</w:t>
            </w:r>
          </w:p>
        </w:tc>
      </w:tr>
      <w:tr>
        <w:tblPrEx>
          <w:tblCellMar>
            <w:top w:w="0" w:type="dxa"/>
            <w:left w:w="0" w:type="dxa"/>
            <w:bottom w:w="0" w:type="dxa"/>
            <w:right w:w="0" w:type="dxa"/>
          </w:tblCellMar>
        </w:tblPrEx>
        <w:trPr>
          <w:trHeight w:val="1095"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2、控制层网络采用工业以太网，实现各控制子模块如垂直多箱位分拣机，ASI 网管条码扫描器/芯片等数据传递；为了系统数据传递快速和安全主网拓扑络结构采用1000M 光纤环网，当其中任意一条网络出现故障时不会影响整个系统数据正常传输。</w:t>
            </w:r>
          </w:p>
        </w:tc>
      </w:tr>
      <w:tr>
        <w:tblPrEx>
          <w:tblCellMar>
            <w:top w:w="0" w:type="dxa"/>
            <w:left w:w="0" w:type="dxa"/>
            <w:bottom w:w="0" w:type="dxa"/>
            <w:right w:w="0" w:type="dxa"/>
          </w:tblCellMar>
        </w:tblPrEx>
        <w:trPr>
          <w:trHeight w:val="1095"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3、设备层网络采用抗干扰能力极强，无需要做屏蔽处理，目前国际最通用的 ASI 总线络，实现各分布式标准化子系统和ASI 网管之间数据交互；ASI 通讯线使用专用标志性的黄双芯扁平电缆，为了防止安装时出错，扁平电缆上需要带有反极性机械码。</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 控制软件</w:t>
            </w:r>
          </w:p>
        </w:tc>
      </w:tr>
      <w:tr>
        <w:tblPrEx>
          <w:tblCellMar>
            <w:top w:w="0" w:type="dxa"/>
            <w:left w:w="0" w:type="dxa"/>
            <w:bottom w:w="0" w:type="dxa"/>
            <w:right w:w="0" w:type="dxa"/>
          </w:tblCellMar>
        </w:tblPrEx>
        <w:trPr>
          <w:trHeight w:val="121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5.1.3.1 物流模式切换系统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在每段设备的附近要有远程/本地模式选择开关，当选择远程模式时控制由PLC来控制，设备处于自动运行状态。当选择本地模式时控制由分散系统进行控制，设备处于检修状态；两种控制模式要有互锁功能；某一段设备的检修状态，不影响其他设备的正常运行。</w:t>
            </w:r>
          </w:p>
        </w:tc>
      </w:tr>
      <w:tr>
        <w:tblPrEx>
          <w:tblCellMar>
            <w:top w:w="0" w:type="dxa"/>
            <w:left w:w="0" w:type="dxa"/>
            <w:bottom w:w="0" w:type="dxa"/>
            <w:right w:w="0" w:type="dxa"/>
          </w:tblCellMar>
        </w:tblPrEx>
        <w:trPr>
          <w:trHeight w:val="94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5.1.3.2 物流节能系统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为降低功耗控制，系统具有节能模式。在某段设备运行一段时间后（时间周期在系统内可修改）无新的运输任务时自动进入休眠状态。当上游有新的任务时此设备自动唤醒。</w:t>
            </w:r>
          </w:p>
        </w:tc>
      </w:tr>
      <w:tr>
        <w:tblPrEx>
          <w:tblCellMar>
            <w:top w:w="0" w:type="dxa"/>
            <w:left w:w="0" w:type="dxa"/>
            <w:bottom w:w="0" w:type="dxa"/>
            <w:right w:w="0" w:type="dxa"/>
          </w:tblCellMar>
        </w:tblPrEx>
        <w:trPr>
          <w:trHeight w:val="109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5.1.3.3 物流排序系统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为降低对医院用电系统的瞬间涌入电流干扰，系统启动时从下游往上游按照顺序通过时间间隔启动（间隔时间在系统内可修改）；当系统休眠唤醒时从上游往下游按照顺序通过光电检查开关启动。</w:t>
            </w:r>
          </w:p>
        </w:tc>
      </w:tr>
      <w:tr>
        <w:tblPrEx>
          <w:tblCellMar>
            <w:top w:w="0" w:type="dxa"/>
            <w:left w:w="0" w:type="dxa"/>
            <w:bottom w:w="0" w:type="dxa"/>
            <w:right w:w="0" w:type="dxa"/>
          </w:tblCellMar>
        </w:tblPrEx>
        <w:trPr>
          <w:trHeight w:val="923" w:hRule="atLeast"/>
        </w:trPr>
        <w:tc>
          <w:tcPr>
            <w:tcW w:w="182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5.1.3.4 物流窗口拉距系统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当控制系统检测到分拣口，合流口或垂直分拣机入口处有两个或者两个以上周转箱紧贴一起通过时，控制系统要启动程序进行拉距放行，保障传输效率及安全性。</w:t>
            </w:r>
          </w:p>
        </w:tc>
      </w:tr>
      <w:tr>
        <w:tblPrEx>
          <w:tblCellMar>
            <w:top w:w="0" w:type="dxa"/>
            <w:left w:w="0" w:type="dxa"/>
            <w:bottom w:w="0" w:type="dxa"/>
            <w:right w:w="0" w:type="dxa"/>
          </w:tblCellMar>
        </w:tblPrEx>
        <w:trPr>
          <w:trHeight w:val="285" w:hRule="atLeast"/>
        </w:trPr>
        <w:tc>
          <w:tcPr>
            <w:tcW w:w="182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5.1.3.5 物流故障自动修复系统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系统可设置一级故障、二级故障、三级故障等故障等级。</w:t>
            </w:r>
          </w:p>
        </w:tc>
      </w:tr>
      <w:tr>
        <w:tblPrEx>
          <w:tblCellMar>
            <w:top w:w="0" w:type="dxa"/>
            <w:left w:w="0" w:type="dxa"/>
            <w:bottom w:w="0" w:type="dxa"/>
            <w:right w:w="0" w:type="dxa"/>
          </w:tblCellMar>
        </w:tblPrEx>
        <w:trPr>
          <w:trHeight w:val="825"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三级故障是指不需要人参与系统自动检测，判断，解除的故障；二级故障是指只需要运行人员确认后按复位按钮就能解除的故障；一级故障是指需维护人员参与情况下维修之后才能解除的故障。</w:t>
            </w:r>
          </w:p>
        </w:tc>
      </w:tr>
      <w:tr>
        <w:tblPrEx>
          <w:tblCellMar>
            <w:top w:w="0" w:type="dxa"/>
            <w:left w:w="0" w:type="dxa"/>
            <w:bottom w:w="0" w:type="dxa"/>
            <w:right w:w="0" w:type="dxa"/>
          </w:tblCellMar>
        </w:tblPrEx>
        <w:trPr>
          <w:trHeight w:val="83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5.1.3.6 周转箱自动寻找追溯系统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为提高医院物资输送的安全性，系统具备对周转箱记录、追踪及自动寻找功能。</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5.1.3.7 系统运行参数可视化</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系统三级参数对医院开放，医院可根据自身运行情况进行修改调整。如修改中出现问题，系统具备自动恢复功能。</w:t>
            </w:r>
          </w:p>
        </w:tc>
      </w:tr>
      <w:tr>
        <w:tblPrEx>
          <w:tblCellMar>
            <w:top w:w="0" w:type="dxa"/>
            <w:left w:w="0" w:type="dxa"/>
            <w:bottom w:w="0" w:type="dxa"/>
            <w:right w:w="0" w:type="dxa"/>
          </w:tblCellMar>
        </w:tblPrEx>
        <w:trPr>
          <w:trHeight w:val="1157"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5.1.3.8 智能调度防拥堵系统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水平输送线分拣口，如果出口处的某一个方向有周转箱排队，而入口处的周转箱恰巧又要到这个方向，这个时候后续周转箱再要通过时，就会发生堵箱。为了防止分拣口这种情况的发生，控制系统通过一系列的条件判断，要能够实现全自动疏通分拣口以上堵箱情况发生的功能。</w:t>
            </w:r>
          </w:p>
        </w:tc>
      </w:tr>
      <w:tr>
        <w:tblPrEx>
          <w:tblCellMar>
            <w:top w:w="0" w:type="dxa"/>
            <w:left w:w="0" w:type="dxa"/>
            <w:bottom w:w="0" w:type="dxa"/>
            <w:right w:w="0" w:type="dxa"/>
          </w:tblCellMar>
        </w:tblPrEx>
        <w:trPr>
          <w:trHeight w:val="190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5.1.3.9物流流量自动调节系统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lang w:bidi="ar"/>
              </w:rPr>
            </w:pPr>
            <w:r>
              <w:rPr>
                <w:rFonts w:hint="eastAsia"/>
                <w:color w:val="auto"/>
                <w:sz w:val="20"/>
                <w:szCs w:val="20"/>
                <w:highlight w:val="none"/>
                <w:lang w:bidi="ar"/>
              </w:rPr>
              <w:t>系统具备流量自调节功能，通过对每个区域输送线上的流量进行实时监控，并将监控数据传输给控制中心上位机系统。上位机系统根据不同区域的的流量大小，进行统一调度，把流量偏高区域的周转箱调度到合适区域的输送线上，避免排队等待发生，提高整个系统的运行效率。对特定周转箱或特定站点发出的箱体提供特定时间段提高通过优先级的选项，保障临床特殊用药或快速检验的时效性。箱式物流系统设定使用优先级别。</w:t>
            </w:r>
          </w:p>
          <w:p>
            <w:pPr>
              <w:widowControl/>
              <w:textAlignment w:val="center"/>
              <w:rPr>
                <w:color w:val="auto"/>
                <w:sz w:val="20"/>
                <w:szCs w:val="20"/>
                <w:highlight w:val="none"/>
              </w:rPr>
            </w:pPr>
          </w:p>
        </w:tc>
      </w:tr>
      <w:tr>
        <w:tblPrEx>
          <w:tblCellMar>
            <w:top w:w="0" w:type="dxa"/>
            <w:left w:w="0" w:type="dxa"/>
            <w:bottom w:w="0" w:type="dxa"/>
            <w:right w:w="0" w:type="dxa"/>
          </w:tblCellMar>
        </w:tblPrEx>
        <w:trPr>
          <w:trHeight w:val="163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Fonts w:hint="eastAsia"/>
                <w:color w:val="auto"/>
                <w:sz w:val="20"/>
                <w:szCs w:val="20"/>
                <w:highlight w:val="none"/>
                <w:lang w:bidi="ar"/>
              </w:rPr>
              <w:t>5.1.3.10 信息化对接</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Style w:val="64"/>
                <w:rFonts w:hint="default"/>
                <w:color w:val="auto"/>
                <w:sz w:val="20"/>
                <w:szCs w:val="20"/>
                <w:highlight w:val="none"/>
                <w:lang w:bidi="ar"/>
              </w:rPr>
            </w:pPr>
            <w:r>
              <w:rPr>
                <w:rStyle w:val="64"/>
                <w:rFonts w:hint="default"/>
                <w:color w:val="auto"/>
                <w:sz w:val="20"/>
                <w:szCs w:val="20"/>
                <w:highlight w:val="none"/>
                <w:lang w:bidi="ar"/>
              </w:rPr>
              <w:t>中型箱式物流系统应具备和医院HIS系统、智慧食堂</w:t>
            </w:r>
            <w:r>
              <w:rPr>
                <w:rStyle w:val="66"/>
                <w:rFonts w:hint="default"/>
                <w:color w:val="auto"/>
                <w:sz w:val="20"/>
                <w:szCs w:val="20"/>
                <w:highlight w:val="none"/>
                <w:lang w:bidi="ar"/>
              </w:rPr>
              <w:t>等医院需要接入的</w:t>
            </w:r>
            <w:r>
              <w:rPr>
                <w:rStyle w:val="64"/>
                <w:rFonts w:hint="default"/>
                <w:color w:val="auto"/>
                <w:sz w:val="20"/>
                <w:szCs w:val="20"/>
                <w:highlight w:val="none"/>
                <w:lang w:bidi="ar"/>
              </w:rPr>
              <w:t>软件端口和功能(中标单位负责HIS系统接入相关费用及相关硬件配置)，现在或将来开放本项目的信息数据接口或必要升级/改造信息数据接口以满足采购人对物流系统与医院信息系统的对接需要，并有必要的保密措施保证医院内部数据不外泄。实现未来医院物品传输的闭环管理和追溯。</w:t>
            </w:r>
          </w:p>
          <w:p>
            <w:pPr>
              <w:widowControl/>
              <w:textAlignment w:val="center"/>
              <w:rPr>
                <w:color w:val="auto"/>
                <w:sz w:val="20"/>
                <w:szCs w:val="20"/>
                <w:highlight w:val="none"/>
              </w:rPr>
            </w:pPr>
            <w:r>
              <w:rPr>
                <w:rStyle w:val="66"/>
                <w:rFonts w:hint="default"/>
                <w:b/>
                <w:bCs/>
                <w:color w:val="auto"/>
                <w:sz w:val="20"/>
                <w:szCs w:val="20"/>
                <w:highlight w:val="none"/>
                <w:lang w:bidi="ar"/>
              </w:rPr>
              <w:t>投标文件中需提供详细说明及操作软件界面截图。</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6．上位机系统</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6.1 上位机系统组成描述</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上位机系统由系统硬件、操作系统、数据库及系统软件组成。</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6.2 上位机系统硬件</w:t>
            </w:r>
          </w:p>
        </w:tc>
      </w:tr>
      <w:tr>
        <w:tblPrEx>
          <w:tblCellMar>
            <w:top w:w="0" w:type="dxa"/>
            <w:left w:w="0" w:type="dxa"/>
            <w:bottom w:w="0" w:type="dxa"/>
            <w:right w:w="0" w:type="dxa"/>
          </w:tblCellMar>
        </w:tblPrEx>
        <w:trPr>
          <w:trHeight w:val="109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6.2.1 服务器</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服务器：采用相当于“戴尔、惠普</w:t>
            </w:r>
            <w:r>
              <w:rPr>
                <w:rFonts w:hint="eastAsia"/>
                <w:color w:val="auto"/>
                <w:sz w:val="20"/>
                <w:szCs w:val="20"/>
                <w:highlight w:val="none"/>
                <w:lang w:eastAsia="zh-CN" w:bidi="ar"/>
              </w:rPr>
              <w:t>、</w:t>
            </w:r>
            <w:r>
              <w:rPr>
                <w:rFonts w:hint="eastAsia"/>
                <w:color w:val="auto"/>
                <w:sz w:val="20"/>
                <w:szCs w:val="20"/>
                <w:highlight w:val="none"/>
                <w:lang w:val="en-US" w:eastAsia="zh-CN" w:bidi="ar"/>
              </w:rPr>
              <w:t>联想</w:t>
            </w:r>
            <w:r>
              <w:rPr>
                <w:rFonts w:hint="eastAsia"/>
                <w:color w:val="auto"/>
                <w:sz w:val="20"/>
                <w:szCs w:val="20"/>
                <w:highlight w:val="none"/>
                <w:lang w:bidi="ar"/>
              </w:rPr>
              <w:t>”等国际品牌。参数不低于以下要求：2U机架式，2.2G CPU+双电源，双端口千兆网络适配器，32G内存，2块1TB 7.2K SATA硬盘，防水抗菌键盘，光电抗菌鼠标，32寸宽屏液晶。</w:t>
            </w:r>
          </w:p>
        </w:tc>
      </w:tr>
      <w:tr>
        <w:tblPrEx>
          <w:tblCellMar>
            <w:top w:w="0" w:type="dxa"/>
            <w:left w:w="0" w:type="dxa"/>
            <w:bottom w:w="0" w:type="dxa"/>
            <w:right w:w="0" w:type="dxa"/>
          </w:tblCellMar>
        </w:tblPrEx>
        <w:trPr>
          <w:trHeight w:val="109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6.2.2 服务器系统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为保障系统运行的可靠性和数据的安全性（防止服务器硬件或者软件发生故障），服务器系统采用双服务器模式，除了单台服务器本身硬盘做raid1磁盘阵列冗余设计外，还需单独备用一台服务器。两台服务器按照一定时间周期切换运行。</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6.2.3 UPS</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UPS采用国内一线优质品牌，可供系统断电延时15分钟使用。</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6.2.4 系统断电恢复功能</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若断电时间超过15分钟，需保证数据不丢失，通电后数据自动恢复，继续完成原定输送指令。</w:t>
            </w:r>
          </w:p>
        </w:tc>
      </w:tr>
      <w:tr>
        <w:tblPrEx>
          <w:tblCellMar>
            <w:top w:w="0" w:type="dxa"/>
            <w:left w:w="0" w:type="dxa"/>
            <w:bottom w:w="0" w:type="dxa"/>
            <w:right w:w="0" w:type="dxa"/>
          </w:tblCellMar>
        </w:tblPrEx>
        <w:trPr>
          <w:trHeight w:val="1597" w:hRule="atLeast"/>
        </w:trPr>
        <w:tc>
          <w:tcPr>
            <w:tcW w:w="1822" w:type="dxa"/>
            <w:tcBorders>
              <w:top w:val="single" w:color="000000" w:sz="8" w:space="0"/>
              <w:left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Cs w:val="21"/>
                <w:highlight w:val="none"/>
              </w:rPr>
              <w:t>▲</w:t>
            </w:r>
            <w:r>
              <w:rPr>
                <w:rFonts w:hint="eastAsia"/>
                <w:color w:val="auto"/>
                <w:sz w:val="20"/>
                <w:szCs w:val="20"/>
                <w:highlight w:val="none"/>
                <w:lang w:bidi="ar"/>
              </w:rPr>
              <w:t>6.2.5 物流监控中心</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rStyle w:val="64"/>
                <w:rFonts w:hint="default"/>
                <w:color w:val="auto"/>
                <w:sz w:val="20"/>
                <w:szCs w:val="20"/>
                <w:highlight w:val="none"/>
                <w:lang w:bidi="ar"/>
              </w:rPr>
            </w:pPr>
            <w:r>
              <w:rPr>
                <w:rStyle w:val="64"/>
                <w:rFonts w:hint="default"/>
                <w:color w:val="auto"/>
                <w:sz w:val="20"/>
                <w:szCs w:val="20"/>
                <w:highlight w:val="none"/>
                <w:lang w:bidi="ar"/>
              </w:rPr>
              <w:t>控制中心配备不小于</w:t>
            </w:r>
            <w:r>
              <w:rPr>
                <w:rStyle w:val="66"/>
                <w:rFonts w:hint="default"/>
                <w:color w:val="auto"/>
                <w:sz w:val="20"/>
                <w:szCs w:val="20"/>
                <w:highlight w:val="none"/>
                <w:lang w:bidi="ar"/>
              </w:rPr>
              <w:t>100</w:t>
            </w:r>
            <w:r>
              <w:rPr>
                <w:rStyle w:val="64"/>
                <w:rFonts w:hint="default"/>
                <w:color w:val="auto"/>
                <w:sz w:val="20"/>
                <w:szCs w:val="20"/>
                <w:highlight w:val="none"/>
                <w:lang w:bidi="ar"/>
              </w:rPr>
              <w:t>英寸的分屏显示系统，能够将视频监控系统、调度系统、运力分析、系统运行实时在线监测、3D监控系统、网络系统连接集成，形成一套功能完善、技术先进的交互式信息显示及管理平台。能够实现远程控制，可在同一画面监控传输箱在水平及垂直提升的实时动态位置，提供监控画面和手机监控画面，可通过网络进行实时查询。</w:t>
            </w:r>
          </w:p>
          <w:p>
            <w:pPr>
              <w:widowControl/>
              <w:textAlignment w:val="top"/>
              <w:rPr>
                <w:color w:val="auto"/>
                <w:sz w:val="20"/>
                <w:szCs w:val="20"/>
                <w:highlight w:val="none"/>
              </w:rPr>
            </w:pPr>
            <w:r>
              <w:rPr>
                <w:rFonts w:hint="eastAsia"/>
                <w:b/>
                <w:bCs/>
                <w:color w:val="auto"/>
                <w:sz w:val="20"/>
                <w:szCs w:val="20"/>
                <w:highlight w:val="none"/>
                <w:lang w:bidi="ar"/>
              </w:rPr>
              <w:t>投标文件中需提供已安装医院的现场照片。</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6.3 操作系统、数据库</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服务器操作系统：Windows SERVER 2012；</w:t>
            </w:r>
          </w:p>
        </w:tc>
      </w:tr>
      <w:tr>
        <w:tblPrEx>
          <w:tblCellMar>
            <w:top w:w="0" w:type="dxa"/>
            <w:left w:w="0" w:type="dxa"/>
            <w:bottom w:w="0" w:type="dxa"/>
            <w:right w:w="0" w:type="dxa"/>
          </w:tblCellMar>
        </w:tblPrEx>
        <w:trPr>
          <w:trHeight w:val="31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数据库：SQL SERVER 2012 中文标准版或 oracle 11g 企业版或 mysql；</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 系统软件</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6.4.1 组成</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系统软件包括监控及管理系统软件组成。</w:t>
            </w:r>
          </w:p>
        </w:tc>
      </w:tr>
      <w:tr>
        <w:tblPrEx>
          <w:tblCellMar>
            <w:top w:w="0" w:type="dxa"/>
            <w:left w:w="0" w:type="dxa"/>
            <w:bottom w:w="0" w:type="dxa"/>
            <w:right w:w="0" w:type="dxa"/>
          </w:tblCellMar>
        </w:tblPrEx>
        <w:trPr>
          <w:trHeight w:val="285" w:hRule="atLeast"/>
        </w:trPr>
        <w:tc>
          <w:tcPr>
            <w:tcW w:w="182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6.4.2 参数要求</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1、传输监控系统采用图形化方式模拟显示设备运行状况；</w:t>
            </w:r>
          </w:p>
        </w:tc>
      </w:tr>
      <w:tr>
        <w:tblPrEx>
          <w:tblCellMar>
            <w:top w:w="0" w:type="dxa"/>
            <w:left w:w="0" w:type="dxa"/>
            <w:bottom w:w="0" w:type="dxa"/>
            <w:right w:w="0" w:type="dxa"/>
          </w:tblCellMar>
        </w:tblPrEx>
        <w:trPr>
          <w:trHeight w:val="586"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2、传输远程监控系统在线显示设备的开机、关机、故障等，记录故障位置、发生时间、设备编号及异常原因；能显示全部设备的运行、停止、报警等信息；</w:t>
            </w:r>
          </w:p>
        </w:tc>
      </w:tr>
      <w:tr>
        <w:tblPrEx>
          <w:tblCellMar>
            <w:top w:w="0" w:type="dxa"/>
            <w:left w:w="0" w:type="dxa"/>
            <w:bottom w:w="0" w:type="dxa"/>
            <w:right w:w="0" w:type="dxa"/>
          </w:tblCellMar>
        </w:tblPrEx>
        <w:trPr>
          <w:trHeight w:val="513"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3、传输监控系统可将输送系统的设备状态通过安装于现场的操作面板给予实时显示，操作面板同时能够提供报警信息以及一定的手动操作功能；</w:t>
            </w:r>
          </w:p>
        </w:tc>
      </w:tr>
      <w:tr>
        <w:tblPrEx>
          <w:tblCellMar>
            <w:top w:w="0" w:type="dxa"/>
            <w:left w:w="0" w:type="dxa"/>
            <w:bottom w:w="0" w:type="dxa"/>
            <w:right w:w="0" w:type="dxa"/>
          </w:tblCellMar>
        </w:tblPrEx>
        <w:trPr>
          <w:trHeight w:val="555"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4、系统具有单独定义周转箱条码/芯片的功能，设置一套单独定义周转箱的软件以作为应急预案；</w:t>
            </w:r>
          </w:p>
        </w:tc>
      </w:tr>
      <w:tr>
        <w:tblPrEx>
          <w:tblCellMar>
            <w:top w:w="0" w:type="dxa"/>
            <w:left w:w="0" w:type="dxa"/>
            <w:bottom w:w="0" w:type="dxa"/>
            <w:right w:w="0" w:type="dxa"/>
          </w:tblCellMar>
        </w:tblPrEx>
        <w:trPr>
          <w:trHeight w:val="555"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5、条码/芯片管理系统能自动识别周转箱条码/芯片信息，实现输送、升降、贮存等功能；</w:t>
            </w:r>
          </w:p>
        </w:tc>
      </w:tr>
      <w:tr>
        <w:tblPrEx>
          <w:tblCellMar>
            <w:top w:w="0" w:type="dxa"/>
            <w:left w:w="0" w:type="dxa"/>
            <w:bottom w:w="0" w:type="dxa"/>
            <w:right w:w="0" w:type="dxa"/>
          </w:tblCellMar>
        </w:tblPrEx>
        <w:trPr>
          <w:trHeight w:val="555"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6、系统对接收的周转箱，在无条码/芯片和条码/芯片不能识读时，能够将周转箱输送到指定的收容口；</w:t>
            </w:r>
          </w:p>
        </w:tc>
      </w:tr>
      <w:tr>
        <w:tblPrEx>
          <w:tblCellMar>
            <w:top w:w="0" w:type="dxa"/>
            <w:left w:w="0" w:type="dxa"/>
            <w:bottom w:w="0" w:type="dxa"/>
            <w:right w:w="0" w:type="dxa"/>
          </w:tblCellMar>
        </w:tblPrEx>
        <w:trPr>
          <w:trHeight w:val="555"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7、医院物资管理平台提供与医院HIS信息系统对接的接口，实现物资请领、物资运输、物资管理等功能的信息化闭环管理。</w:t>
            </w:r>
          </w:p>
        </w:tc>
      </w:tr>
      <w:tr>
        <w:tblPrEx>
          <w:tblCellMar>
            <w:top w:w="0" w:type="dxa"/>
            <w:left w:w="0" w:type="dxa"/>
            <w:bottom w:w="0" w:type="dxa"/>
            <w:right w:w="0" w:type="dxa"/>
          </w:tblCellMar>
        </w:tblPrEx>
        <w:trPr>
          <w:trHeight w:val="367" w:hRule="atLeast"/>
        </w:trPr>
        <w:tc>
          <w:tcPr>
            <w:tcW w:w="182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8、存储及查询功能：具备运行记录存储及查询功能，数据可保留10年以上。</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6.4.3</w:t>
            </w:r>
          </w:p>
        </w:tc>
        <w:tc>
          <w:tcPr>
            <w:tcW w:w="698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系统实时监控画面以动画的效果呈现，真实展现物资输送的场景，有效地了解物资实时输运状况。画面具有无级缩放功能，能够无限的扩展可视空间。</w:t>
            </w:r>
          </w:p>
          <w:p>
            <w:pPr>
              <w:widowControl/>
              <w:textAlignment w:val="top"/>
              <w:rPr>
                <w:color w:val="auto"/>
                <w:sz w:val="20"/>
                <w:szCs w:val="20"/>
                <w:highlight w:val="none"/>
              </w:rPr>
            </w:pP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监控软件</w:t>
            </w:r>
          </w:p>
        </w:tc>
        <w:tc>
          <w:tcPr>
            <w:tcW w:w="698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6.4.4</w:t>
            </w:r>
          </w:p>
        </w:tc>
        <w:tc>
          <w:tcPr>
            <w:tcW w:w="698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集数据采集、工程 Web 发布、数据 Web 发布等多种功能为一体，用户完全定制的 B/S 系统，实现数据查询、维修记录、物流系统故障报表及分析等远程运营维护功能。满足 7X24 小时售后服务要求。</w:t>
            </w:r>
          </w:p>
          <w:p>
            <w:pPr>
              <w:widowControl/>
              <w:textAlignment w:val="top"/>
              <w:rPr>
                <w:color w:val="auto"/>
                <w:sz w:val="20"/>
                <w:szCs w:val="20"/>
                <w:highlight w:val="none"/>
              </w:rPr>
            </w:pP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远程运维系统</w:t>
            </w:r>
          </w:p>
        </w:tc>
        <w:tc>
          <w:tcPr>
            <w:tcW w:w="698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6.4.5</w:t>
            </w:r>
          </w:p>
        </w:tc>
        <w:tc>
          <w:tcPr>
            <w:tcW w:w="698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站点的收发状态可以通过智能化显示，终端图形化呈现，站点收发物资实现柔性化提醒。结合图形及标准国语发音，提示工作人员接收物资。</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物流站点智能交互系统</w:t>
            </w:r>
          </w:p>
        </w:tc>
        <w:tc>
          <w:tcPr>
            <w:tcW w:w="698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82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Fonts w:hint="eastAsia"/>
                <w:color w:val="auto"/>
                <w:sz w:val="20"/>
                <w:szCs w:val="20"/>
                <w:highlight w:val="none"/>
                <w:lang w:bidi="ar"/>
              </w:rPr>
              <w:t>6.4.6</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Style w:val="64"/>
                <w:rFonts w:hint="default"/>
                <w:color w:val="auto"/>
                <w:sz w:val="20"/>
                <w:szCs w:val="20"/>
                <w:highlight w:val="none"/>
                <w:lang w:bidi="ar"/>
              </w:rPr>
              <w:t>物流站点可实时</w:t>
            </w:r>
            <w:r>
              <w:rPr>
                <w:rStyle w:val="66"/>
                <w:rFonts w:hint="default"/>
                <w:color w:val="auto"/>
                <w:sz w:val="20"/>
                <w:szCs w:val="20"/>
                <w:highlight w:val="none"/>
                <w:lang w:bidi="ar"/>
              </w:rPr>
              <w:t>采集摄像头视频数据</w:t>
            </w:r>
            <w:r>
              <w:rPr>
                <w:rStyle w:val="64"/>
                <w:rFonts w:hint="default"/>
                <w:color w:val="auto"/>
                <w:sz w:val="20"/>
                <w:szCs w:val="20"/>
                <w:highlight w:val="none"/>
                <w:lang w:bidi="ar"/>
              </w:rPr>
              <w:t>，通过后台人工智能算法，能够自动识别异常周转箱，或人员误触发系统，及安全防护智能检测的功能。</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智能站点安全防护系统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b/>
                <w:bCs/>
                <w:color w:val="auto"/>
                <w:sz w:val="20"/>
                <w:szCs w:val="20"/>
                <w:highlight w:val="none"/>
                <w:lang w:bidi="ar"/>
              </w:rPr>
              <w:t xml:space="preserve">投标文件中需提供该系统功能视频截图、及印有 CNAS </w:t>
            </w:r>
            <w:r>
              <w:rPr>
                <w:rFonts w:hint="eastAsia"/>
                <w:b/>
                <w:bCs/>
                <w:color w:val="auto"/>
                <w:sz w:val="20"/>
                <w:szCs w:val="20"/>
                <w:highlight w:val="none"/>
                <w:lang w:val="en-US" w:eastAsia="zh-CN" w:bidi="ar"/>
              </w:rPr>
              <w:t>或</w:t>
            </w:r>
            <w:r>
              <w:rPr>
                <w:rFonts w:hint="eastAsia"/>
                <w:b/>
                <w:bCs/>
                <w:color w:val="auto"/>
                <w:sz w:val="20"/>
                <w:szCs w:val="20"/>
                <w:highlight w:val="none"/>
                <w:lang w:bidi="ar"/>
              </w:rPr>
              <w:t>CMA 标识的软件测试报告。</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6.4.7</w:t>
            </w:r>
          </w:p>
        </w:tc>
        <w:tc>
          <w:tcPr>
            <w:tcW w:w="698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rStyle w:val="64"/>
                <w:rFonts w:hint="default"/>
                <w:color w:val="auto"/>
                <w:sz w:val="20"/>
                <w:szCs w:val="20"/>
                <w:highlight w:val="none"/>
                <w:lang w:bidi="ar"/>
              </w:rPr>
            </w:pPr>
            <w:r>
              <w:rPr>
                <w:rStyle w:val="64"/>
                <w:rFonts w:hint="default"/>
                <w:color w:val="auto"/>
                <w:sz w:val="20"/>
                <w:szCs w:val="20"/>
                <w:highlight w:val="none"/>
                <w:lang w:bidi="ar"/>
              </w:rPr>
              <w:t>为防止物品在传输过程中丢失或损毁，中型箱式物流传输系统应配备物品电子化全程追溯系统，方便物品在传输过程中的全程可追溯。</w:t>
            </w:r>
          </w:p>
          <w:p>
            <w:pPr>
              <w:widowControl/>
              <w:textAlignment w:val="top"/>
              <w:rPr>
                <w:color w:val="auto"/>
                <w:sz w:val="20"/>
                <w:szCs w:val="20"/>
                <w:highlight w:val="none"/>
              </w:rPr>
            </w:pPr>
            <w:r>
              <w:rPr>
                <w:rStyle w:val="64"/>
                <w:rFonts w:hint="default"/>
                <w:b/>
                <w:bCs/>
                <w:color w:val="auto"/>
                <w:sz w:val="20"/>
                <w:szCs w:val="20"/>
                <w:highlight w:val="none"/>
                <w:lang w:bidi="ar"/>
              </w:rPr>
              <w:t>投标文件需提供</w:t>
            </w:r>
            <w:r>
              <w:rPr>
                <w:rStyle w:val="66"/>
                <w:rFonts w:hint="default"/>
                <w:b/>
                <w:bCs/>
                <w:color w:val="auto"/>
                <w:sz w:val="20"/>
                <w:szCs w:val="20"/>
                <w:highlight w:val="none"/>
                <w:lang w:bidi="ar"/>
              </w:rPr>
              <w:t>该</w:t>
            </w:r>
            <w:r>
              <w:rPr>
                <w:rStyle w:val="64"/>
                <w:rFonts w:hint="default"/>
                <w:b/>
                <w:bCs/>
                <w:color w:val="auto"/>
                <w:sz w:val="20"/>
                <w:szCs w:val="20"/>
                <w:highlight w:val="none"/>
                <w:lang w:bidi="ar"/>
              </w:rPr>
              <w:t>软件系统的软件界面截图。</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物品电子化全程追溯系统</w:t>
            </w:r>
          </w:p>
        </w:tc>
        <w:tc>
          <w:tcPr>
            <w:tcW w:w="698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6.4.8</w:t>
            </w:r>
          </w:p>
        </w:tc>
        <w:tc>
          <w:tcPr>
            <w:tcW w:w="698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Style w:val="64"/>
                <w:rFonts w:hint="default"/>
                <w:color w:val="auto"/>
                <w:sz w:val="20"/>
                <w:szCs w:val="20"/>
                <w:highlight w:val="none"/>
                <w:lang w:bidi="ar"/>
              </w:rPr>
              <w:t>为方便工作人员物品传输过程中进行发送端和接收端的远程签收，中型箱式物流传输系统应配备电子化签收系统，方便物品远程物品交接和责任界定，</w:t>
            </w:r>
            <w:r>
              <w:rPr>
                <w:rStyle w:val="64"/>
                <w:rFonts w:hint="default"/>
                <w:b/>
                <w:bCs/>
                <w:color w:val="auto"/>
                <w:sz w:val="20"/>
                <w:szCs w:val="20"/>
                <w:highlight w:val="none"/>
                <w:lang w:bidi="ar"/>
              </w:rPr>
              <w:t>提供</w:t>
            </w:r>
            <w:r>
              <w:rPr>
                <w:rStyle w:val="66"/>
                <w:rFonts w:hint="default"/>
                <w:b/>
                <w:bCs/>
                <w:color w:val="auto"/>
                <w:sz w:val="20"/>
                <w:szCs w:val="20"/>
                <w:highlight w:val="none"/>
                <w:lang w:bidi="ar"/>
              </w:rPr>
              <w:t>该</w:t>
            </w:r>
            <w:r>
              <w:rPr>
                <w:rStyle w:val="64"/>
                <w:rFonts w:hint="default"/>
                <w:b/>
                <w:bCs/>
                <w:color w:val="auto"/>
                <w:sz w:val="20"/>
                <w:szCs w:val="20"/>
                <w:highlight w:val="none"/>
                <w:lang w:bidi="ar"/>
              </w:rPr>
              <w:t>软件系统的软件界面截图。</w:t>
            </w:r>
          </w:p>
        </w:tc>
      </w:tr>
      <w:tr>
        <w:tblPrEx>
          <w:tblCellMar>
            <w:top w:w="0" w:type="dxa"/>
            <w:left w:w="0" w:type="dxa"/>
            <w:bottom w:w="0" w:type="dxa"/>
            <w:right w:w="0" w:type="dxa"/>
          </w:tblCellMar>
        </w:tblPrEx>
        <w:trPr>
          <w:trHeight w:val="64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电子化签收系统</w:t>
            </w:r>
          </w:p>
        </w:tc>
        <w:tc>
          <w:tcPr>
            <w:tcW w:w="698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6.4.9</w:t>
            </w:r>
          </w:p>
        </w:tc>
        <w:tc>
          <w:tcPr>
            <w:tcW w:w="698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rStyle w:val="64"/>
                <w:rFonts w:hint="default"/>
                <w:color w:val="auto"/>
                <w:sz w:val="20"/>
                <w:szCs w:val="20"/>
                <w:highlight w:val="none"/>
                <w:lang w:bidi="ar"/>
              </w:rPr>
            </w:pPr>
            <w:r>
              <w:rPr>
                <w:rStyle w:val="64"/>
                <w:rFonts w:hint="default"/>
                <w:color w:val="auto"/>
                <w:sz w:val="20"/>
                <w:szCs w:val="20"/>
                <w:highlight w:val="none"/>
                <w:lang w:bidi="ar"/>
              </w:rPr>
              <w:t>系统具备售后运维电话提醒系统。在发生故障时，在系统默认时间内售后人员未响应处理，系统需自动拨打电话提醒处理。</w:t>
            </w:r>
          </w:p>
          <w:p>
            <w:pPr>
              <w:widowControl/>
              <w:textAlignment w:val="top"/>
              <w:rPr>
                <w:color w:val="auto"/>
                <w:sz w:val="20"/>
                <w:szCs w:val="20"/>
                <w:highlight w:val="none"/>
              </w:rPr>
            </w:pPr>
            <w:r>
              <w:rPr>
                <w:rStyle w:val="64"/>
                <w:b/>
                <w:bCs/>
                <w:color w:val="auto"/>
                <w:sz w:val="20"/>
                <w:szCs w:val="20"/>
                <w:highlight w:val="none"/>
                <w:lang w:bidi="ar"/>
              </w:rPr>
              <w:t>投标文件中需提供对应的</w:t>
            </w:r>
            <w:r>
              <w:rPr>
                <w:rStyle w:val="64"/>
                <w:rFonts w:hint="eastAsia"/>
                <w:b/>
                <w:bCs/>
                <w:color w:val="auto"/>
                <w:sz w:val="20"/>
                <w:szCs w:val="20"/>
                <w:highlight w:val="none"/>
                <w:lang w:bidi="ar"/>
              </w:rPr>
              <w:t>软件说明或者软件功能截图</w:t>
            </w:r>
            <w:r>
              <w:rPr>
                <w:rStyle w:val="64"/>
                <w:b/>
                <w:bCs/>
                <w:color w:val="auto"/>
                <w:sz w:val="20"/>
                <w:szCs w:val="20"/>
                <w:highlight w:val="none"/>
                <w:lang w:bidi="ar"/>
              </w:rPr>
              <w:t>。</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售后运维电话提醒系统</w:t>
            </w:r>
          </w:p>
        </w:tc>
        <w:tc>
          <w:tcPr>
            <w:tcW w:w="698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82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6.4.</w:t>
            </w:r>
            <w:r>
              <w:rPr>
                <w:rFonts w:hint="eastAsia"/>
                <w:color w:val="auto"/>
                <w:sz w:val="20"/>
                <w:szCs w:val="20"/>
                <w:highlight w:val="none"/>
                <w:lang w:val="en-US" w:eastAsia="zh-CN" w:bidi="ar"/>
              </w:rPr>
              <w:t>10</w:t>
            </w:r>
            <w:r>
              <w:rPr>
                <w:rFonts w:hint="eastAsia"/>
                <w:color w:val="auto"/>
                <w:sz w:val="20"/>
                <w:szCs w:val="20"/>
                <w:highlight w:val="none"/>
                <w:lang w:bidi="ar"/>
              </w:rPr>
              <w:t xml:space="preserve"> 售后运维打卡系统</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rStyle w:val="64"/>
                <w:rFonts w:hint="default"/>
                <w:color w:val="auto"/>
                <w:sz w:val="20"/>
                <w:szCs w:val="20"/>
                <w:highlight w:val="none"/>
                <w:lang w:bidi="ar"/>
              </w:rPr>
            </w:pPr>
            <w:r>
              <w:rPr>
                <w:rStyle w:val="64"/>
                <w:rFonts w:hint="default"/>
                <w:color w:val="auto"/>
                <w:sz w:val="20"/>
                <w:szCs w:val="20"/>
                <w:highlight w:val="none"/>
                <w:lang w:bidi="ar"/>
              </w:rPr>
              <w:t>站点对售后人员维护检查时，具备自动对维护过程进行拍照或视频录制打卡的功能。记录和完善售后运维体系。</w:t>
            </w:r>
          </w:p>
          <w:p>
            <w:pPr>
              <w:widowControl/>
              <w:textAlignment w:val="top"/>
              <w:rPr>
                <w:color w:val="auto"/>
                <w:sz w:val="20"/>
                <w:szCs w:val="20"/>
                <w:highlight w:val="none"/>
              </w:rPr>
            </w:pPr>
            <w:r>
              <w:rPr>
                <w:rStyle w:val="66"/>
                <w:rFonts w:hint="default"/>
                <w:b/>
                <w:bCs/>
                <w:color w:val="auto"/>
                <w:sz w:val="20"/>
                <w:szCs w:val="20"/>
                <w:highlight w:val="none"/>
                <w:lang w:bidi="ar"/>
              </w:rPr>
              <w:t>投标文件中需提供对应的软件测试报告。</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7、消防系统</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7.1 物流消防系统组成描述</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7.1.1 系统组成</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系统由自动防火门/窗及防火控制监控器组成。</w:t>
            </w:r>
          </w:p>
        </w:tc>
      </w:tr>
      <w:tr>
        <w:tblPrEx>
          <w:tblCellMar>
            <w:top w:w="0" w:type="dxa"/>
            <w:left w:w="0" w:type="dxa"/>
            <w:bottom w:w="0" w:type="dxa"/>
            <w:right w:w="0" w:type="dxa"/>
          </w:tblCellMar>
        </w:tblPrEx>
        <w:trPr>
          <w:trHeight w:val="137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Fonts w:hint="eastAsia"/>
                <w:color w:val="auto"/>
                <w:sz w:val="20"/>
                <w:szCs w:val="20"/>
                <w:highlight w:val="none"/>
                <w:lang w:bidi="ar"/>
              </w:rPr>
              <w:t>自动防火门/窗</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每个垂直方向工作站的出入口，均安装自动防火门/窗/防火卷帘 及防火控制监控器，保证周转箱出入能自动开启或关闭，防火门/窗/防火卷帘 任意向火面材料厚度、防火等级、耐火等级等条件需满足甲级消防规范要求。</w:t>
            </w:r>
          </w:p>
          <w:p>
            <w:pPr>
              <w:widowControl/>
              <w:textAlignment w:val="top"/>
              <w:rPr>
                <w:color w:val="auto"/>
                <w:sz w:val="20"/>
                <w:szCs w:val="20"/>
                <w:highlight w:val="none"/>
              </w:rPr>
            </w:pPr>
            <w:r>
              <w:rPr>
                <w:rFonts w:hint="eastAsia"/>
                <w:b/>
                <w:bCs/>
                <w:color w:val="auto"/>
                <w:sz w:val="20"/>
                <w:szCs w:val="20"/>
                <w:highlight w:val="none"/>
                <w:lang w:bidi="ar"/>
              </w:rPr>
              <w:t>投标文件中需提供</w:t>
            </w:r>
            <w:r>
              <w:rPr>
                <w:rFonts w:hint="eastAsia"/>
                <w:b/>
                <w:bCs/>
                <w:color w:val="auto"/>
                <w:sz w:val="20"/>
                <w:szCs w:val="20"/>
                <w:highlight w:val="none"/>
                <w:lang w:val="en-US" w:eastAsia="zh-CN" w:bidi="ar"/>
              </w:rPr>
              <w:t>有资质的</w:t>
            </w:r>
            <w:r>
              <w:rPr>
                <w:rFonts w:hint="eastAsia" w:ascii="Times New Roman" w:hAnsi="Times New Roman" w:eastAsia="宋体"/>
                <w:b/>
                <w:bCs/>
                <w:color w:val="auto"/>
                <w:sz w:val="20"/>
                <w:szCs w:val="20"/>
                <w:highlight w:val="none"/>
                <w:lang w:val="en-US" w:eastAsia="zh-CN" w:bidi="ar"/>
              </w:rPr>
              <w:t>第三方</w:t>
            </w:r>
            <w:r>
              <w:rPr>
                <w:rFonts w:hint="eastAsia"/>
                <w:b/>
                <w:bCs/>
                <w:color w:val="auto"/>
                <w:sz w:val="20"/>
                <w:szCs w:val="20"/>
                <w:highlight w:val="none"/>
                <w:lang w:bidi="ar"/>
              </w:rPr>
              <w:t>出具的有效防火门/窗/防火卷帘检验报告。</w:t>
            </w:r>
          </w:p>
        </w:tc>
      </w:tr>
      <w:tr>
        <w:tblPrEx>
          <w:tblCellMar>
            <w:top w:w="0" w:type="dxa"/>
            <w:left w:w="0" w:type="dxa"/>
            <w:bottom w:w="0" w:type="dxa"/>
            <w:right w:w="0" w:type="dxa"/>
          </w:tblCellMar>
        </w:tblPrEx>
        <w:trPr>
          <w:trHeight w:val="109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Fonts w:hint="eastAsia"/>
                <w:color w:val="auto"/>
                <w:sz w:val="20"/>
                <w:szCs w:val="20"/>
                <w:highlight w:val="none"/>
                <w:lang w:bidi="ar"/>
              </w:rPr>
              <w:t>防火监控器</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系统配置防火监控器，可与医院整体消防系统进行联动。一旦出现火警，传输系统确保防火门/窗下方没有传输箱，确保防火门/窗下落。</w:t>
            </w:r>
          </w:p>
          <w:p>
            <w:pPr>
              <w:widowControl/>
              <w:textAlignment w:val="top"/>
              <w:rPr>
                <w:color w:val="auto"/>
                <w:sz w:val="20"/>
                <w:szCs w:val="20"/>
                <w:highlight w:val="none"/>
              </w:rPr>
            </w:pPr>
            <w:r>
              <w:rPr>
                <w:rFonts w:hint="eastAsia"/>
                <w:b/>
                <w:bCs/>
                <w:color w:val="auto"/>
                <w:sz w:val="20"/>
                <w:szCs w:val="20"/>
                <w:highlight w:val="none"/>
                <w:lang w:bidi="ar"/>
              </w:rPr>
              <w:t>投标文件中需提供</w:t>
            </w:r>
            <w:r>
              <w:rPr>
                <w:rFonts w:hint="eastAsia"/>
                <w:b/>
                <w:bCs/>
                <w:color w:val="auto"/>
                <w:sz w:val="20"/>
                <w:szCs w:val="20"/>
                <w:highlight w:val="none"/>
                <w:lang w:val="en-US" w:eastAsia="zh-CN" w:bidi="ar"/>
              </w:rPr>
              <w:t>有资质的</w:t>
            </w:r>
            <w:r>
              <w:rPr>
                <w:rFonts w:hint="eastAsia" w:ascii="Times New Roman" w:hAnsi="Times New Roman" w:eastAsia="宋体"/>
                <w:b/>
                <w:bCs/>
                <w:color w:val="auto"/>
                <w:sz w:val="20"/>
                <w:szCs w:val="20"/>
                <w:highlight w:val="none"/>
                <w:lang w:val="en-US" w:eastAsia="zh-CN" w:bidi="ar"/>
              </w:rPr>
              <w:t>第三方</w:t>
            </w:r>
            <w:r>
              <w:rPr>
                <w:rFonts w:hint="eastAsia"/>
                <w:b/>
                <w:bCs/>
                <w:color w:val="auto"/>
                <w:sz w:val="20"/>
                <w:szCs w:val="20"/>
                <w:highlight w:val="none"/>
                <w:lang w:bidi="ar"/>
              </w:rPr>
              <w:t>出具的产品检验报告。</w:t>
            </w:r>
          </w:p>
        </w:tc>
      </w:tr>
      <w:tr>
        <w:tblPrEx>
          <w:tblCellMar>
            <w:top w:w="0" w:type="dxa"/>
            <w:left w:w="0" w:type="dxa"/>
            <w:bottom w:w="0" w:type="dxa"/>
            <w:right w:w="0" w:type="dxa"/>
          </w:tblCellMar>
        </w:tblPrEx>
        <w:trPr>
          <w:trHeight w:val="82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7.2 消防方案</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系统具备完善的消防设计方案。</w:t>
            </w:r>
          </w:p>
          <w:p>
            <w:pPr>
              <w:widowControl/>
              <w:textAlignment w:val="top"/>
              <w:rPr>
                <w:color w:val="auto"/>
                <w:sz w:val="20"/>
                <w:szCs w:val="20"/>
                <w:highlight w:val="none"/>
              </w:rPr>
            </w:pPr>
            <w:r>
              <w:rPr>
                <w:rFonts w:hint="eastAsia"/>
                <w:b/>
                <w:bCs/>
                <w:color w:val="auto"/>
                <w:sz w:val="20"/>
                <w:szCs w:val="20"/>
                <w:highlight w:val="none"/>
                <w:lang w:bidi="ar"/>
              </w:rPr>
              <w:t>投标文件中需提供详细消防方案介绍，并提供已实施医院，物流系统消防设计方案通过相关消防部门认定的证明。</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Style w:val="66"/>
                <w:rFonts w:hint="default"/>
                <w:color w:val="auto"/>
                <w:sz w:val="20"/>
                <w:szCs w:val="20"/>
                <w:highlight w:val="none"/>
                <w:lang w:bidi="ar"/>
              </w:rPr>
              <w:t>7.3</w:t>
            </w:r>
            <w:r>
              <w:rPr>
                <w:rStyle w:val="63"/>
                <w:rFonts w:ascii="宋体" w:hAnsi="宋体"/>
                <w:color w:val="auto"/>
                <w:sz w:val="20"/>
                <w:szCs w:val="20"/>
                <w:highlight w:val="none"/>
                <w:lang w:bidi="ar"/>
              </w:rPr>
              <w:t xml:space="preserve"> 消防证明</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b/>
                <w:bCs/>
                <w:color w:val="auto"/>
                <w:sz w:val="20"/>
                <w:szCs w:val="20"/>
                <w:highlight w:val="none"/>
                <w:lang w:bidi="ar"/>
              </w:rPr>
              <w:t>提供已运行医院消防整体验收的医院证明。</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Style w:val="67"/>
                <w:rFonts w:ascii="宋体" w:hAnsi="宋体"/>
                <w:color w:val="auto"/>
                <w:sz w:val="20"/>
                <w:szCs w:val="20"/>
                <w:highlight w:val="none"/>
                <w:lang w:bidi="ar"/>
              </w:rPr>
              <w:t xml:space="preserve">8、消毒杀菌及空气环境控制系统 </w:t>
            </w:r>
            <w:r>
              <w:rPr>
                <w:rStyle w:val="63"/>
                <w:rFonts w:ascii="宋体" w:hAnsi="宋体"/>
                <w:color w:val="auto"/>
                <w:sz w:val="20"/>
                <w:szCs w:val="20"/>
                <w:highlight w:val="none"/>
                <w:lang w:bidi="ar"/>
              </w:rPr>
              <w:t xml:space="preserve"> </w:t>
            </w:r>
          </w:p>
        </w:tc>
      </w:tr>
      <w:tr>
        <w:tblPrEx>
          <w:tblCellMar>
            <w:top w:w="0" w:type="dxa"/>
            <w:left w:w="0" w:type="dxa"/>
            <w:bottom w:w="0" w:type="dxa"/>
            <w:right w:w="0" w:type="dxa"/>
          </w:tblCellMar>
        </w:tblPrEx>
        <w:trPr>
          <w:trHeight w:val="1000" w:hRule="atLeast"/>
        </w:trPr>
        <w:tc>
          <w:tcPr>
            <w:tcW w:w="1822" w:type="dxa"/>
            <w:vMerge w:val="restart"/>
            <w:tcBorders>
              <w:top w:val="single" w:color="000000" w:sz="8" w:space="0"/>
              <w:left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Cs w:val="21"/>
                <w:highlight w:val="none"/>
              </w:rPr>
              <w:t>▲</w:t>
            </w:r>
            <w:r>
              <w:rPr>
                <w:rFonts w:hint="eastAsia"/>
                <w:color w:val="auto"/>
                <w:sz w:val="20"/>
                <w:szCs w:val="20"/>
                <w:highlight w:val="none"/>
                <w:lang w:bidi="ar"/>
              </w:rPr>
              <w:t>8.1  系统描述</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每台主发站的垂直提升机轿厢内，配有环境控制系统，系统包含空气过滤模块、喷雾装置、紫外灯模块。</w:t>
            </w:r>
          </w:p>
          <w:p>
            <w:pPr>
              <w:widowControl/>
              <w:textAlignment w:val="top"/>
              <w:rPr>
                <w:color w:val="auto"/>
                <w:sz w:val="20"/>
                <w:szCs w:val="20"/>
                <w:highlight w:val="none"/>
              </w:rPr>
            </w:pPr>
          </w:p>
        </w:tc>
      </w:tr>
      <w:tr>
        <w:tblPrEx>
          <w:tblCellMar>
            <w:top w:w="0" w:type="dxa"/>
            <w:left w:w="0" w:type="dxa"/>
            <w:bottom w:w="0" w:type="dxa"/>
            <w:right w:w="0" w:type="dxa"/>
          </w:tblCellMar>
        </w:tblPrEx>
        <w:trPr>
          <w:trHeight w:val="778" w:hRule="atLeast"/>
        </w:trPr>
        <w:tc>
          <w:tcPr>
            <w:tcW w:w="1822" w:type="dxa"/>
            <w:vMerge w:val="continue"/>
            <w:tcBorders>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系统对HINI流感病毒的去除率可达99%、对白色葡萄球菌的除菌率可达99%。投标文件中需微生物检测中心出具的检测报告（报告需详细标注对HINI流感病毒和白色葡萄球菌的去除率）。</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9、物流周转箱</w:t>
            </w:r>
          </w:p>
        </w:tc>
      </w:tr>
      <w:tr>
        <w:tblPrEx>
          <w:tblCellMar>
            <w:top w:w="0" w:type="dxa"/>
            <w:left w:w="0" w:type="dxa"/>
            <w:bottom w:w="0" w:type="dxa"/>
            <w:right w:w="0" w:type="dxa"/>
          </w:tblCellMar>
        </w:tblPrEx>
        <w:trPr>
          <w:trHeight w:val="830"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9.1 周转箱类型</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lang w:bidi="ar"/>
              </w:rPr>
            </w:pPr>
            <w:r>
              <w:rPr>
                <w:rFonts w:hint="eastAsia"/>
                <w:color w:val="auto"/>
                <w:sz w:val="20"/>
                <w:szCs w:val="20"/>
                <w:highlight w:val="none"/>
                <w:lang w:bidi="ar"/>
              </w:rPr>
              <w:t>系统配备标准周转箱、检验科专用周转箱、餐饮保温周转箱、冷链保温周转箱等多种箱体。</w:t>
            </w:r>
          </w:p>
          <w:p>
            <w:pPr>
              <w:widowControl/>
              <w:textAlignment w:val="top"/>
              <w:rPr>
                <w:color w:val="auto"/>
                <w:sz w:val="20"/>
                <w:szCs w:val="20"/>
                <w:highlight w:val="none"/>
              </w:rPr>
            </w:pPr>
            <w:r>
              <w:rPr>
                <w:rFonts w:hint="eastAsia"/>
                <w:b/>
                <w:bCs/>
                <w:color w:val="auto"/>
                <w:sz w:val="20"/>
                <w:szCs w:val="20"/>
                <w:highlight w:val="none"/>
                <w:lang w:bidi="ar"/>
              </w:rPr>
              <w:t>投标文件中需分别提供相应的实物照片。</w:t>
            </w: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10、传输的可靠性</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9.1 易损类药</w:t>
            </w:r>
          </w:p>
        </w:tc>
        <w:tc>
          <w:tcPr>
            <w:tcW w:w="6982"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系统运行平稳，无翻转，可保证玻璃包装的易破碎药品运输，</w:t>
            </w:r>
            <w:r>
              <w:rPr>
                <w:rFonts w:hint="eastAsia"/>
                <w:b/>
                <w:bCs/>
                <w:color w:val="auto"/>
                <w:sz w:val="20"/>
                <w:szCs w:val="20"/>
                <w:highlight w:val="none"/>
                <w:lang w:bidi="ar"/>
              </w:rPr>
              <w:t>投标文件需提供已使用医院加盖单位公章的证明文件。</w:t>
            </w:r>
          </w:p>
        </w:tc>
      </w:tr>
      <w:tr>
        <w:tblPrEx>
          <w:tblCellMar>
            <w:top w:w="0" w:type="dxa"/>
            <w:left w:w="0" w:type="dxa"/>
            <w:bottom w:w="0" w:type="dxa"/>
            <w:right w:w="0" w:type="dxa"/>
          </w:tblCellMar>
        </w:tblPrEx>
        <w:trPr>
          <w:trHeight w:val="28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品的传输</w:t>
            </w:r>
          </w:p>
        </w:tc>
        <w:tc>
          <w:tcPr>
            <w:tcW w:w="6982"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rPr>
                <w:color w:val="auto"/>
                <w:sz w:val="20"/>
                <w:szCs w:val="20"/>
                <w:highlight w:val="none"/>
              </w:rPr>
            </w:pPr>
          </w:p>
        </w:tc>
      </w:tr>
      <w:tr>
        <w:tblPrEx>
          <w:tblCellMar>
            <w:top w:w="0" w:type="dxa"/>
            <w:left w:w="0" w:type="dxa"/>
            <w:bottom w:w="0" w:type="dxa"/>
            <w:right w:w="0" w:type="dxa"/>
          </w:tblCellMar>
        </w:tblPrEx>
        <w:trPr>
          <w:trHeight w:val="2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b/>
                <w:color w:val="auto"/>
                <w:sz w:val="20"/>
                <w:szCs w:val="20"/>
                <w:highlight w:val="none"/>
              </w:rPr>
            </w:pPr>
            <w:r>
              <w:rPr>
                <w:rFonts w:hint="eastAsia"/>
                <w:b/>
                <w:color w:val="auto"/>
                <w:sz w:val="20"/>
                <w:szCs w:val="20"/>
                <w:highlight w:val="none"/>
                <w:lang w:bidi="ar"/>
              </w:rPr>
              <w:t>11、箱式物流传输系统设备生产能力与资质要求</w:t>
            </w:r>
          </w:p>
        </w:tc>
      </w:tr>
      <w:tr>
        <w:tblPrEx>
          <w:tblCellMar>
            <w:top w:w="0" w:type="dxa"/>
            <w:left w:w="0" w:type="dxa"/>
            <w:bottom w:w="0" w:type="dxa"/>
            <w:right w:w="0" w:type="dxa"/>
          </w:tblCellMar>
        </w:tblPrEx>
        <w:trPr>
          <w:trHeight w:val="555" w:hRule="atLeast"/>
        </w:trPr>
        <w:tc>
          <w:tcPr>
            <w:tcW w:w="182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11.1</w:t>
            </w:r>
          </w:p>
        </w:tc>
        <w:tc>
          <w:tcPr>
            <w:tcW w:w="6982"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tcPr>
          <w:p>
            <w:pPr>
              <w:widowControl/>
              <w:textAlignment w:val="top"/>
              <w:rPr>
                <w:color w:val="auto"/>
                <w:sz w:val="20"/>
                <w:szCs w:val="20"/>
                <w:highlight w:val="none"/>
              </w:rPr>
            </w:pPr>
            <w:r>
              <w:rPr>
                <w:rFonts w:hint="eastAsia"/>
                <w:color w:val="auto"/>
                <w:sz w:val="20"/>
                <w:szCs w:val="20"/>
                <w:highlight w:val="none"/>
                <w:lang w:bidi="ar"/>
              </w:rPr>
              <w:t>提供中型箱式物流传输系统质量标准</w:t>
            </w:r>
          </w:p>
        </w:tc>
      </w:tr>
    </w:tbl>
    <w:p>
      <w:pPr>
        <w:rPr>
          <w:color w:val="auto"/>
          <w:highlight w:val="none"/>
        </w:rPr>
      </w:pPr>
    </w:p>
    <w:tbl>
      <w:tblPr>
        <w:tblStyle w:val="26"/>
        <w:tblW w:w="8804" w:type="dxa"/>
        <w:tblInd w:w="0" w:type="dxa"/>
        <w:tblLayout w:type="fixed"/>
        <w:tblCellMar>
          <w:top w:w="0" w:type="dxa"/>
          <w:left w:w="0" w:type="dxa"/>
          <w:bottom w:w="0" w:type="dxa"/>
          <w:right w:w="0" w:type="dxa"/>
        </w:tblCellMar>
      </w:tblPr>
      <w:tblGrid>
        <w:gridCol w:w="2030"/>
        <w:gridCol w:w="6774"/>
      </w:tblGrid>
      <w:tr>
        <w:tblPrEx>
          <w:tblCellMar>
            <w:top w:w="0" w:type="dxa"/>
            <w:left w:w="0" w:type="dxa"/>
            <w:bottom w:w="0" w:type="dxa"/>
            <w:right w:w="0" w:type="dxa"/>
          </w:tblCellMar>
        </w:tblPrEx>
        <w:trPr>
          <w:trHeight w:val="49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二、气动物流传输系统</w:t>
            </w:r>
          </w:p>
        </w:tc>
      </w:tr>
      <w:tr>
        <w:tblPrEx>
          <w:tblCellMar>
            <w:top w:w="0" w:type="dxa"/>
            <w:left w:w="0" w:type="dxa"/>
            <w:bottom w:w="0" w:type="dxa"/>
            <w:right w:w="0" w:type="dxa"/>
          </w:tblCellMar>
        </w:tblPrEx>
        <w:trPr>
          <w:trHeight w:val="49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w:t>
            </w:r>
            <w:r>
              <w:rPr>
                <w:rFonts w:cs="华文细黑"/>
                <w:b/>
                <w:color w:val="auto"/>
                <w:sz w:val="20"/>
                <w:szCs w:val="20"/>
                <w:highlight w:val="none"/>
                <w:lang w:bidi="ar"/>
              </w:rPr>
              <w:t>、使用条件要求</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1.1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适于传送药品、标本、血浆、X</w:t>
            </w:r>
            <w:r>
              <w:rPr>
                <w:rFonts w:hint="eastAsia" w:cs="华文细黑"/>
                <w:color w:val="auto"/>
                <w:sz w:val="20"/>
                <w:szCs w:val="20"/>
                <w:highlight w:val="none"/>
                <w:lang w:bidi="ar"/>
              </w:rPr>
              <w:t>光片、医疗器械和文件等</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1.2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适于环境温度：-</w:t>
            </w:r>
            <w:r>
              <w:rPr>
                <w:rFonts w:hint="eastAsia" w:cs="华文细黑"/>
                <w:color w:val="auto"/>
                <w:sz w:val="20"/>
                <w:szCs w:val="20"/>
                <w:highlight w:val="none"/>
                <w:lang w:bidi="ar"/>
              </w:rPr>
              <w:t>15</w:t>
            </w:r>
            <w:r>
              <w:rPr>
                <w:rFonts w:cs="Calibri"/>
                <w:color w:val="auto"/>
                <w:sz w:val="20"/>
                <w:szCs w:val="20"/>
                <w:highlight w:val="none"/>
                <w:lang w:bidi="ar"/>
              </w:rPr>
              <w:t>摄氏度</w:t>
            </w:r>
            <w:r>
              <w:rPr>
                <w:rFonts w:hint="eastAsia" w:cs="华文细黑"/>
                <w:color w:val="auto"/>
                <w:sz w:val="20"/>
                <w:szCs w:val="20"/>
                <w:highlight w:val="none"/>
                <w:lang w:bidi="ar"/>
              </w:rPr>
              <w:t>~</w:t>
            </w:r>
            <w:r>
              <w:rPr>
                <w:rFonts w:cs="Calibri"/>
                <w:color w:val="auto"/>
                <w:sz w:val="20"/>
                <w:szCs w:val="20"/>
                <w:highlight w:val="none"/>
                <w:lang w:bidi="ar"/>
              </w:rPr>
              <w:t>+40</w:t>
            </w:r>
            <w:r>
              <w:rPr>
                <w:rFonts w:hint="eastAsia" w:cs="华文细黑"/>
                <w:color w:val="auto"/>
                <w:sz w:val="20"/>
                <w:szCs w:val="20"/>
                <w:highlight w:val="none"/>
                <w:lang w:bidi="ar"/>
              </w:rPr>
              <w:t>摄氏度</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1.3</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适于每日连续使用24</w:t>
            </w:r>
            <w:r>
              <w:rPr>
                <w:rFonts w:hint="eastAsia" w:cs="华文细黑"/>
                <w:color w:val="auto"/>
                <w:sz w:val="20"/>
                <w:szCs w:val="20"/>
                <w:highlight w:val="none"/>
                <w:lang w:bidi="ar"/>
              </w:rPr>
              <w:t>小时，每周连续工作</w:t>
            </w:r>
            <w:r>
              <w:rPr>
                <w:rFonts w:cs="Calibri"/>
                <w:color w:val="auto"/>
                <w:sz w:val="20"/>
                <w:szCs w:val="20"/>
                <w:highlight w:val="none"/>
                <w:lang w:bidi="ar"/>
              </w:rPr>
              <w:t>7</w:t>
            </w:r>
            <w:r>
              <w:rPr>
                <w:rFonts w:hint="eastAsia" w:cs="华文细黑"/>
                <w:color w:val="auto"/>
                <w:sz w:val="20"/>
                <w:szCs w:val="20"/>
                <w:highlight w:val="none"/>
                <w:lang w:bidi="ar"/>
              </w:rPr>
              <w:t>天</w:t>
            </w:r>
          </w:p>
        </w:tc>
      </w:tr>
      <w:tr>
        <w:tblPrEx>
          <w:tblCellMar>
            <w:top w:w="0" w:type="dxa"/>
            <w:left w:w="0" w:type="dxa"/>
            <w:bottom w:w="0" w:type="dxa"/>
            <w:right w:w="0" w:type="dxa"/>
          </w:tblCellMar>
        </w:tblPrEx>
        <w:trPr>
          <w:trHeight w:val="5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2</w:t>
            </w:r>
            <w:r>
              <w:rPr>
                <w:rFonts w:cs="华文细黑"/>
                <w:b/>
                <w:color w:val="auto"/>
                <w:sz w:val="20"/>
                <w:szCs w:val="20"/>
                <w:highlight w:val="none"/>
                <w:lang w:bidi="ar"/>
              </w:rPr>
              <w:t>、系统的主要技术要求</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工作原理，以空气压缩机抽取及压缩空气为动力，在密封的网管中传送物品</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传输方式：单管/</w:t>
            </w:r>
            <w:r>
              <w:rPr>
                <w:rFonts w:hint="eastAsia" w:cs="华文细黑"/>
                <w:color w:val="auto"/>
                <w:sz w:val="20"/>
                <w:szCs w:val="20"/>
                <w:highlight w:val="none"/>
                <w:lang w:bidi="ar"/>
              </w:rPr>
              <w:t>双向传输</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2.3</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控制方式：完全由计算机实时监控系统运行，不可由其他分控制系统</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2.4</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传输瓶到站点时管道内的压缩空气的排出必须通过吊顶排向室外，不可直接排放在工作站所在位置的室内，以免引起交叉感染</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2.5</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管道外径：</w:t>
            </w:r>
            <w:r>
              <w:rPr>
                <w:rFonts w:hint="eastAsia" w:cs="Calibri"/>
                <w:color w:val="auto"/>
                <w:sz w:val="20"/>
                <w:szCs w:val="20"/>
                <w:highlight w:val="none"/>
                <w:lang w:val="en-US" w:eastAsia="zh-CN" w:bidi="ar"/>
              </w:rPr>
              <w:t>≥</w:t>
            </w:r>
            <w:r>
              <w:rPr>
                <w:rFonts w:cs="Calibri"/>
                <w:color w:val="auto"/>
                <w:sz w:val="20"/>
                <w:szCs w:val="20"/>
                <w:highlight w:val="none"/>
                <w:lang w:bidi="ar"/>
              </w:rPr>
              <w:t>160mm</w:t>
            </w:r>
          </w:p>
        </w:tc>
      </w:tr>
      <w:tr>
        <w:tblPrEx>
          <w:tblCellMar>
            <w:top w:w="0" w:type="dxa"/>
            <w:left w:w="0" w:type="dxa"/>
            <w:bottom w:w="0" w:type="dxa"/>
            <w:right w:w="0" w:type="dxa"/>
          </w:tblCellMar>
        </w:tblPrEx>
        <w:trPr>
          <w:trHeight w:val="49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2.6</w:t>
            </w:r>
            <w:r>
              <w:rPr>
                <w:rFonts w:hint="eastAsia" w:cs="华文细黑"/>
                <w:color w:val="auto"/>
                <w:sz w:val="20"/>
                <w:szCs w:val="20"/>
                <w:highlight w:val="none"/>
                <w:lang w:bidi="ar"/>
              </w:rPr>
              <w:t>传送速度</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2.6.1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正常速度不低于6</w:t>
            </w:r>
            <w:r>
              <w:rPr>
                <w:rFonts w:hint="eastAsia" w:cs="华文细黑"/>
                <w:color w:val="auto"/>
                <w:sz w:val="20"/>
                <w:szCs w:val="20"/>
                <w:highlight w:val="none"/>
                <w:lang w:bidi="ar"/>
              </w:rPr>
              <w:t>米／秒</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2.6.2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半速不低于2.5</w:t>
            </w:r>
            <w:r>
              <w:rPr>
                <w:rFonts w:hint="eastAsia" w:cs="华文细黑"/>
                <w:color w:val="auto"/>
                <w:sz w:val="20"/>
                <w:szCs w:val="20"/>
                <w:highlight w:val="none"/>
                <w:lang w:bidi="ar"/>
              </w:rPr>
              <w:t>米／秒（可手动或由系统自动选择）</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2.6.3</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各工作站可设定传输速度</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2.7</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传输瓶最大载重量不小于5Kg</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2.8</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满负荷最大传输距离：</w:t>
            </w:r>
            <w:r>
              <w:rPr>
                <w:rFonts w:hint="eastAsia" w:cs="华文细黑"/>
                <w:color w:val="auto"/>
                <w:sz w:val="20"/>
                <w:szCs w:val="20"/>
                <w:highlight w:val="none"/>
                <w:lang w:bidi="ar"/>
              </w:rPr>
              <w:t>横向≧</w:t>
            </w:r>
            <w:r>
              <w:rPr>
                <w:rFonts w:cs="Calibri"/>
                <w:color w:val="auto"/>
                <w:sz w:val="20"/>
                <w:szCs w:val="20"/>
                <w:highlight w:val="none"/>
                <w:lang w:bidi="ar"/>
              </w:rPr>
              <w:t>1500m</w:t>
            </w:r>
            <w:r>
              <w:rPr>
                <w:rFonts w:hint="eastAsia" w:cs="华文细黑"/>
                <w:color w:val="auto"/>
                <w:sz w:val="20"/>
                <w:szCs w:val="20"/>
                <w:highlight w:val="none"/>
                <w:lang w:bidi="ar"/>
              </w:rPr>
              <w:t>，纵向≧</w:t>
            </w:r>
            <w:r>
              <w:rPr>
                <w:rFonts w:cs="Calibri"/>
                <w:color w:val="auto"/>
                <w:sz w:val="20"/>
                <w:szCs w:val="20"/>
                <w:highlight w:val="none"/>
                <w:lang w:bidi="ar"/>
              </w:rPr>
              <w:t>100m</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2.9</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系统平稳性：管道室内外均可安装，在室外安装时配有防露、防冻、防水、伸缩装置及措施</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2.9.1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启动及停止均有缓冲，无撞击平稳接收</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2.9.2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血液标本传送前后指标相同，</w:t>
            </w:r>
            <w:r>
              <w:rPr>
                <w:rFonts w:hint="default" w:ascii="Times New Roman" w:hAnsi="Times New Roman" w:eastAsia="宋体" w:cs="Calibri"/>
                <w:color w:val="auto"/>
                <w:sz w:val="20"/>
                <w:szCs w:val="20"/>
                <w:highlight w:val="none"/>
                <w:lang w:val="en-US" w:eastAsia="zh-CN" w:bidi="ar"/>
              </w:rPr>
              <w:t>血液标本传送前后指标在验收时需达到验收要求及血液检测的要求</w:t>
            </w:r>
            <w:r>
              <w:rPr>
                <w:rFonts w:hint="default" w:cs="Calibri"/>
                <w:color w:val="auto"/>
                <w:sz w:val="20"/>
                <w:szCs w:val="20"/>
                <w:highlight w:val="none"/>
                <w:lang w:bidi="ar"/>
              </w:rPr>
              <w:t>。</w:t>
            </w:r>
          </w:p>
        </w:tc>
      </w:tr>
      <w:tr>
        <w:tblPrEx>
          <w:tblCellMar>
            <w:top w:w="0" w:type="dxa"/>
            <w:left w:w="0" w:type="dxa"/>
            <w:bottom w:w="0" w:type="dxa"/>
            <w:right w:w="0" w:type="dxa"/>
          </w:tblCellMar>
        </w:tblPrEx>
        <w:trPr>
          <w:trHeight w:val="49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10安全可靠性</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w:t>
            </w:r>
            <w:r>
              <w:rPr>
                <w:rFonts w:cs="Calibri"/>
                <w:color w:val="auto"/>
                <w:sz w:val="20"/>
                <w:szCs w:val="20"/>
                <w:highlight w:val="none"/>
                <w:lang w:bidi="ar"/>
              </w:rPr>
              <w:t>.1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管道及部件应为防火难燃材料、系统有防火装置</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w:t>
            </w:r>
            <w:r>
              <w:rPr>
                <w:rFonts w:cs="Calibri"/>
                <w:color w:val="auto"/>
                <w:sz w:val="20"/>
                <w:szCs w:val="20"/>
                <w:highlight w:val="none"/>
                <w:lang w:bidi="ar"/>
              </w:rPr>
              <w:t>.</w:t>
            </w:r>
            <w:r>
              <w:rPr>
                <w:rFonts w:hint="eastAsia" w:cs="华文细黑"/>
                <w:color w:val="auto"/>
                <w:sz w:val="20"/>
                <w:szCs w:val="20"/>
                <w:highlight w:val="none"/>
                <w:lang w:bidi="ar"/>
              </w:rPr>
              <w:t>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系统无气体泄漏、无气体和静电造成的污染。工作站、转换器、三向阀内气体密封圈为特氟隆材料制成</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w:t>
            </w:r>
            <w:r>
              <w:rPr>
                <w:rFonts w:cs="Calibri"/>
                <w:color w:val="auto"/>
                <w:sz w:val="20"/>
                <w:szCs w:val="20"/>
                <w:highlight w:val="none"/>
                <w:lang w:bidi="ar"/>
              </w:rPr>
              <w:t>.</w:t>
            </w:r>
            <w:r>
              <w:rPr>
                <w:rFonts w:hint="eastAsia" w:cs="华文细黑"/>
                <w:color w:val="auto"/>
                <w:sz w:val="20"/>
                <w:szCs w:val="20"/>
                <w:highlight w:val="none"/>
                <w:lang w:bidi="ar"/>
              </w:rPr>
              <w:t>3</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系统不对其他设备产生影响</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w:t>
            </w:r>
            <w:r>
              <w:rPr>
                <w:rFonts w:cs="Calibri"/>
                <w:color w:val="auto"/>
                <w:sz w:val="20"/>
                <w:szCs w:val="20"/>
                <w:highlight w:val="none"/>
                <w:lang w:bidi="ar"/>
              </w:rPr>
              <w:t>.</w:t>
            </w:r>
            <w:r>
              <w:rPr>
                <w:rFonts w:hint="eastAsia" w:cs="华文细黑"/>
                <w:color w:val="auto"/>
                <w:sz w:val="20"/>
                <w:szCs w:val="20"/>
                <w:highlight w:val="none"/>
                <w:lang w:bidi="ar"/>
              </w:rPr>
              <w:t>4</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可满足业主未来扩大分站数量要求</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w:t>
            </w:r>
            <w:r>
              <w:rPr>
                <w:rFonts w:cs="Calibri"/>
                <w:color w:val="auto"/>
                <w:sz w:val="20"/>
                <w:szCs w:val="20"/>
                <w:highlight w:val="none"/>
                <w:lang w:bidi="ar"/>
              </w:rPr>
              <w:t>.</w:t>
            </w:r>
            <w:r>
              <w:rPr>
                <w:rFonts w:hint="eastAsia" w:cs="华文细黑"/>
                <w:color w:val="auto"/>
                <w:sz w:val="20"/>
                <w:szCs w:val="20"/>
                <w:highlight w:val="none"/>
                <w:lang w:bidi="ar"/>
              </w:rPr>
              <w:t>5</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系统易管理、易维护、易升级，可以在任何一个站点或转换器处使用便携装置检测系统运行情况及进行维护管理</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w:t>
            </w:r>
            <w:r>
              <w:rPr>
                <w:rFonts w:cs="Calibri"/>
                <w:color w:val="auto"/>
                <w:sz w:val="20"/>
                <w:szCs w:val="20"/>
                <w:highlight w:val="none"/>
                <w:lang w:bidi="ar"/>
              </w:rPr>
              <w:t>.</w:t>
            </w:r>
            <w:r>
              <w:rPr>
                <w:rFonts w:hint="eastAsia" w:cs="华文细黑"/>
                <w:color w:val="auto"/>
                <w:sz w:val="20"/>
                <w:szCs w:val="20"/>
                <w:highlight w:val="none"/>
                <w:lang w:bidi="ar"/>
              </w:rPr>
              <w:t>6</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系统具有故障恢复能力，传输中如发生断电，数据不会丢失，来电后能自动恢复，继续完成原定传输指令，整机系统具有故障自诊自动排除装置功能</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w:t>
            </w:r>
            <w:r>
              <w:rPr>
                <w:rFonts w:cs="Calibri"/>
                <w:color w:val="auto"/>
                <w:sz w:val="20"/>
                <w:szCs w:val="20"/>
                <w:highlight w:val="none"/>
                <w:lang w:bidi="ar"/>
              </w:rPr>
              <w:t>.</w:t>
            </w:r>
            <w:r>
              <w:rPr>
                <w:rFonts w:hint="eastAsia" w:cs="华文细黑"/>
                <w:color w:val="auto"/>
                <w:sz w:val="20"/>
                <w:szCs w:val="20"/>
                <w:highlight w:val="none"/>
                <w:lang w:bidi="ar"/>
              </w:rPr>
              <w:t>7</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工作站、转换器、三向阀等定位控制采用非机械接触式传感器</w:t>
            </w:r>
            <w:r>
              <w:rPr>
                <w:rFonts w:cs="Calibri"/>
                <w:color w:val="auto"/>
                <w:sz w:val="20"/>
                <w:szCs w:val="20"/>
                <w:highlight w:val="none"/>
                <w:lang w:bidi="ar"/>
              </w:rPr>
              <w:t>PCB</w:t>
            </w:r>
            <w:r>
              <w:rPr>
                <w:rFonts w:hint="eastAsia" w:cs="华文细黑"/>
                <w:color w:val="auto"/>
                <w:sz w:val="20"/>
                <w:szCs w:val="20"/>
                <w:highlight w:val="none"/>
                <w:lang w:bidi="ar"/>
              </w:rPr>
              <w:t>电子智能定位。整机系统具有故障自诊自动排除</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10</w:t>
            </w:r>
            <w:r>
              <w:rPr>
                <w:rFonts w:cs="Calibri"/>
                <w:color w:val="auto"/>
                <w:sz w:val="20"/>
                <w:szCs w:val="20"/>
                <w:highlight w:val="none"/>
                <w:lang w:bidi="ar"/>
              </w:rPr>
              <w:t>.</w:t>
            </w:r>
            <w:r>
              <w:rPr>
                <w:rFonts w:hint="eastAsia" w:cs="华文细黑"/>
                <w:color w:val="auto"/>
                <w:sz w:val="20"/>
                <w:szCs w:val="20"/>
                <w:highlight w:val="none"/>
                <w:lang w:bidi="ar"/>
              </w:rPr>
              <w:t>8</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系统具备采用新风技术，防止空气交叉感染，工作站要求绝对密闭的，禁止通过工作站将该科室的空气带到另外的科室里造成空气交叉感染</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11系统电源</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系统的电源采用分布式开关电源</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w:t>
            </w:r>
            <w:r>
              <w:rPr>
                <w:rFonts w:hint="eastAsia" w:cs="华文细黑"/>
                <w:color w:val="auto"/>
                <w:sz w:val="20"/>
                <w:szCs w:val="20"/>
                <w:highlight w:val="none"/>
                <w:lang w:bidi="ar"/>
              </w:rPr>
              <w:t>12通讯技术</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系统采用国际先进的、高可靠性、抗干扰强的通讯方式和通讯设备，不得使用廉价的</w:t>
            </w:r>
            <w:r>
              <w:rPr>
                <w:rFonts w:cs="Calibri"/>
                <w:color w:val="auto"/>
                <w:sz w:val="20"/>
                <w:szCs w:val="20"/>
                <w:highlight w:val="none"/>
                <w:lang w:bidi="ar"/>
              </w:rPr>
              <w:t>RS485</w:t>
            </w:r>
            <w:r>
              <w:rPr>
                <w:rFonts w:hint="eastAsia" w:cs="华文细黑"/>
                <w:color w:val="auto"/>
                <w:sz w:val="20"/>
                <w:szCs w:val="20"/>
                <w:highlight w:val="none"/>
                <w:lang w:bidi="ar"/>
              </w:rPr>
              <w:t>或</w:t>
            </w:r>
            <w:r>
              <w:rPr>
                <w:rFonts w:cs="Calibri"/>
                <w:color w:val="auto"/>
                <w:sz w:val="20"/>
                <w:szCs w:val="20"/>
                <w:highlight w:val="none"/>
                <w:lang w:bidi="ar"/>
              </w:rPr>
              <w:t>RS422</w:t>
            </w:r>
            <w:r>
              <w:rPr>
                <w:rFonts w:hint="eastAsia" w:cs="华文细黑"/>
                <w:color w:val="auto"/>
                <w:sz w:val="20"/>
                <w:szCs w:val="20"/>
                <w:highlight w:val="none"/>
                <w:lang w:bidi="ar"/>
              </w:rPr>
              <w:t>通讯方式</w:t>
            </w:r>
            <w:r>
              <w:rPr>
                <w:rFonts w:cs="Calibri"/>
                <w:color w:val="auto"/>
                <w:sz w:val="20"/>
                <w:szCs w:val="20"/>
                <w:highlight w:val="none"/>
                <w:lang w:bidi="ar"/>
              </w:rPr>
              <w:t xml:space="preserve">, </w:t>
            </w:r>
            <w:r>
              <w:rPr>
                <w:rFonts w:hint="eastAsia" w:cs="华文细黑"/>
                <w:color w:val="auto"/>
                <w:sz w:val="20"/>
                <w:szCs w:val="20"/>
                <w:highlight w:val="none"/>
                <w:lang w:bidi="ar"/>
              </w:rPr>
              <w:t>总线通讯速率要求：≥</w:t>
            </w:r>
            <w:r>
              <w:rPr>
                <w:rFonts w:cs="Calibri"/>
                <w:color w:val="auto"/>
                <w:sz w:val="20"/>
                <w:szCs w:val="20"/>
                <w:highlight w:val="none"/>
                <w:lang w:bidi="ar"/>
              </w:rPr>
              <w:t>1 M bps</w:t>
            </w:r>
          </w:p>
        </w:tc>
      </w:tr>
      <w:tr>
        <w:tblPrEx>
          <w:tblCellMar>
            <w:top w:w="0" w:type="dxa"/>
            <w:left w:w="0" w:type="dxa"/>
            <w:bottom w:w="0" w:type="dxa"/>
            <w:right w:w="0" w:type="dxa"/>
          </w:tblCellMar>
        </w:tblPrEx>
        <w:trPr>
          <w:trHeight w:val="58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3</w:t>
            </w:r>
            <w:r>
              <w:rPr>
                <w:rFonts w:cs="华文细黑"/>
                <w:b/>
                <w:color w:val="auto"/>
                <w:sz w:val="20"/>
                <w:szCs w:val="20"/>
                <w:highlight w:val="none"/>
                <w:lang w:bidi="ar"/>
              </w:rPr>
              <w:t>、控制系统及机房设备</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全系统由主控电脑控制，控制电脑不低于以下配置：</w:t>
            </w:r>
            <w:r>
              <w:rPr>
                <w:rFonts w:hint="eastAsia" w:cs="华文细黑"/>
                <w:color w:val="auto"/>
                <w:sz w:val="20"/>
                <w:szCs w:val="20"/>
                <w:highlight w:val="none"/>
                <w:lang w:bidi="ar"/>
              </w:rPr>
              <w:t>双核</w:t>
            </w:r>
            <w:r>
              <w:rPr>
                <w:rFonts w:cs="Calibri"/>
                <w:color w:val="auto"/>
                <w:sz w:val="20"/>
                <w:szCs w:val="20"/>
                <w:highlight w:val="none"/>
                <w:lang w:bidi="ar"/>
              </w:rPr>
              <w:t>CPU</w:t>
            </w:r>
            <w:r>
              <w:rPr>
                <w:rFonts w:hint="eastAsia" w:cs="华文细黑"/>
                <w:color w:val="auto"/>
                <w:sz w:val="20"/>
                <w:szCs w:val="20"/>
                <w:highlight w:val="none"/>
                <w:lang w:bidi="ar"/>
              </w:rPr>
              <w:t>，内存4</w:t>
            </w:r>
            <w:r>
              <w:rPr>
                <w:rFonts w:cs="Calibri"/>
                <w:color w:val="auto"/>
                <w:sz w:val="20"/>
                <w:szCs w:val="20"/>
                <w:highlight w:val="none"/>
                <w:lang w:bidi="ar"/>
              </w:rPr>
              <w:t>G</w:t>
            </w:r>
            <w:r>
              <w:rPr>
                <w:rFonts w:hint="eastAsia" w:cs="华文细黑"/>
                <w:color w:val="auto"/>
                <w:sz w:val="20"/>
                <w:szCs w:val="20"/>
                <w:highlight w:val="none"/>
                <w:lang w:bidi="ar"/>
              </w:rPr>
              <w:t>，10</w:t>
            </w:r>
            <w:r>
              <w:rPr>
                <w:rFonts w:cs="Calibri"/>
                <w:color w:val="auto"/>
                <w:sz w:val="20"/>
                <w:szCs w:val="20"/>
                <w:highlight w:val="none"/>
                <w:lang w:bidi="ar"/>
              </w:rPr>
              <w:t>00GB</w:t>
            </w:r>
            <w:r>
              <w:rPr>
                <w:rFonts w:hint="eastAsia" w:cs="华文细黑"/>
                <w:color w:val="auto"/>
                <w:sz w:val="20"/>
                <w:szCs w:val="20"/>
                <w:highlight w:val="none"/>
                <w:lang w:bidi="ar"/>
              </w:rPr>
              <w:t>硬盘，</w:t>
            </w:r>
            <w:r>
              <w:rPr>
                <w:rFonts w:cs="Calibri"/>
                <w:color w:val="auto"/>
                <w:sz w:val="20"/>
                <w:szCs w:val="20"/>
                <w:highlight w:val="none"/>
                <w:lang w:bidi="ar"/>
              </w:rPr>
              <w:t>21"</w:t>
            </w:r>
            <w:r>
              <w:rPr>
                <w:rFonts w:hint="eastAsia" w:cs="华文细黑"/>
                <w:color w:val="auto"/>
                <w:sz w:val="20"/>
                <w:szCs w:val="20"/>
                <w:highlight w:val="none"/>
                <w:lang w:bidi="ar"/>
              </w:rPr>
              <w:t>液晶显示器，可连接打印机</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控制系统软件为原厂开发，具有全域空间显示功能，可随时观察系统连接路径图，</w:t>
            </w:r>
            <w:r>
              <w:rPr>
                <w:rFonts w:cs="Calibri"/>
                <w:b/>
                <w:bCs/>
                <w:color w:val="auto"/>
                <w:sz w:val="20"/>
                <w:szCs w:val="20"/>
                <w:highlight w:val="none"/>
                <w:lang w:bidi="ar"/>
              </w:rPr>
              <w:t>投标文件需提供图片说明。</w:t>
            </w:r>
          </w:p>
        </w:tc>
      </w:tr>
      <w:tr>
        <w:tblPrEx>
          <w:tblCellMar>
            <w:top w:w="0" w:type="dxa"/>
            <w:left w:w="0" w:type="dxa"/>
            <w:bottom w:w="0" w:type="dxa"/>
            <w:right w:w="0" w:type="dxa"/>
          </w:tblCellMar>
        </w:tblPrEx>
        <w:trPr>
          <w:trHeight w:val="735" w:hRule="atLeast"/>
        </w:trPr>
        <w:tc>
          <w:tcPr>
            <w:tcW w:w="2030" w:type="dxa"/>
            <w:vMerge w:val="restart"/>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3.3</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控制系统可实现以下功能：</w:t>
            </w:r>
          </w:p>
        </w:tc>
      </w:tr>
      <w:tr>
        <w:tblPrEx>
          <w:tblCellMar>
            <w:top w:w="0" w:type="dxa"/>
            <w:left w:w="0" w:type="dxa"/>
            <w:bottom w:w="0" w:type="dxa"/>
            <w:right w:w="0" w:type="dxa"/>
          </w:tblCellMar>
        </w:tblPrEx>
        <w:trPr>
          <w:trHeight w:val="480" w:hRule="atLeast"/>
        </w:trPr>
        <w:tc>
          <w:tcPr>
            <w:tcW w:w="2030"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rPr>
                <w:rFonts w:cs="Calibri"/>
                <w:color w:val="auto"/>
                <w:sz w:val="20"/>
                <w:szCs w:val="20"/>
                <w:highlight w:val="none"/>
              </w:rPr>
            </w:pP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（1）显示系统的运行状况，故障反馈</w:t>
            </w:r>
            <w:r>
              <w:rPr>
                <w:rFonts w:hint="eastAsia" w:cs="华文细黑"/>
                <w:color w:val="auto"/>
                <w:sz w:val="20"/>
                <w:szCs w:val="20"/>
                <w:highlight w:val="none"/>
                <w:lang w:bidi="ar"/>
              </w:rPr>
              <w:t>，具有故障分析查询及处理功能</w:t>
            </w:r>
          </w:p>
        </w:tc>
      </w:tr>
      <w:tr>
        <w:tblPrEx>
          <w:tblCellMar>
            <w:top w:w="0" w:type="dxa"/>
            <w:left w:w="0" w:type="dxa"/>
            <w:bottom w:w="0" w:type="dxa"/>
            <w:right w:w="0" w:type="dxa"/>
          </w:tblCellMar>
        </w:tblPrEx>
        <w:trPr>
          <w:trHeight w:val="480" w:hRule="atLeast"/>
        </w:trPr>
        <w:tc>
          <w:tcPr>
            <w:tcW w:w="2030"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rPr>
                <w:rFonts w:cs="Calibri"/>
                <w:color w:val="auto"/>
                <w:sz w:val="20"/>
                <w:szCs w:val="20"/>
                <w:highlight w:val="none"/>
              </w:rPr>
            </w:pP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（2）可控制全部系统内设备</w:t>
            </w:r>
          </w:p>
        </w:tc>
      </w:tr>
      <w:tr>
        <w:tblPrEx>
          <w:tblCellMar>
            <w:top w:w="0" w:type="dxa"/>
            <w:left w:w="0" w:type="dxa"/>
            <w:bottom w:w="0" w:type="dxa"/>
            <w:right w:w="0" w:type="dxa"/>
          </w:tblCellMar>
        </w:tblPrEx>
        <w:trPr>
          <w:trHeight w:val="480" w:hRule="atLeast"/>
        </w:trPr>
        <w:tc>
          <w:tcPr>
            <w:tcW w:w="2030"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rPr>
                <w:rFonts w:cs="Calibri"/>
                <w:color w:val="auto"/>
                <w:sz w:val="20"/>
                <w:szCs w:val="20"/>
                <w:highlight w:val="none"/>
              </w:rPr>
            </w:pP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（3）可实时监控整个系统的运转状态</w:t>
            </w:r>
          </w:p>
        </w:tc>
      </w:tr>
      <w:tr>
        <w:tblPrEx>
          <w:tblCellMar>
            <w:top w:w="0" w:type="dxa"/>
            <w:left w:w="0" w:type="dxa"/>
            <w:bottom w:w="0" w:type="dxa"/>
            <w:right w:w="0" w:type="dxa"/>
          </w:tblCellMar>
        </w:tblPrEx>
        <w:trPr>
          <w:trHeight w:val="480" w:hRule="atLeast"/>
        </w:trPr>
        <w:tc>
          <w:tcPr>
            <w:tcW w:w="2030"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rPr>
                <w:rFonts w:cs="Calibri"/>
                <w:color w:val="auto"/>
                <w:sz w:val="20"/>
                <w:szCs w:val="20"/>
                <w:highlight w:val="none"/>
              </w:rPr>
            </w:pP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（4）可记录所有收发送记录,</w:t>
            </w:r>
            <w:r>
              <w:rPr>
                <w:rFonts w:hint="eastAsia" w:cs="华文细黑"/>
                <w:color w:val="auto"/>
                <w:sz w:val="20"/>
                <w:szCs w:val="20"/>
                <w:highlight w:val="none"/>
                <w:lang w:bidi="ar"/>
              </w:rPr>
              <w:t>电脑可储存50</w:t>
            </w:r>
            <w:r>
              <w:rPr>
                <w:rFonts w:cs="Calibri"/>
                <w:color w:val="auto"/>
                <w:sz w:val="20"/>
                <w:szCs w:val="20"/>
                <w:highlight w:val="none"/>
                <w:lang w:bidi="ar"/>
              </w:rPr>
              <w:t>万次以上的监控记录</w:t>
            </w:r>
          </w:p>
        </w:tc>
      </w:tr>
      <w:tr>
        <w:tblPrEx>
          <w:tblCellMar>
            <w:top w:w="0" w:type="dxa"/>
            <w:left w:w="0" w:type="dxa"/>
            <w:bottom w:w="0" w:type="dxa"/>
            <w:right w:w="0" w:type="dxa"/>
          </w:tblCellMar>
        </w:tblPrEx>
        <w:trPr>
          <w:trHeight w:val="480" w:hRule="atLeast"/>
        </w:trPr>
        <w:tc>
          <w:tcPr>
            <w:tcW w:w="2030"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rPr>
                <w:rFonts w:cs="Calibri"/>
                <w:color w:val="auto"/>
                <w:sz w:val="20"/>
                <w:szCs w:val="20"/>
                <w:highlight w:val="none"/>
              </w:rPr>
            </w:pP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（5）可显示故障区域及故障代码</w:t>
            </w:r>
          </w:p>
        </w:tc>
      </w:tr>
      <w:tr>
        <w:tblPrEx>
          <w:tblCellMar>
            <w:top w:w="0" w:type="dxa"/>
            <w:left w:w="0" w:type="dxa"/>
            <w:bottom w:w="0" w:type="dxa"/>
            <w:right w:w="0" w:type="dxa"/>
          </w:tblCellMar>
        </w:tblPrEx>
        <w:trPr>
          <w:trHeight w:val="480" w:hRule="atLeast"/>
        </w:trPr>
        <w:tc>
          <w:tcPr>
            <w:tcW w:w="2030"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rPr>
                <w:rFonts w:cs="Calibri"/>
                <w:color w:val="auto"/>
                <w:sz w:val="20"/>
                <w:szCs w:val="20"/>
                <w:highlight w:val="none"/>
              </w:rPr>
            </w:pP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（6）若某收发站有故障，可关闭此站，不影响整个系统的运行</w:t>
            </w:r>
            <w:r>
              <w:rPr>
                <w:rFonts w:hint="eastAsia" w:cs="华文细黑"/>
                <w:color w:val="auto"/>
                <w:sz w:val="20"/>
                <w:szCs w:val="20"/>
                <w:highlight w:val="none"/>
                <w:lang w:bidi="ar"/>
              </w:rPr>
              <w:t>，具有远程在线故障诊断功能</w:t>
            </w:r>
          </w:p>
        </w:tc>
      </w:tr>
      <w:tr>
        <w:tblPrEx>
          <w:tblCellMar>
            <w:top w:w="0" w:type="dxa"/>
            <w:left w:w="0" w:type="dxa"/>
            <w:bottom w:w="0" w:type="dxa"/>
            <w:right w:w="0" w:type="dxa"/>
          </w:tblCellMar>
        </w:tblPrEx>
        <w:trPr>
          <w:trHeight w:val="480" w:hRule="atLeast"/>
        </w:trPr>
        <w:tc>
          <w:tcPr>
            <w:tcW w:w="2030" w:type="dxa"/>
            <w:vMerge w:val="continue"/>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rPr>
                <w:rFonts w:cs="Calibri"/>
                <w:color w:val="auto"/>
                <w:sz w:val="20"/>
                <w:szCs w:val="20"/>
                <w:highlight w:val="none"/>
              </w:rPr>
            </w:pP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（7）可预置自动半速传送</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3.4</w:t>
            </w:r>
            <w:r>
              <w:rPr>
                <w:rFonts w:hint="eastAsia" w:cs="华文细黑"/>
                <w:color w:val="auto"/>
                <w:sz w:val="20"/>
                <w:szCs w:val="20"/>
                <w:highlight w:val="none"/>
                <w:lang w:bidi="ar"/>
              </w:rPr>
              <w:t>中央主控器</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系统具备中央主控机</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3.4.</w:t>
            </w:r>
            <w:r>
              <w:rPr>
                <w:rFonts w:hint="eastAsia" w:cs="华文细黑"/>
                <w:color w:val="auto"/>
                <w:sz w:val="20"/>
                <w:szCs w:val="20"/>
                <w:highlight w:val="none"/>
                <w:lang w:bidi="ar"/>
              </w:rPr>
              <w:t>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可显示整个医院物流系统的流程图，显示当前传输瓶在管道里行走的状态，请提供流程图并给予说明</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3.4.</w:t>
            </w:r>
            <w:r>
              <w:rPr>
                <w:rFonts w:hint="eastAsia" w:cs="华文细黑"/>
                <w:color w:val="auto"/>
                <w:sz w:val="20"/>
                <w:szCs w:val="20"/>
                <w:highlight w:val="none"/>
                <w:lang w:bidi="ar"/>
              </w:rPr>
              <w:t>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可实时监控整个系统的运转状态显示整个医院每个站点排队的状态记录，所有收发记录并做出统计数据和查询，请提供在计算机上显示的相应记录表格并给予说明</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3.4.</w:t>
            </w:r>
            <w:r>
              <w:rPr>
                <w:rFonts w:hint="eastAsia" w:cs="华文细黑"/>
                <w:color w:val="auto"/>
                <w:sz w:val="20"/>
                <w:szCs w:val="20"/>
                <w:highlight w:val="none"/>
                <w:lang w:bidi="ar"/>
              </w:rPr>
              <w:t>3</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支持全部</w:t>
            </w:r>
            <w:r>
              <w:rPr>
                <w:rFonts w:hint="eastAsia" w:cs="华文细黑"/>
                <w:color w:val="auto"/>
                <w:sz w:val="20"/>
                <w:szCs w:val="20"/>
                <w:highlight w:val="none"/>
                <w:lang w:val="en-US" w:eastAsia="zh-CN" w:bidi="ar"/>
              </w:rPr>
              <w:t>中文</w:t>
            </w:r>
            <w:r>
              <w:rPr>
                <w:rFonts w:hint="eastAsia" w:cs="华文细黑"/>
                <w:color w:val="auto"/>
                <w:sz w:val="20"/>
                <w:szCs w:val="20"/>
                <w:highlight w:val="none"/>
                <w:lang w:bidi="ar"/>
              </w:rPr>
              <w:t>显示操作界面可打印或存储打印</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3.4.</w:t>
            </w:r>
            <w:r>
              <w:rPr>
                <w:rFonts w:hint="eastAsia" w:cs="华文细黑"/>
                <w:color w:val="auto"/>
                <w:sz w:val="20"/>
                <w:szCs w:val="20"/>
                <w:highlight w:val="none"/>
                <w:lang w:bidi="ar"/>
              </w:rPr>
              <w:t>4</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扩展无需增加控制器，同时一台主控器可以控制几台空压机</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3.4.</w:t>
            </w:r>
            <w:r>
              <w:rPr>
                <w:rFonts w:hint="eastAsia" w:cs="华文细黑"/>
                <w:color w:val="auto"/>
                <w:sz w:val="20"/>
                <w:szCs w:val="20"/>
                <w:highlight w:val="none"/>
                <w:lang w:bidi="ar"/>
              </w:rPr>
              <w:t>5</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投标人在技术方案中须明确每个传输区域空压机台数</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3.5</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机房总控室需配置PC</w:t>
            </w:r>
            <w:r>
              <w:rPr>
                <w:rFonts w:hint="eastAsia" w:cs="华文细黑"/>
                <w:color w:val="auto"/>
                <w:sz w:val="20"/>
                <w:szCs w:val="20"/>
                <w:highlight w:val="none"/>
                <w:lang w:bidi="ar"/>
              </w:rPr>
              <w:t>机，与局域网连接，实现远程监控；并可通过</w:t>
            </w:r>
            <w:r>
              <w:rPr>
                <w:rFonts w:cs="Calibri"/>
                <w:color w:val="auto"/>
                <w:sz w:val="20"/>
                <w:szCs w:val="20"/>
                <w:highlight w:val="none"/>
                <w:lang w:bidi="ar"/>
              </w:rPr>
              <w:t>MODEM</w:t>
            </w:r>
            <w:r>
              <w:rPr>
                <w:rFonts w:hint="eastAsia" w:cs="华文细黑"/>
                <w:color w:val="auto"/>
                <w:sz w:val="20"/>
                <w:szCs w:val="20"/>
                <w:highlight w:val="none"/>
                <w:lang w:bidi="ar"/>
              </w:rPr>
              <w:t>实现</w:t>
            </w:r>
            <w:r>
              <w:rPr>
                <w:rFonts w:cs="Calibri"/>
                <w:color w:val="auto"/>
                <w:sz w:val="20"/>
                <w:szCs w:val="20"/>
                <w:highlight w:val="none"/>
                <w:lang w:bidi="ar"/>
              </w:rPr>
              <w:t>INTERMET</w:t>
            </w:r>
            <w:r>
              <w:rPr>
                <w:rFonts w:hint="eastAsia" w:cs="华文细黑"/>
                <w:color w:val="auto"/>
                <w:sz w:val="20"/>
                <w:szCs w:val="20"/>
                <w:highlight w:val="none"/>
                <w:lang w:bidi="ar"/>
              </w:rPr>
              <w:t>功能，实现远程在线会诊，故障分析查询，投标文件需提供图片及说明；监控电脑可根据客户需要安装在系统的任何位置，方便医院的协调安排</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3.6</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控制信号最远可传递2000</w:t>
            </w:r>
            <w:r>
              <w:rPr>
                <w:rFonts w:hint="eastAsia" w:cs="华文细黑"/>
                <w:color w:val="auto"/>
                <w:sz w:val="20"/>
                <w:szCs w:val="20"/>
                <w:highlight w:val="none"/>
                <w:lang w:bidi="ar"/>
              </w:rPr>
              <w:t>米；</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4</w:t>
            </w:r>
            <w:r>
              <w:rPr>
                <w:rFonts w:cs="华文细黑"/>
                <w:b/>
                <w:color w:val="auto"/>
                <w:sz w:val="20"/>
                <w:szCs w:val="20"/>
                <w:highlight w:val="none"/>
                <w:lang w:bidi="ar"/>
              </w:rPr>
              <w:t>、转换器</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用于管道间转换传输瓶的路径，可在系统内由一主通道分支为若干条通道，转换器的类型为三路转换器，电机可运行100</w:t>
            </w:r>
            <w:r>
              <w:rPr>
                <w:rFonts w:hint="eastAsia" w:cs="华文细黑"/>
                <w:color w:val="auto"/>
                <w:sz w:val="20"/>
                <w:szCs w:val="20"/>
                <w:highlight w:val="none"/>
                <w:lang w:bidi="ar"/>
              </w:rPr>
              <w:t>万次以上；预留可预见的系统扩展接口；</w:t>
            </w:r>
          </w:p>
        </w:tc>
      </w:tr>
      <w:tr>
        <w:tblPrEx>
          <w:tblCellMar>
            <w:top w:w="0" w:type="dxa"/>
            <w:left w:w="0" w:type="dxa"/>
            <w:bottom w:w="0" w:type="dxa"/>
            <w:right w:w="0" w:type="dxa"/>
          </w:tblCellMar>
        </w:tblPrEx>
        <w:trPr>
          <w:trHeight w:val="92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hint="eastAsia"/>
                <w:color w:val="auto"/>
                <w:szCs w:val="21"/>
                <w:highlight w:val="none"/>
              </w:rPr>
              <w:t>▲</w:t>
            </w:r>
            <w:r>
              <w:rPr>
                <w:rFonts w:cs="Calibri"/>
                <w:b/>
                <w:color w:val="auto"/>
                <w:sz w:val="20"/>
                <w:szCs w:val="20"/>
                <w:highlight w:val="none"/>
                <w:lang w:bidi="ar"/>
              </w:rPr>
              <w:t>5</w:t>
            </w:r>
            <w:r>
              <w:rPr>
                <w:rFonts w:cs="华文细黑"/>
                <w:b/>
                <w:color w:val="auto"/>
                <w:sz w:val="20"/>
                <w:szCs w:val="20"/>
                <w:highlight w:val="none"/>
                <w:lang w:bidi="ar"/>
              </w:rPr>
              <w:t>、空压机系统</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空压机采用</w:t>
            </w:r>
            <w:r>
              <w:rPr>
                <w:rFonts w:hint="eastAsia" w:cs="华文细黑"/>
                <w:color w:val="auto"/>
                <w:sz w:val="20"/>
                <w:szCs w:val="20"/>
                <w:highlight w:val="none"/>
                <w:lang w:bidi="ar"/>
              </w:rPr>
              <w:t>原装</w:t>
            </w:r>
            <w:r>
              <w:rPr>
                <w:rFonts w:cs="Calibri"/>
                <w:color w:val="auto"/>
                <w:sz w:val="20"/>
                <w:szCs w:val="20"/>
                <w:highlight w:val="none"/>
                <w:lang w:bidi="ar"/>
              </w:rPr>
              <w:t>进口，运行噪音不超过55</w:t>
            </w:r>
            <w:r>
              <w:rPr>
                <w:rFonts w:hint="eastAsia" w:cs="华文细黑"/>
                <w:color w:val="auto"/>
                <w:sz w:val="20"/>
                <w:szCs w:val="20"/>
                <w:highlight w:val="none"/>
                <w:lang w:bidi="ar"/>
              </w:rPr>
              <w:t>分贝，还可通过加装消声器，进一步降噪；功率大于等于</w:t>
            </w:r>
            <w:r>
              <w:rPr>
                <w:rFonts w:cs="Calibri"/>
                <w:color w:val="auto"/>
                <w:sz w:val="20"/>
                <w:szCs w:val="20"/>
                <w:highlight w:val="none"/>
                <w:lang w:bidi="ar"/>
              </w:rPr>
              <w:t>5.5KW</w:t>
            </w:r>
            <w:r>
              <w:rPr>
                <w:rFonts w:hint="eastAsia" w:cs="华文细黑"/>
                <w:color w:val="auto"/>
                <w:sz w:val="20"/>
                <w:szCs w:val="20"/>
                <w:highlight w:val="none"/>
                <w:lang w:bidi="ar"/>
              </w:rPr>
              <w:t>；空压机功率应留有以后系统扩展的余量；可根据需要安装在楼宇的任何位置；</w:t>
            </w:r>
            <w:r>
              <w:rPr>
                <w:rFonts w:cs="Calibri"/>
                <w:color w:val="auto"/>
                <w:sz w:val="20"/>
                <w:szCs w:val="20"/>
                <w:highlight w:val="none"/>
                <w:lang w:bidi="ar"/>
              </w:rPr>
              <w:t>配有专用空气过滤器（可防止异物进入），风机只有发送和接受时才工作，节能，投标文件中需提供详细说明；</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6</w:t>
            </w:r>
            <w:r>
              <w:rPr>
                <w:rFonts w:cs="华文细黑"/>
                <w:b/>
                <w:color w:val="auto"/>
                <w:sz w:val="20"/>
                <w:szCs w:val="20"/>
                <w:highlight w:val="none"/>
                <w:lang w:bidi="ar"/>
              </w:rPr>
              <w:t>、回收站</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全套系统可只设一个回收站，并可设置任意一个收发站为回收站。</w:t>
            </w:r>
          </w:p>
        </w:tc>
      </w:tr>
      <w:tr>
        <w:tblPrEx>
          <w:tblCellMar>
            <w:top w:w="0" w:type="dxa"/>
            <w:left w:w="0" w:type="dxa"/>
            <w:bottom w:w="0" w:type="dxa"/>
            <w:right w:w="0" w:type="dxa"/>
          </w:tblCellMar>
        </w:tblPrEx>
        <w:trPr>
          <w:trHeight w:val="495" w:hRule="atLeast"/>
        </w:trPr>
        <w:tc>
          <w:tcPr>
            <w:tcW w:w="8804" w:type="dxa"/>
            <w:gridSpan w:val="2"/>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7</w:t>
            </w:r>
            <w:r>
              <w:rPr>
                <w:rFonts w:cs="华文细黑"/>
                <w:b/>
                <w:color w:val="auto"/>
                <w:sz w:val="20"/>
                <w:szCs w:val="20"/>
                <w:highlight w:val="none"/>
                <w:lang w:bidi="ar"/>
              </w:rPr>
              <w:t>、收发工作站设备</w:t>
            </w:r>
          </w:p>
        </w:tc>
      </w:tr>
      <w:tr>
        <w:tblPrEx>
          <w:tblCellMar>
            <w:top w:w="0" w:type="dxa"/>
            <w:left w:w="0" w:type="dxa"/>
            <w:bottom w:w="0" w:type="dxa"/>
            <w:right w:w="0" w:type="dxa"/>
          </w:tblCellMar>
        </w:tblPrEx>
        <w:trPr>
          <w:trHeight w:val="978"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选用便于护士操作，占用空间小的站点形式</w:t>
            </w:r>
            <w:r>
              <w:rPr>
                <w:rFonts w:hint="eastAsia" w:cs="华文细黑"/>
                <w:color w:val="auto"/>
                <w:sz w:val="20"/>
                <w:szCs w:val="20"/>
                <w:highlight w:val="none"/>
                <w:lang w:bidi="ar"/>
              </w:rPr>
              <w:t>。</w:t>
            </w:r>
            <w:r>
              <w:rPr>
                <w:rFonts w:hint="eastAsia"/>
                <w:color w:val="auto"/>
                <w:sz w:val="20"/>
                <w:szCs w:val="20"/>
                <w:highlight w:val="none"/>
                <w:lang w:bidi="ar"/>
              </w:rPr>
              <w:t>系统选用的所有站点类型都必须避免管道内空气交叉感染的风险，确保使用环境安全</w:t>
            </w:r>
            <w:r>
              <w:rPr>
                <w:rFonts w:hint="eastAsia" w:cs="华文细黑"/>
                <w:color w:val="auto"/>
                <w:sz w:val="20"/>
                <w:szCs w:val="20"/>
                <w:highlight w:val="none"/>
                <w:lang w:bidi="ar"/>
              </w:rPr>
              <w:t>。</w:t>
            </w:r>
            <w:r>
              <w:rPr>
                <w:rStyle w:val="68"/>
                <w:rFonts w:hint="default"/>
                <w:b w:val="0"/>
                <w:bCs/>
                <w:color w:val="auto"/>
                <w:highlight w:val="none"/>
                <w:lang w:bidi="ar"/>
              </w:rPr>
              <w:t>中文</w:t>
            </w:r>
            <w:r>
              <w:rPr>
                <w:rFonts w:hint="eastAsia" w:cs="华文细黑"/>
                <w:color w:val="auto"/>
                <w:sz w:val="20"/>
                <w:szCs w:val="20"/>
                <w:highlight w:val="none"/>
                <w:lang w:bidi="ar"/>
              </w:rPr>
              <w:t>信息动态界面，使用寿命≥</w:t>
            </w:r>
            <w:r>
              <w:rPr>
                <w:rFonts w:cs="Calibri"/>
                <w:color w:val="auto"/>
                <w:sz w:val="20"/>
                <w:szCs w:val="20"/>
                <w:highlight w:val="none"/>
                <w:lang w:bidi="ar"/>
              </w:rPr>
              <w:t>15</w:t>
            </w:r>
            <w:r>
              <w:rPr>
                <w:rFonts w:hint="eastAsia" w:cs="华文细黑"/>
                <w:color w:val="auto"/>
                <w:sz w:val="20"/>
                <w:szCs w:val="20"/>
                <w:highlight w:val="none"/>
                <w:lang w:bidi="ar"/>
              </w:rPr>
              <w:t>年。</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具备收发功能，无需手动开关操作；</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7.3</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控制器LED</w:t>
            </w:r>
            <w:r>
              <w:rPr>
                <w:rFonts w:hint="eastAsia" w:cs="华文细黑"/>
                <w:color w:val="auto"/>
                <w:sz w:val="20"/>
                <w:szCs w:val="20"/>
                <w:highlight w:val="none"/>
                <w:lang w:bidi="ar"/>
              </w:rPr>
              <w:t>显示，完全</w:t>
            </w:r>
            <w:r>
              <w:rPr>
                <w:rFonts w:cs="Calibri"/>
                <w:color w:val="auto"/>
                <w:sz w:val="20"/>
                <w:szCs w:val="20"/>
                <w:highlight w:val="none"/>
                <w:lang w:bidi="ar"/>
              </w:rPr>
              <w:t>PC</w:t>
            </w:r>
            <w:r>
              <w:rPr>
                <w:rFonts w:hint="eastAsia" w:cs="华文细黑"/>
                <w:color w:val="auto"/>
                <w:sz w:val="20"/>
                <w:szCs w:val="20"/>
                <w:highlight w:val="none"/>
                <w:lang w:bidi="ar"/>
              </w:rPr>
              <w:t>控制</w:t>
            </w:r>
          </w:p>
        </w:tc>
      </w:tr>
      <w:tr>
        <w:tblPrEx>
          <w:tblCellMar>
            <w:top w:w="0" w:type="dxa"/>
            <w:left w:w="0" w:type="dxa"/>
            <w:bottom w:w="0" w:type="dxa"/>
            <w:right w:w="0" w:type="dxa"/>
          </w:tblCellMar>
        </w:tblPrEx>
        <w:trPr>
          <w:trHeight w:val="595"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7.4</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控制面板为7</w:t>
            </w:r>
            <w:r>
              <w:rPr>
                <w:rFonts w:hint="eastAsia" w:cs="华文细黑"/>
                <w:color w:val="auto"/>
                <w:sz w:val="20"/>
                <w:szCs w:val="20"/>
                <w:highlight w:val="none"/>
                <w:lang w:bidi="ar"/>
              </w:rPr>
              <w:t>英寸及以上触摸式控制面板，同屏可以显示模拟数字按键，同屏设有快捷键，操作便捷，提供照片说明。</w:t>
            </w:r>
          </w:p>
        </w:tc>
      </w:tr>
      <w:tr>
        <w:tblPrEx>
          <w:tblCellMar>
            <w:top w:w="0" w:type="dxa"/>
            <w:left w:w="0" w:type="dxa"/>
            <w:bottom w:w="0" w:type="dxa"/>
            <w:right w:w="0" w:type="dxa"/>
          </w:tblCellMar>
        </w:tblPrEx>
        <w:trPr>
          <w:trHeight w:val="685"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7.5</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color w:val="auto"/>
                <w:sz w:val="20"/>
                <w:szCs w:val="20"/>
                <w:highlight w:val="none"/>
              </w:rPr>
            </w:pPr>
            <w:r>
              <w:rPr>
                <w:rFonts w:hint="eastAsia"/>
                <w:color w:val="auto"/>
                <w:sz w:val="20"/>
                <w:szCs w:val="20"/>
                <w:highlight w:val="none"/>
                <w:lang w:bidi="ar"/>
              </w:rPr>
              <w:t>可上下翻页自动搜索地址薄</w:t>
            </w:r>
            <w:r>
              <w:rPr>
                <w:rFonts w:hint="eastAsia" w:cs="华文细黑"/>
                <w:color w:val="auto"/>
                <w:sz w:val="20"/>
                <w:szCs w:val="20"/>
                <w:highlight w:val="none"/>
                <w:lang w:bidi="ar"/>
              </w:rPr>
              <w:t>；可同时显示≥</w:t>
            </w:r>
            <w:r>
              <w:rPr>
                <w:rFonts w:cs="Calibri"/>
                <w:color w:val="auto"/>
                <w:sz w:val="20"/>
                <w:szCs w:val="20"/>
                <w:highlight w:val="none"/>
                <w:lang w:bidi="ar"/>
              </w:rPr>
              <w:t>10</w:t>
            </w:r>
            <w:r>
              <w:rPr>
                <w:rFonts w:hint="eastAsia" w:cs="华文细黑"/>
                <w:color w:val="auto"/>
                <w:sz w:val="20"/>
                <w:szCs w:val="20"/>
                <w:highlight w:val="none"/>
                <w:lang w:bidi="ar"/>
              </w:rPr>
              <w:t>行</w:t>
            </w:r>
            <w:r>
              <w:rPr>
                <w:rStyle w:val="28"/>
                <w:rFonts w:hint="eastAsia" w:cs="华文细黑"/>
                <w:color w:val="auto"/>
                <w:sz w:val="20"/>
                <w:szCs w:val="20"/>
                <w:highlight w:val="none"/>
                <w:lang w:val="en-US" w:eastAsia="zh-CN" w:bidi="ar"/>
              </w:rPr>
              <w:t>中文</w:t>
            </w:r>
            <w:r>
              <w:rPr>
                <w:rFonts w:hint="eastAsia" w:cs="华文细黑"/>
                <w:color w:val="auto"/>
                <w:sz w:val="20"/>
                <w:szCs w:val="20"/>
                <w:highlight w:val="none"/>
                <w:lang w:bidi="ar"/>
              </w:rPr>
              <w:t>信息和动态流程，并可以给出显示格式。</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7.6</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发送遇忙可自动排队等候</w:t>
            </w:r>
          </w:p>
        </w:tc>
      </w:tr>
      <w:tr>
        <w:tblPrEx>
          <w:tblCellMar>
            <w:top w:w="0" w:type="dxa"/>
            <w:left w:w="0" w:type="dxa"/>
            <w:bottom w:w="0" w:type="dxa"/>
            <w:right w:w="0" w:type="dxa"/>
          </w:tblCellMar>
        </w:tblPrEx>
        <w:trPr>
          <w:trHeight w:val="895"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7.7</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可以在一张画面同时显示全部科室的</w:t>
            </w:r>
            <w:r>
              <w:rPr>
                <w:rStyle w:val="28"/>
                <w:rFonts w:hint="eastAsia" w:cs="华文细黑"/>
                <w:color w:val="auto"/>
                <w:sz w:val="20"/>
                <w:szCs w:val="20"/>
                <w:highlight w:val="none"/>
                <w:lang w:val="en-US" w:eastAsia="zh-CN" w:bidi="ar"/>
              </w:rPr>
              <w:t>中文</w:t>
            </w:r>
            <w:r>
              <w:rPr>
                <w:rFonts w:hint="eastAsia" w:cs="华文细黑"/>
                <w:color w:val="auto"/>
                <w:sz w:val="20"/>
                <w:szCs w:val="20"/>
                <w:highlight w:val="none"/>
                <w:lang w:bidi="ar"/>
              </w:rPr>
              <w:t>名称，通过按动光标方式选择发送科室。</w:t>
            </w:r>
            <w:r>
              <w:rPr>
                <w:rFonts w:hint="eastAsia"/>
                <w:color w:val="auto"/>
                <w:sz w:val="20"/>
                <w:szCs w:val="20"/>
                <w:highlight w:val="none"/>
                <w:lang w:bidi="ar"/>
              </w:rPr>
              <w:t>具有热键功能，可以设置至少</w:t>
            </w:r>
            <w:r>
              <w:rPr>
                <w:rFonts w:cs="Calibri"/>
                <w:color w:val="auto"/>
                <w:sz w:val="20"/>
                <w:szCs w:val="20"/>
                <w:highlight w:val="none"/>
                <w:lang w:bidi="ar"/>
              </w:rPr>
              <w:t>16</w:t>
            </w:r>
            <w:r>
              <w:rPr>
                <w:rFonts w:hint="eastAsia" w:cs="华文细黑"/>
                <w:color w:val="auto"/>
                <w:sz w:val="20"/>
                <w:szCs w:val="20"/>
                <w:highlight w:val="none"/>
                <w:lang w:bidi="ar"/>
              </w:rPr>
              <w:t>个工作站点为一键发送快捷键，投标文件需提供图片说明</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7.8</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可显示系统状态、发送站地址、操作提示</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7.9</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系统可设优先发送及目的站转移，全套系统可设</w:t>
            </w:r>
            <w:r>
              <w:rPr>
                <w:rFonts w:cs="Calibri"/>
                <w:color w:val="auto"/>
                <w:sz w:val="20"/>
                <w:szCs w:val="20"/>
                <w:highlight w:val="none"/>
                <w:lang w:bidi="ar"/>
              </w:rPr>
              <w:t>1-16</w:t>
            </w:r>
            <w:r>
              <w:rPr>
                <w:rFonts w:hint="eastAsia" w:cs="华文细黑"/>
                <w:color w:val="auto"/>
                <w:sz w:val="20"/>
                <w:szCs w:val="20"/>
                <w:highlight w:val="none"/>
                <w:lang w:bidi="ar"/>
              </w:rPr>
              <w:t>个优先级。可设置缺省地址</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7.1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配有智能识别装置，具有防异物进入自动识别保护功能</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7.11</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可设无人状态拒绝接受或目的站转移</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7.12</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工作站设备内部有防静电设置</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7.13</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具备已发送的历史记录查询功能，并给出格式</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8</w:t>
            </w:r>
            <w:r>
              <w:rPr>
                <w:rFonts w:cs="华文细黑"/>
                <w:b/>
                <w:color w:val="auto"/>
                <w:sz w:val="20"/>
                <w:szCs w:val="20"/>
                <w:highlight w:val="none"/>
                <w:lang w:bidi="ar"/>
              </w:rPr>
              <w:t>、传输瓶</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每个站点配置至少2</w:t>
            </w:r>
            <w:r>
              <w:rPr>
                <w:rFonts w:hint="eastAsia" w:cs="华文细黑"/>
                <w:color w:val="auto"/>
                <w:sz w:val="20"/>
                <w:szCs w:val="20"/>
                <w:highlight w:val="none"/>
                <w:lang w:bidi="ar"/>
              </w:rPr>
              <w:t>个智能</w:t>
            </w:r>
            <w:r>
              <w:rPr>
                <w:rFonts w:cs="Calibri"/>
                <w:color w:val="auto"/>
                <w:sz w:val="20"/>
                <w:szCs w:val="20"/>
                <w:highlight w:val="none"/>
                <w:lang w:bidi="ar"/>
              </w:rPr>
              <w:t>传输瓶，传输瓶两端有双旋盖，密封性能好，</w:t>
            </w:r>
            <w:r>
              <w:rPr>
                <w:rFonts w:hint="eastAsia" w:cs="华文细黑"/>
                <w:color w:val="auto"/>
                <w:sz w:val="20"/>
                <w:szCs w:val="20"/>
                <w:highlight w:val="none"/>
                <w:lang w:bidi="ar"/>
              </w:rPr>
              <w:t>内径及长度请投标人说明</w:t>
            </w:r>
            <w:r>
              <w:rPr>
                <w:rFonts w:cs="Calibri"/>
                <w:color w:val="auto"/>
                <w:sz w:val="20"/>
                <w:szCs w:val="20"/>
                <w:highlight w:val="none"/>
                <w:lang w:bidi="ar"/>
              </w:rPr>
              <w:t>，运行的噪音值≤</w:t>
            </w:r>
            <w:r>
              <w:rPr>
                <w:rFonts w:hint="eastAsia" w:cs="华文细黑"/>
                <w:color w:val="auto"/>
                <w:sz w:val="20"/>
                <w:szCs w:val="20"/>
                <w:highlight w:val="none"/>
                <w:lang w:bidi="ar"/>
              </w:rPr>
              <w:t>30</w:t>
            </w:r>
            <w:r>
              <w:rPr>
                <w:rFonts w:cs="Calibri"/>
                <w:color w:val="auto"/>
                <w:sz w:val="20"/>
                <w:szCs w:val="20"/>
                <w:highlight w:val="none"/>
                <w:lang w:bidi="ar"/>
              </w:rPr>
              <w:t>分贝，传输瓶支架材料：钢材，可存放载物筒数量：≥4</w:t>
            </w:r>
            <w:r>
              <w:rPr>
                <w:rFonts w:hint="eastAsia" w:cs="华文细黑"/>
                <w:color w:val="auto"/>
                <w:sz w:val="20"/>
                <w:szCs w:val="20"/>
                <w:highlight w:val="none"/>
                <w:lang w:bidi="ar"/>
              </w:rPr>
              <w:t>个。传输瓶带智能</w:t>
            </w:r>
            <w:r>
              <w:rPr>
                <w:rFonts w:cs="Calibri"/>
                <w:color w:val="auto"/>
                <w:sz w:val="20"/>
                <w:szCs w:val="20"/>
                <w:highlight w:val="none"/>
                <w:lang w:bidi="ar"/>
              </w:rPr>
              <w:t>IC</w:t>
            </w:r>
            <w:r>
              <w:rPr>
                <w:rFonts w:hint="eastAsia" w:cs="华文细黑"/>
                <w:color w:val="auto"/>
                <w:sz w:val="20"/>
                <w:szCs w:val="20"/>
                <w:highlight w:val="none"/>
                <w:lang w:bidi="ar"/>
              </w:rPr>
              <w:t>卡，可实现自动返回。</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9</w:t>
            </w:r>
            <w:r>
              <w:rPr>
                <w:rFonts w:cs="华文细黑"/>
                <w:b/>
                <w:color w:val="auto"/>
                <w:sz w:val="20"/>
                <w:szCs w:val="20"/>
                <w:highlight w:val="none"/>
                <w:lang w:bidi="ar"/>
              </w:rPr>
              <w:t>、</w:t>
            </w:r>
            <w:r>
              <w:rPr>
                <w:rFonts w:cs="Calibri"/>
                <w:b/>
                <w:color w:val="auto"/>
                <w:sz w:val="20"/>
                <w:szCs w:val="20"/>
                <w:highlight w:val="none"/>
                <w:lang w:bidi="ar"/>
              </w:rPr>
              <w:t>PVC</w:t>
            </w:r>
            <w:r>
              <w:rPr>
                <w:rFonts w:cs="华文细黑"/>
                <w:b/>
                <w:color w:val="auto"/>
                <w:sz w:val="20"/>
                <w:szCs w:val="20"/>
                <w:highlight w:val="none"/>
                <w:lang w:bidi="ar"/>
              </w:rPr>
              <w:t>直管</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用于传输瓶在收发站之间传送的通道，</w:t>
            </w:r>
            <w:r>
              <w:rPr>
                <w:rFonts w:hint="eastAsia" w:cs="华文细黑"/>
                <w:color w:val="auto"/>
                <w:sz w:val="20"/>
                <w:szCs w:val="20"/>
                <w:highlight w:val="none"/>
                <w:lang w:bidi="ar"/>
              </w:rPr>
              <w:t>内径及长度请投标人说明</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10</w:t>
            </w:r>
            <w:r>
              <w:rPr>
                <w:rFonts w:cs="华文细黑"/>
                <w:b/>
                <w:color w:val="auto"/>
                <w:sz w:val="20"/>
                <w:szCs w:val="20"/>
                <w:highlight w:val="none"/>
                <w:lang w:bidi="ar"/>
              </w:rPr>
              <w:t>、</w:t>
            </w:r>
            <w:r>
              <w:rPr>
                <w:rFonts w:cs="Calibri"/>
                <w:b/>
                <w:color w:val="auto"/>
                <w:sz w:val="20"/>
                <w:szCs w:val="20"/>
                <w:highlight w:val="none"/>
                <w:lang w:bidi="ar"/>
              </w:rPr>
              <w:t>PVC</w:t>
            </w:r>
            <w:r>
              <w:rPr>
                <w:rFonts w:cs="华文细黑"/>
                <w:b/>
                <w:color w:val="auto"/>
                <w:sz w:val="20"/>
                <w:szCs w:val="20"/>
                <w:highlight w:val="none"/>
                <w:lang w:bidi="ar"/>
              </w:rPr>
              <w:t>弯管</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用于连接成直角的PVC</w:t>
            </w:r>
            <w:r>
              <w:rPr>
                <w:rFonts w:hint="eastAsia" w:cs="华文细黑"/>
                <w:color w:val="auto"/>
                <w:sz w:val="20"/>
                <w:szCs w:val="20"/>
                <w:highlight w:val="none"/>
                <w:lang w:bidi="ar"/>
              </w:rPr>
              <w:t>直管，请说明转弯半径、内径及外径</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11</w:t>
            </w:r>
            <w:r>
              <w:rPr>
                <w:rFonts w:cs="华文细黑"/>
                <w:b/>
                <w:color w:val="auto"/>
                <w:sz w:val="20"/>
                <w:szCs w:val="20"/>
                <w:highlight w:val="none"/>
                <w:lang w:bidi="ar"/>
              </w:rPr>
              <w:t>、连接套管</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用于同一水平PVC</w:t>
            </w:r>
            <w:r>
              <w:rPr>
                <w:rFonts w:hint="eastAsia" w:cs="华文细黑"/>
                <w:color w:val="auto"/>
                <w:sz w:val="20"/>
                <w:szCs w:val="20"/>
                <w:highlight w:val="none"/>
                <w:lang w:bidi="ar"/>
              </w:rPr>
              <w:t>直管间的连接，</w:t>
            </w:r>
            <w:r>
              <w:rPr>
                <w:rFonts w:cs="Calibri"/>
                <w:color w:val="auto"/>
                <w:sz w:val="20"/>
                <w:szCs w:val="20"/>
                <w:highlight w:val="none"/>
                <w:lang w:bidi="ar"/>
              </w:rPr>
              <w:t>UPVC</w:t>
            </w:r>
            <w:r>
              <w:rPr>
                <w:rFonts w:hint="eastAsia" w:cs="华文细黑"/>
                <w:color w:val="auto"/>
                <w:sz w:val="20"/>
                <w:szCs w:val="20"/>
                <w:highlight w:val="none"/>
                <w:lang w:bidi="ar"/>
              </w:rPr>
              <w:t>材质。</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12</w:t>
            </w:r>
            <w:r>
              <w:rPr>
                <w:rFonts w:cs="华文细黑"/>
                <w:b/>
                <w:color w:val="auto"/>
                <w:sz w:val="20"/>
                <w:szCs w:val="20"/>
                <w:highlight w:val="none"/>
                <w:lang w:bidi="ar"/>
              </w:rPr>
              <w:t>、阻火圈</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color w:val="auto"/>
                <w:sz w:val="20"/>
                <w:szCs w:val="20"/>
                <w:highlight w:val="none"/>
              </w:rPr>
            </w:pPr>
            <w:r>
              <w:rPr>
                <w:rFonts w:cs="Calibri"/>
                <w:color w:val="auto"/>
                <w:sz w:val="20"/>
                <w:szCs w:val="20"/>
                <w:highlight w:val="none"/>
                <w:lang w:bidi="ar"/>
              </w:rPr>
              <w:t>用于分割防火分区，</w:t>
            </w:r>
            <w:r>
              <w:rPr>
                <w:rFonts w:cs="微软雅黑"/>
                <w:color w:val="auto"/>
                <w:sz w:val="24"/>
                <w:highlight w:val="none"/>
                <w:lang w:bidi="ar"/>
              </w:rPr>
              <w:t xml:space="preserve"> </w:t>
            </w:r>
            <w:r>
              <w:rPr>
                <w:rFonts w:hint="eastAsia" w:cs="华文细黑"/>
                <w:color w:val="auto"/>
                <w:sz w:val="20"/>
                <w:szCs w:val="20"/>
                <w:highlight w:val="none"/>
                <w:lang w:bidi="ar"/>
              </w:rPr>
              <w:t>防火防烟时间≥</w:t>
            </w:r>
            <w:r>
              <w:rPr>
                <w:rFonts w:cs="Calibri"/>
                <w:color w:val="auto"/>
                <w:sz w:val="20"/>
                <w:szCs w:val="20"/>
                <w:highlight w:val="none"/>
                <w:lang w:bidi="ar"/>
              </w:rPr>
              <w:t>90</w:t>
            </w:r>
            <w:r>
              <w:rPr>
                <w:rFonts w:hint="eastAsia" w:cs="华文细黑"/>
                <w:color w:val="auto"/>
                <w:sz w:val="20"/>
                <w:szCs w:val="20"/>
                <w:highlight w:val="none"/>
                <w:lang w:bidi="ar"/>
              </w:rPr>
              <w:t>分钟。</w:t>
            </w:r>
            <w:r>
              <w:rPr>
                <w:rFonts w:cs="Calibri"/>
                <w:color w:val="auto"/>
                <w:sz w:val="20"/>
                <w:szCs w:val="20"/>
                <w:highlight w:val="none"/>
                <w:lang w:bidi="ar"/>
              </w:rPr>
              <w:t>需符合国家规范，投标文件中需提供检验报告</w:t>
            </w:r>
            <w:r>
              <w:rPr>
                <w:rFonts w:hint="eastAsia" w:cs="华文细黑"/>
                <w:color w:val="auto"/>
                <w:sz w:val="20"/>
                <w:szCs w:val="20"/>
                <w:highlight w:val="none"/>
                <w:lang w:bidi="ar"/>
              </w:rPr>
              <w:t>。</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w:t>
            </w:r>
            <w:r>
              <w:rPr>
                <w:rFonts w:cs="华文细黑"/>
                <w:b/>
                <w:color w:val="auto"/>
                <w:sz w:val="20"/>
                <w:szCs w:val="20"/>
                <w:highlight w:val="none"/>
                <w:lang w:bidi="ar"/>
              </w:rPr>
              <w:t>3</w:t>
            </w:r>
            <w:r>
              <w:rPr>
                <w:rFonts w:cs="Calibri"/>
                <w:b/>
                <w:color w:val="auto"/>
                <w:sz w:val="20"/>
                <w:szCs w:val="20"/>
                <w:highlight w:val="none"/>
                <w:lang w:bidi="ar"/>
              </w:rPr>
              <w:t>、</w:t>
            </w:r>
            <w:r>
              <w:rPr>
                <w:rFonts w:cs="华文细黑"/>
                <w:b/>
                <w:color w:val="auto"/>
                <w:sz w:val="20"/>
                <w:szCs w:val="20"/>
                <w:highlight w:val="none"/>
                <w:lang w:bidi="ar"/>
              </w:rPr>
              <w:t>管路粘接剂</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用于管道之间连接处的粘接和密封，管道粘接出不能有任何泄露点</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w:t>
            </w:r>
            <w:r>
              <w:rPr>
                <w:rFonts w:cs="华文细黑"/>
                <w:b/>
                <w:color w:val="auto"/>
                <w:sz w:val="20"/>
                <w:szCs w:val="20"/>
                <w:highlight w:val="none"/>
                <w:lang w:bidi="ar"/>
              </w:rPr>
              <w:t>4</w:t>
            </w:r>
            <w:r>
              <w:rPr>
                <w:rFonts w:cs="Calibri"/>
                <w:b/>
                <w:color w:val="auto"/>
                <w:sz w:val="20"/>
                <w:szCs w:val="20"/>
                <w:highlight w:val="none"/>
                <w:lang w:bidi="ar"/>
              </w:rPr>
              <w:t>、</w:t>
            </w:r>
            <w:r>
              <w:rPr>
                <w:rFonts w:cs="华文细黑"/>
                <w:b/>
                <w:color w:val="auto"/>
                <w:sz w:val="20"/>
                <w:szCs w:val="20"/>
                <w:highlight w:val="none"/>
                <w:lang w:bidi="ar"/>
              </w:rPr>
              <w:t>控制和电源电缆</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连接各转换器、工作站；控制板电缆为专用电缆具有双重屏闭功能</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w:t>
            </w:r>
            <w:r>
              <w:rPr>
                <w:rFonts w:cs="华文细黑"/>
                <w:b/>
                <w:color w:val="auto"/>
                <w:sz w:val="20"/>
                <w:szCs w:val="20"/>
                <w:highlight w:val="none"/>
                <w:lang w:bidi="ar"/>
              </w:rPr>
              <w:t>5</w:t>
            </w:r>
            <w:r>
              <w:rPr>
                <w:rFonts w:cs="Calibri"/>
                <w:b/>
                <w:color w:val="auto"/>
                <w:sz w:val="20"/>
                <w:szCs w:val="20"/>
                <w:highlight w:val="none"/>
                <w:lang w:bidi="ar"/>
              </w:rPr>
              <w:t>、</w:t>
            </w:r>
            <w:r>
              <w:rPr>
                <w:rFonts w:cs="华文细黑"/>
                <w:b/>
                <w:color w:val="auto"/>
                <w:sz w:val="20"/>
                <w:szCs w:val="20"/>
                <w:highlight w:val="none"/>
                <w:lang w:bidi="ar"/>
              </w:rPr>
              <w:t>管路及安装材料</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管道应达到建筑材料标准（国际标准</w:t>
            </w:r>
            <w:r>
              <w:rPr>
                <w:rFonts w:cs="Calibri"/>
                <w:color w:val="auto"/>
                <w:sz w:val="20"/>
                <w:szCs w:val="20"/>
                <w:highlight w:val="none"/>
                <w:lang w:bidi="ar"/>
              </w:rPr>
              <w:t>B1</w:t>
            </w:r>
            <w:r>
              <w:rPr>
                <w:rFonts w:hint="eastAsia" w:cs="华文细黑"/>
                <w:color w:val="auto"/>
                <w:sz w:val="20"/>
                <w:szCs w:val="20"/>
                <w:highlight w:val="none"/>
                <w:lang w:bidi="ar"/>
              </w:rPr>
              <w:t>级，适用温度</w:t>
            </w:r>
            <w:r>
              <w:rPr>
                <w:rFonts w:cs="Calibri"/>
                <w:color w:val="auto"/>
                <w:sz w:val="20"/>
                <w:szCs w:val="20"/>
                <w:highlight w:val="none"/>
                <w:lang w:bidi="ar"/>
              </w:rPr>
              <w:t>-15</w:t>
            </w:r>
            <w:r>
              <w:rPr>
                <w:rFonts w:hint="eastAsia" w:cs="华文细黑"/>
                <w:color w:val="auto"/>
                <w:sz w:val="20"/>
                <w:szCs w:val="20"/>
                <w:highlight w:val="none"/>
                <w:lang w:bidi="ar"/>
              </w:rPr>
              <w:t>℃</w:t>
            </w:r>
            <w:r>
              <w:rPr>
                <w:rFonts w:cs="Calibri"/>
                <w:color w:val="auto"/>
                <w:sz w:val="20"/>
                <w:szCs w:val="20"/>
                <w:highlight w:val="none"/>
                <w:lang w:bidi="ar"/>
              </w:rPr>
              <w:t>--+60</w:t>
            </w:r>
            <w:r>
              <w:rPr>
                <w:rFonts w:hint="eastAsia" w:cs="华文细黑"/>
                <w:color w:val="auto"/>
                <w:sz w:val="20"/>
                <w:szCs w:val="20"/>
                <w:highlight w:val="none"/>
                <w:lang w:bidi="ar"/>
              </w:rPr>
              <w:t>℃）；管道具有耐磨性、防腐性、抗压性及抗静电性能；管道可在室外安装。</w:t>
            </w:r>
          </w:p>
        </w:tc>
      </w:tr>
      <w:tr>
        <w:tblPrEx>
          <w:tblCellMar>
            <w:top w:w="0" w:type="dxa"/>
            <w:left w:w="0" w:type="dxa"/>
            <w:bottom w:w="0" w:type="dxa"/>
            <w:right w:w="0" w:type="dxa"/>
          </w:tblCellMar>
        </w:tblPrEx>
        <w:trPr>
          <w:trHeight w:val="4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w:t>
            </w:r>
            <w:r>
              <w:rPr>
                <w:rFonts w:cs="华文细黑"/>
                <w:b/>
                <w:color w:val="auto"/>
                <w:sz w:val="20"/>
                <w:szCs w:val="20"/>
                <w:highlight w:val="none"/>
                <w:lang w:bidi="ar"/>
              </w:rPr>
              <w:t>7</w:t>
            </w:r>
            <w:r>
              <w:rPr>
                <w:rFonts w:cs="Calibri"/>
                <w:b/>
                <w:color w:val="auto"/>
                <w:sz w:val="20"/>
                <w:szCs w:val="20"/>
                <w:highlight w:val="none"/>
                <w:lang w:bidi="ar"/>
              </w:rPr>
              <w:t>、</w:t>
            </w:r>
            <w:r>
              <w:rPr>
                <w:rFonts w:cs="华文细黑"/>
                <w:b/>
                <w:color w:val="auto"/>
                <w:sz w:val="20"/>
                <w:szCs w:val="20"/>
                <w:highlight w:val="none"/>
                <w:lang w:bidi="ar"/>
              </w:rPr>
              <w:t>电源</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具有防雷击、防杂波、防输出短路保护功能</w:t>
            </w:r>
          </w:p>
        </w:tc>
      </w:tr>
      <w:tr>
        <w:tblPrEx>
          <w:tblCellMar>
            <w:top w:w="0" w:type="dxa"/>
            <w:left w:w="0" w:type="dxa"/>
            <w:bottom w:w="0" w:type="dxa"/>
            <w:right w:w="0" w:type="dxa"/>
          </w:tblCellMar>
        </w:tblPrEx>
        <w:trPr>
          <w:trHeight w:val="1180" w:hRule="atLeast"/>
        </w:trPr>
        <w:tc>
          <w:tcPr>
            <w:tcW w:w="2030"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Calibri"/>
                <w:b/>
                <w:color w:val="auto"/>
                <w:sz w:val="20"/>
                <w:szCs w:val="20"/>
                <w:highlight w:val="none"/>
              </w:rPr>
            </w:pPr>
            <w:r>
              <w:rPr>
                <w:rFonts w:cs="Calibri"/>
                <w:b/>
                <w:color w:val="auto"/>
                <w:sz w:val="20"/>
                <w:szCs w:val="20"/>
                <w:highlight w:val="none"/>
                <w:lang w:bidi="ar"/>
              </w:rPr>
              <w:t>1</w:t>
            </w:r>
            <w:r>
              <w:rPr>
                <w:rFonts w:cs="华文细黑"/>
                <w:b/>
                <w:color w:val="auto"/>
                <w:sz w:val="20"/>
                <w:szCs w:val="20"/>
                <w:highlight w:val="none"/>
                <w:lang w:bidi="ar"/>
              </w:rPr>
              <w:t>9</w:t>
            </w:r>
            <w:r>
              <w:rPr>
                <w:rFonts w:cs="Calibri"/>
                <w:b/>
                <w:color w:val="auto"/>
                <w:sz w:val="20"/>
                <w:szCs w:val="20"/>
                <w:highlight w:val="none"/>
                <w:lang w:bidi="ar"/>
              </w:rPr>
              <w:t>、</w:t>
            </w:r>
            <w:r>
              <w:rPr>
                <w:rFonts w:cs="华文细黑"/>
                <w:b/>
                <w:color w:val="auto"/>
                <w:sz w:val="20"/>
                <w:szCs w:val="20"/>
                <w:highlight w:val="none"/>
                <w:lang w:bidi="ar"/>
              </w:rPr>
              <w:t>质量保证期</w:t>
            </w:r>
          </w:p>
        </w:tc>
        <w:tc>
          <w:tcPr>
            <w:tcW w:w="6774" w:type="dxa"/>
            <w:tcBorders>
              <w:top w:val="single" w:color="000000" w:sz="8" w:space="0"/>
              <w:left w:val="single" w:color="000000" w:sz="8" w:space="0"/>
              <w:bottom w:val="single" w:color="000000" w:sz="8" w:space="0"/>
              <w:right w:val="single" w:color="000000" w:sz="8" w:space="0"/>
            </w:tcBorders>
            <w:tcMar>
              <w:top w:w="15" w:type="dxa"/>
              <w:left w:w="15" w:type="dxa"/>
              <w:right w:w="15" w:type="dxa"/>
            </w:tcMar>
            <w:vAlign w:val="center"/>
          </w:tcPr>
          <w:p>
            <w:pPr>
              <w:widowControl/>
              <w:textAlignment w:val="center"/>
              <w:rPr>
                <w:rFonts w:cs="华文细黑"/>
                <w:color w:val="auto"/>
                <w:sz w:val="20"/>
                <w:szCs w:val="20"/>
                <w:highlight w:val="none"/>
              </w:rPr>
            </w:pPr>
            <w:r>
              <w:rPr>
                <w:rFonts w:hint="eastAsia" w:cs="华文细黑"/>
                <w:color w:val="auto"/>
                <w:sz w:val="20"/>
                <w:szCs w:val="20"/>
                <w:highlight w:val="none"/>
                <w:lang w:bidi="ar"/>
              </w:rPr>
              <w:t>质量保证期为24个月含免费维修和保养（评分中承诺的质保期需包含免费维修和保养），时间从</w:t>
            </w:r>
            <w:r>
              <w:rPr>
                <w:rFonts w:hint="eastAsia" w:cs="华文细黑"/>
                <w:b w:val="0"/>
                <w:bCs w:val="0"/>
                <w:color w:val="auto"/>
                <w:sz w:val="20"/>
                <w:szCs w:val="20"/>
                <w:highlight w:val="none"/>
                <w:lang w:bidi="ar"/>
              </w:rPr>
              <w:t>使用人</w:t>
            </w:r>
            <w:r>
              <w:rPr>
                <w:rFonts w:hint="eastAsia" w:cs="华文细黑"/>
                <w:color w:val="auto"/>
                <w:sz w:val="20"/>
                <w:szCs w:val="20"/>
                <w:highlight w:val="none"/>
                <w:lang w:bidi="ar"/>
              </w:rPr>
              <w:t>使用产品之日算起。在此期间，医用气动物流传输系统因制造、安装而发生损坏或不能正常工作时，中标人应负责免费维修或更换零部件，并赔偿招标人损失</w:t>
            </w:r>
          </w:p>
        </w:tc>
      </w:tr>
    </w:tbl>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pStyle w:val="2"/>
        <w:rPr>
          <w:color w:val="auto"/>
          <w:highlight w:val="none"/>
        </w:rPr>
      </w:pPr>
    </w:p>
    <w:p>
      <w:pPr>
        <w:pStyle w:val="3"/>
        <w:rPr>
          <w:color w:val="auto"/>
          <w:highlight w:val="none"/>
        </w:rPr>
      </w:pPr>
    </w:p>
    <w:p>
      <w:pPr>
        <w:rPr>
          <w:color w:val="auto"/>
          <w:highlight w:val="none"/>
        </w:rPr>
      </w:pPr>
    </w:p>
    <w:p>
      <w:pPr>
        <w:rPr>
          <w:color w:val="auto"/>
          <w:highlight w:val="none"/>
        </w:rPr>
      </w:pPr>
    </w:p>
    <w:p>
      <w:pPr>
        <w:pStyle w:val="25"/>
        <w:ind w:firstLine="340"/>
        <w:rPr>
          <w:color w:val="auto"/>
          <w:highlight w:val="none"/>
        </w:rPr>
      </w:pPr>
    </w:p>
    <w:p>
      <w:pPr>
        <w:pStyle w:val="46"/>
        <w:ind w:firstLine="0" w:firstLineChars="0"/>
        <w:rPr>
          <w:b/>
          <w:color w:val="auto"/>
          <w:sz w:val="24"/>
          <w:highlight w:val="none"/>
        </w:rPr>
      </w:pPr>
      <w:r>
        <w:rPr>
          <w:rFonts w:hint="eastAsia"/>
          <w:color w:val="auto"/>
          <w:highlight w:val="none"/>
        </w:rPr>
        <w:t>三、</w:t>
      </w:r>
      <w:r>
        <w:rPr>
          <w:rFonts w:hint="eastAsia"/>
          <w:b/>
          <w:color w:val="auto"/>
          <w:sz w:val="24"/>
          <w:highlight w:val="none"/>
        </w:rPr>
        <w:t>系统站点设置一览表</w:t>
      </w:r>
    </w:p>
    <w:p>
      <w:pPr>
        <w:rPr>
          <w:b/>
          <w:color w:val="auto"/>
          <w:sz w:val="24"/>
          <w:highlight w:val="none"/>
        </w:rPr>
      </w:pPr>
      <w:r>
        <w:rPr>
          <w:rFonts w:hint="eastAsia"/>
          <w:b/>
          <w:color w:val="auto"/>
          <w:sz w:val="24"/>
          <w:highlight w:val="none"/>
        </w:rPr>
        <w:t>表一：箱式物流传输系统通道及站点统计站点设置一览表</w:t>
      </w:r>
    </w:p>
    <w:tbl>
      <w:tblPr>
        <w:tblStyle w:val="26"/>
        <w:tblW w:w="10125" w:type="dxa"/>
        <w:jc w:val="center"/>
        <w:tblLayout w:type="fixed"/>
        <w:tblCellMar>
          <w:top w:w="0" w:type="dxa"/>
          <w:left w:w="108" w:type="dxa"/>
          <w:bottom w:w="0" w:type="dxa"/>
          <w:right w:w="108" w:type="dxa"/>
        </w:tblCellMar>
      </w:tblPr>
      <w:tblGrid>
        <w:gridCol w:w="576"/>
        <w:gridCol w:w="756"/>
        <w:gridCol w:w="756"/>
        <w:gridCol w:w="856"/>
        <w:gridCol w:w="765"/>
        <w:gridCol w:w="675"/>
        <w:gridCol w:w="1005"/>
        <w:gridCol w:w="765"/>
        <w:gridCol w:w="765"/>
        <w:gridCol w:w="600"/>
        <w:gridCol w:w="585"/>
        <w:gridCol w:w="600"/>
        <w:gridCol w:w="600"/>
        <w:gridCol w:w="821"/>
      </w:tblGrid>
      <w:tr>
        <w:tblPrEx>
          <w:tblCellMar>
            <w:top w:w="0" w:type="dxa"/>
            <w:left w:w="108" w:type="dxa"/>
            <w:bottom w:w="0" w:type="dxa"/>
            <w:right w:w="108" w:type="dxa"/>
          </w:tblCellMar>
        </w:tblPrEx>
        <w:trPr>
          <w:trHeight w:val="520" w:hRule="atLeast"/>
          <w:jc w:val="center"/>
        </w:trPr>
        <w:tc>
          <w:tcPr>
            <w:tcW w:w="10125" w:type="dxa"/>
            <w:gridSpan w:val="14"/>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b/>
                <w:bCs/>
                <w:color w:val="auto"/>
                <w:sz w:val="18"/>
                <w:szCs w:val="18"/>
                <w:highlight w:val="none"/>
              </w:rPr>
            </w:pPr>
            <w:r>
              <w:rPr>
                <w:rFonts w:hint="eastAsia"/>
                <w:color w:val="auto"/>
                <w:sz w:val="18"/>
                <w:szCs w:val="18"/>
                <w:highlight w:val="none"/>
                <w:lang w:bidi="ar"/>
              </w:rPr>
              <w:t>箱式物流传输系统通道及站点统计站点设置一览表</w:t>
            </w:r>
          </w:p>
        </w:tc>
      </w:tr>
      <w:tr>
        <w:tblPrEx>
          <w:tblCellMar>
            <w:top w:w="0" w:type="dxa"/>
            <w:left w:w="108" w:type="dxa"/>
            <w:bottom w:w="0" w:type="dxa"/>
            <w:right w:w="108" w:type="dxa"/>
          </w:tblCellMar>
        </w:tblPrEx>
        <w:trPr>
          <w:trHeight w:val="42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578" w:type="dxa"/>
            <w:gridSpan w:val="7"/>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住院楼</w:t>
            </w:r>
          </w:p>
        </w:tc>
        <w:tc>
          <w:tcPr>
            <w:tcW w:w="3150" w:type="dxa"/>
            <w:gridSpan w:val="5"/>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医技楼</w:t>
            </w:r>
          </w:p>
        </w:tc>
        <w:tc>
          <w:tcPr>
            <w:tcW w:w="82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行政后勤楼</w:t>
            </w:r>
          </w:p>
        </w:tc>
      </w:tr>
      <w:tr>
        <w:tblPrEx>
          <w:tblCellMar>
            <w:top w:w="0" w:type="dxa"/>
            <w:left w:w="108" w:type="dxa"/>
            <w:bottom w:w="0" w:type="dxa"/>
            <w:right w:w="108" w:type="dxa"/>
          </w:tblCellMar>
        </w:tblPrEx>
        <w:trPr>
          <w:trHeight w:val="543"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LT1</w:t>
            </w:r>
          </w:p>
        </w:tc>
        <w:tc>
          <w:tcPr>
            <w:tcW w:w="7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LT2</w:t>
            </w:r>
          </w:p>
        </w:tc>
        <w:tc>
          <w:tcPr>
            <w:tcW w:w="8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LT3</w:t>
            </w:r>
          </w:p>
        </w:tc>
        <w:tc>
          <w:tcPr>
            <w:tcW w:w="76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LT6</w:t>
            </w:r>
          </w:p>
        </w:tc>
        <w:tc>
          <w:tcPr>
            <w:tcW w:w="6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LT8</w:t>
            </w:r>
          </w:p>
        </w:tc>
        <w:tc>
          <w:tcPr>
            <w:tcW w:w="10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LT9</w:t>
            </w:r>
          </w:p>
        </w:tc>
        <w:tc>
          <w:tcPr>
            <w:tcW w:w="76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井道LT14</w:t>
            </w:r>
          </w:p>
        </w:tc>
        <w:tc>
          <w:tcPr>
            <w:tcW w:w="76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LT4</w:t>
            </w:r>
          </w:p>
        </w:tc>
        <w:tc>
          <w:tcPr>
            <w:tcW w:w="6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LT5</w:t>
            </w: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井道LT13</w:t>
            </w:r>
          </w:p>
        </w:tc>
        <w:tc>
          <w:tcPr>
            <w:tcW w:w="6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井道LT11</w:t>
            </w:r>
          </w:p>
        </w:tc>
        <w:tc>
          <w:tcPr>
            <w:tcW w:w="6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井道LT12</w:t>
            </w:r>
          </w:p>
        </w:tc>
        <w:tc>
          <w:tcPr>
            <w:tcW w:w="8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井道</w:t>
            </w:r>
            <w:r>
              <w:rPr>
                <w:rFonts w:hint="eastAsia"/>
                <w:color w:val="auto"/>
                <w:sz w:val="18"/>
                <w:szCs w:val="18"/>
                <w:highlight w:val="none"/>
                <w:lang w:bidi="ar"/>
              </w:rPr>
              <w:br w:type="textWrapping"/>
            </w:r>
            <w:r>
              <w:rPr>
                <w:rFonts w:hint="eastAsia"/>
                <w:color w:val="auto"/>
                <w:sz w:val="18"/>
                <w:szCs w:val="18"/>
                <w:highlight w:val="none"/>
                <w:lang w:bidi="ar"/>
              </w:rPr>
              <w:t>LT7</w:t>
            </w: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12F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lang w:bidi="ar"/>
              </w:rPr>
            </w:pPr>
            <w:r>
              <w:rPr>
                <w:rFonts w:hint="eastAsia"/>
                <w:color w:val="auto"/>
                <w:sz w:val="18"/>
                <w:szCs w:val="18"/>
                <w:highlight w:val="none"/>
                <w:lang w:bidi="ar"/>
              </w:rPr>
              <w:t>预留站点</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9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11F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lang w:bidi="ar"/>
              </w:rPr>
            </w:pPr>
            <w:r>
              <w:rPr>
                <w:rFonts w:hint="eastAsia"/>
                <w:color w:val="auto"/>
                <w:sz w:val="18"/>
                <w:szCs w:val="18"/>
                <w:highlight w:val="none"/>
                <w:lang w:bidi="ar"/>
              </w:rPr>
              <w:t>预留站点</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10F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lang w:bidi="ar"/>
              </w:rPr>
            </w:pPr>
            <w:r>
              <w:rPr>
                <w:rFonts w:hint="eastAsia"/>
                <w:color w:val="auto"/>
                <w:sz w:val="18"/>
                <w:szCs w:val="18"/>
                <w:highlight w:val="none"/>
                <w:lang w:bidi="ar"/>
              </w:rPr>
              <w:t>预留站点</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5"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9F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8F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7F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6F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5F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4F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MICU</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输血科</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分娩室</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手术室</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3F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PICU</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NICU</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NICU</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生殖医学</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病理科</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00" w:hRule="atLeast"/>
          <w:jc w:val="center"/>
        </w:trPr>
        <w:tc>
          <w:tcPr>
            <w:tcW w:w="57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2F</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5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病案室</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遗传科</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体检中心</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生殖诊室</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检验科</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458"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1F</w:t>
            </w:r>
          </w:p>
        </w:tc>
        <w:tc>
          <w:tcPr>
            <w:tcW w:w="7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中心供应</w:t>
            </w:r>
          </w:p>
        </w:tc>
        <w:tc>
          <w:tcPr>
            <w:tcW w:w="75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静配中心</w:t>
            </w:r>
          </w:p>
        </w:tc>
        <w:tc>
          <w:tcPr>
            <w:tcW w:w="856"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西药房</w:t>
            </w:r>
          </w:p>
        </w:tc>
        <w:tc>
          <w:tcPr>
            <w:tcW w:w="67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中心药房</w:t>
            </w:r>
          </w:p>
        </w:tc>
        <w:tc>
          <w:tcPr>
            <w:tcW w:w="100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采供中心</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放射科</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58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中药库</w:t>
            </w:r>
          </w:p>
        </w:tc>
        <w:tc>
          <w:tcPr>
            <w:tcW w:w="6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中药房</w:t>
            </w:r>
          </w:p>
        </w:tc>
        <w:tc>
          <w:tcPr>
            <w:tcW w:w="6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急诊科</w:t>
            </w:r>
          </w:p>
        </w:tc>
        <w:tc>
          <w:tcPr>
            <w:tcW w:w="821"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西药库</w:t>
            </w:r>
          </w:p>
        </w:tc>
      </w:tr>
      <w:tr>
        <w:tblPrEx>
          <w:tblCellMar>
            <w:top w:w="0" w:type="dxa"/>
            <w:left w:w="108" w:type="dxa"/>
            <w:bottom w:w="0" w:type="dxa"/>
            <w:right w:w="108" w:type="dxa"/>
          </w:tblCellMar>
        </w:tblPrEx>
        <w:trPr>
          <w:trHeight w:val="148" w:hRule="atLeast"/>
          <w:jc w:val="center"/>
        </w:trPr>
        <w:tc>
          <w:tcPr>
            <w:tcW w:w="576" w:type="dxa"/>
            <w:vMerge w:val="restart"/>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B1F</w:t>
            </w:r>
          </w:p>
        </w:tc>
        <w:tc>
          <w:tcPr>
            <w:tcW w:w="3808" w:type="dxa"/>
            <w:gridSpan w:val="5"/>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nil"/>
              <w:bottom w:val="single" w:color="000000" w:sz="4" w:space="0"/>
              <w:right w:val="single" w:color="000000" w:sz="4" w:space="0"/>
            </w:tcBorders>
            <w:noWrap/>
            <w:vAlign w:val="center"/>
          </w:tcPr>
          <w:p>
            <w:pPr>
              <w:rPr>
                <w:color w:val="auto"/>
                <w:sz w:val="18"/>
                <w:szCs w:val="18"/>
                <w:highlight w:val="none"/>
              </w:rPr>
            </w:pPr>
          </w:p>
        </w:tc>
        <w:tc>
          <w:tcPr>
            <w:tcW w:w="4736" w:type="dxa"/>
            <w:gridSpan w:val="7"/>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270" w:hRule="atLeast"/>
          <w:jc w:val="center"/>
        </w:trPr>
        <w:tc>
          <w:tcPr>
            <w:tcW w:w="576" w:type="dxa"/>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56"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7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0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清洁被服</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配餐</w:t>
            </w:r>
          </w:p>
        </w:tc>
        <w:tc>
          <w:tcPr>
            <w:tcW w:w="58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c>
          <w:tcPr>
            <w:tcW w:w="821" w:type="dxa"/>
            <w:tcBorders>
              <w:top w:val="single" w:color="000000" w:sz="4" w:space="0"/>
              <w:left w:val="single" w:color="000000" w:sz="4" w:space="0"/>
              <w:bottom w:val="single" w:color="000000" w:sz="4" w:space="0"/>
              <w:right w:val="single" w:color="000000" w:sz="4" w:space="0"/>
            </w:tcBorders>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441" w:hRule="atLeast"/>
          <w:jc w:val="center"/>
        </w:trPr>
        <w:tc>
          <w:tcPr>
            <w:tcW w:w="576"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站点数量</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8+3</w:t>
            </w:r>
          </w:p>
        </w:tc>
        <w:tc>
          <w:tcPr>
            <w:tcW w:w="7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12</w:t>
            </w:r>
          </w:p>
        </w:tc>
        <w:tc>
          <w:tcPr>
            <w:tcW w:w="85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11</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w:t>
            </w:r>
          </w:p>
        </w:tc>
        <w:tc>
          <w:tcPr>
            <w:tcW w:w="67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w:t>
            </w:r>
          </w:p>
        </w:tc>
        <w:tc>
          <w:tcPr>
            <w:tcW w:w="100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3</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w:t>
            </w:r>
          </w:p>
        </w:tc>
        <w:tc>
          <w:tcPr>
            <w:tcW w:w="76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4</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w:t>
            </w:r>
          </w:p>
        </w:tc>
        <w:tc>
          <w:tcPr>
            <w:tcW w:w="58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w:t>
            </w:r>
          </w:p>
        </w:tc>
        <w:tc>
          <w:tcPr>
            <w:tcW w:w="821"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1</w:t>
            </w:r>
          </w:p>
        </w:tc>
      </w:tr>
      <w:tr>
        <w:tblPrEx>
          <w:tblCellMar>
            <w:top w:w="0" w:type="dxa"/>
            <w:left w:w="108" w:type="dxa"/>
            <w:bottom w:w="0" w:type="dxa"/>
            <w:right w:w="108" w:type="dxa"/>
          </w:tblCellMar>
        </w:tblPrEx>
        <w:trPr>
          <w:trHeight w:val="270" w:hRule="atLeast"/>
          <w:jc w:val="center"/>
        </w:trPr>
        <w:tc>
          <w:tcPr>
            <w:tcW w:w="576"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合计</w:t>
            </w:r>
          </w:p>
        </w:tc>
        <w:tc>
          <w:tcPr>
            <w:tcW w:w="9549" w:type="dxa"/>
            <w:gridSpan w:val="13"/>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b/>
                <w:bCs/>
                <w:color w:val="auto"/>
                <w:sz w:val="18"/>
                <w:szCs w:val="18"/>
                <w:highlight w:val="none"/>
              </w:rPr>
            </w:pPr>
            <w:r>
              <w:rPr>
                <w:rFonts w:hint="eastAsia"/>
                <w:b/>
                <w:bCs/>
                <w:color w:val="auto"/>
                <w:sz w:val="18"/>
                <w:szCs w:val="18"/>
                <w:highlight w:val="none"/>
                <w:lang w:bidi="ar"/>
              </w:rPr>
              <w:t>46+3（其中儿科LT1井道 10F~12F为3个预留站点）</w:t>
            </w:r>
          </w:p>
        </w:tc>
      </w:tr>
    </w:tbl>
    <w:p>
      <w:pPr>
        <w:rPr>
          <w:color w:val="auto"/>
          <w:highlight w:val="none"/>
        </w:rPr>
      </w:pPr>
    </w:p>
    <w:p>
      <w:pPr>
        <w:rPr>
          <w:b/>
          <w:color w:val="auto"/>
          <w:sz w:val="24"/>
          <w:highlight w:val="none"/>
        </w:rPr>
      </w:pPr>
      <w:r>
        <w:rPr>
          <w:rFonts w:hint="eastAsia"/>
          <w:b/>
          <w:color w:val="auto"/>
          <w:sz w:val="24"/>
          <w:highlight w:val="none"/>
        </w:rPr>
        <w:t>表二：气动物流传输系统设置一览表</w:t>
      </w:r>
    </w:p>
    <w:tbl>
      <w:tblPr>
        <w:tblStyle w:val="26"/>
        <w:tblW w:w="9000" w:type="dxa"/>
        <w:jc w:val="center"/>
        <w:tblLayout w:type="fixed"/>
        <w:tblCellMar>
          <w:top w:w="0" w:type="dxa"/>
          <w:left w:w="108" w:type="dxa"/>
          <w:bottom w:w="0" w:type="dxa"/>
          <w:right w:w="108" w:type="dxa"/>
        </w:tblCellMar>
      </w:tblPr>
      <w:tblGrid>
        <w:gridCol w:w="642"/>
        <w:gridCol w:w="843"/>
        <w:gridCol w:w="843"/>
        <w:gridCol w:w="898"/>
        <w:gridCol w:w="615"/>
        <w:gridCol w:w="600"/>
        <w:gridCol w:w="690"/>
        <w:gridCol w:w="645"/>
        <w:gridCol w:w="615"/>
        <w:gridCol w:w="803"/>
        <w:gridCol w:w="758"/>
        <w:gridCol w:w="1048"/>
      </w:tblGrid>
      <w:tr>
        <w:tblPrEx>
          <w:tblCellMar>
            <w:top w:w="0" w:type="dxa"/>
            <w:left w:w="108" w:type="dxa"/>
            <w:bottom w:w="0" w:type="dxa"/>
            <w:right w:w="108" w:type="dxa"/>
          </w:tblCellMar>
        </w:tblPrEx>
        <w:trPr>
          <w:trHeight w:val="90" w:hRule="atLeast"/>
          <w:jc w:val="center"/>
        </w:trPr>
        <w:tc>
          <w:tcPr>
            <w:tcW w:w="9000" w:type="dxa"/>
            <w:gridSpan w:val="12"/>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气动物流传输系统设置一览表</w:t>
            </w:r>
          </w:p>
        </w:tc>
      </w:tr>
      <w:tr>
        <w:tblPrEx>
          <w:tblCellMar>
            <w:top w:w="0" w:type="dxa"/>
            <w:left w:w="108" w:type="dxa"/>
            <w:bottom w:w="0" w:type="dxa"/>
            <w:right w:w="108" w:type="dxa"/>
          </w:tblCellMar>
        </w:tblPrEx>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12F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305"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11F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10F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9F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8F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7F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6F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blPrEx>
          <w:tblCellMar>
            <w:top w:w="0" w:type="dxa"/>
            <w:left w:w="108" w:type="dxa"/>
            <w:bottom w:w="0" w:type="dxa"/>
            <w:right w:w="108" w:type="dxa"/>
          </w:tblCellMar>
        </w:tblPrEx>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5F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护士站</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r>
      <w:tr>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4F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MICU</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输血科</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分娩室</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vAlign w:val="center"/>
          </w:tcPr>
          <w:p>
            <w:pP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手术室</w:t>
            </w:r>
          </w:p>
        </w:tc>
      </w:tr>
      <w:tr>
        <w:trPr>
          <w:trHeight w:val="215"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3F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PICU</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NICU</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NICU</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病理科</w:t>
            </w:r>
          </w:p>
        </w:tc>
      </w:tr>
      <w:tr>
        <w:trPr>
          <w:trHeight w:val="515"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2F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检验科</w:t>
            </w:r>
          </w:p>
        </w:tc>
        <w:tc>
          <w:tcPr>
            <w:tcW w:w="89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PCP实验室</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生殖诊室</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90"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4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15" w:type="dxa"/>
            <w:tcBorders>
              <w:top w:val="single" w:color="000000" w:sz="4" w:space="0"/>
              <w:left w:val="single" w:color="000000" w:sz="4" w:space="0"/>
              <w:bottom w:val="single" w:color="000000" w:sz="4" w:space="0"/>
              <w:right w:val="single" w:color="000000" w:sz="4" w:space="0"/>
            </w:tcBorders>
            <w:noWrap/>
            <w:vAlign w:val="center"/>
          </w:tcPr>
          <w:p>
            <w:pPr>
              <w:rPr>
                <w:color w:val="auto"/>
                <w:sz w:val="18"/>
                <w:szCs w:val="18"/>
                <w:highlight w:val="none"/>
              </w:rPr>
            </w:pPr>
          </w:p>
        </w:tc>
        <w:tc>
          <w:tcPr>
            <w:tcW w:w="803" w:type="dxa"/>
            <w:tcBorders>
              <w:top w:val="single" w:color="000000" w:sz="4" w:space="0"/>
              <w:left w:val="single" w:color="000000" w:sz="4" w:space="0"/>
              <w:bottom w:val="single" w:color="000000" w:sz="4" w:space="0"/>
              <w:right w:val="single" w:color="000000" w:sz="4" w:space="0"/>
            </w:tcBorders>
            <w:noWrap/>
            <w:vAlign w:val="center"/>
          </w:tcPr>
          <w:p>
            <w:pPr>
              <w:rPr>
                <w:color w:val="auto"/>
                <w:sz w:val="18"/>
                <w:szCs w:val="18"/>
                <w:highlight w:val="none"/>
              </w:rPr>
            </w:pPr>
          </w:p>
        </w:tc>
        <w:tc>
          <w:tcPr>
            <w:tcW w:w="758" w:type="dxa"/>
            <w:tcBorders>
              <w:top w:val="single" w:color="000000" w:sz="4" w:space="0"/>
              <w:left w:val="single" w:color="000000" w:sz="4" w:space="0"/>
              <w:bottom w:val="single" w:color="000000" w:sz="4" w:space="0"/>
              <w:right w:val="single" w:color="000000" w:sz="4" w:space="0"/>
            </w:tcBorders>
            <w:noWrap/>
            <w:vAlign w:val="center"/>
          </w:tcPr>
          <w:p>
            <w:pPr>
              <w:rPr>
                <w:color w:val="auto"/>
                <w:sz w:val="18"/>
                <w:szCs w:val="18"/>
                <w:highlight w:val="none"/>
              </w:rPr>
            </w:pPr>
          </w:p>
        </w:tc>
        <w:tc>
          <w:tcPr>
            <w:tcW w:w="104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检验科</w:t>
            </w:r>
          </w:p>
        </w:tc>
      </w:tr>
      <w:tr>
        <w:trPr>
          <w:trHeight w:val="487"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1F</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中心药房</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临床药学室</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jc w:val="center"/>
              <w:rPr>
                <w:color w:val="auto"/>
                <w:sz w:val="18"/>
                <w:szCs w:val="18"/>
                <w:highlight w:val="none"/>
              </w:rPr>
            </w:pPr>
          </w:p>
        </w:tc>
        <w:tc>
          <w:tcPr>
            <w:tcW w:w="60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住院服务中心</w:t>
            </w:r>
          </w:p>
        </w:tc>
        <w:tc>
          <w:tcPr>
            <w:tcW w:w="690"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门诊西药房</w:t>
            </w:r>
          </w:p>
        </w:tc>
        <w:tc>
          <w:tcPr>
            <w:tcW w:w="64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急诊抢救室</w:t>
            </w:r>
          </w:p>
        </w:tc>
        <w:tc>
          <w:tcPr>
            <w:tcW w:w="615"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急诊药房</w:t>
            </w:r>
          </w:p>
        </w:tc>
        <w:tc>
          <w:tcPr>
            <w:tcW w:w="803"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急诊检验科</w:t>
            </w:r>
          </w:p>
        </w:tc>
        <w:tc>
          <w:tcPr>
            <w:tcW w:w="75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肠道门诊检验</w:t>
            </w:r>
          </w:p>
        </w:tc>
        <w:tc>
          <w:tcPr>
            <w:tcW w:w="104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color w:val="auto"/>
                <w:sz w:val="18"/>
                <w:szCs w:val="18"/>
                <w:highlight w:val="none"/>
              </w:rPr>
            </w:pPr>
            <w:r>
              <w:rPr>
                <w:rFonts w:hint="eastAsia"/>
                <w:color w:val="auto"/>
                <w:sz w:val="18"/>
                <w:szCs w:val="18"/>
                <w:highlight w:val="none"/>
                <w:lang w:bidi="ar"/>
              </w:rPr>
              <w:t>发热门诊</w:t>
            </w:r>
          </w:p>
        </w:tc>
      </w:tr>
      <w:tr>
        <w:trPr>
          <w:trHeight w:val="26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小计</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4</w:t>
            </w:r>
          </w:p>
        </w:tc>
        <w:tc>
          <w:tcPr>
            <w:tcW w:w="84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12</w:t>
            </w:r>
          </w:p>
        </w:tc>
        <w:tc>
          <w:tcPr>
            <w:tcW w:w="89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12</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w:t>
            </w:r>
          </w:p>
        </w:tc>
        <w:tc>
          <w:tcPr>
            <w:tcW w:w="60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w:t>
            </w:r>
          </w:p>
        </w:tc>
        <w:tc>
          <w:tcPr>
            <w:tcW w:w="690"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w:t>
            </w:r>
          </w:p>
        </w:tc>
        <w:tc>
          <w:tcPr>
            <w:tcW w:w="64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w:t>
            </w:r>
          </w:p>
        </w:tc>
        <w:tc>
          <w:tcPr>
            <w:tcW w:w="615"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w:t>
            </w:r>
          </w:p>
        </w:tc>
        <w:tc>
          <w:tcPr>
            <w:tcW w:w="803"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w:t>
            </w:r>
          </w:p>
        </w:tc>
        <w:tc>
          <w:tcPr>
            <w:tcW w:w="75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1</w:t>
            </w:r>
          </w:p>
        </w:tc>
        <w:tc>
          <w:tcPr>
            <w:tcW w:w="1048"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4</w:t>
            </w:r>
          </w:p>
        </w:tc>
      </w:tr>
      <w:tr>
        <w:tblPrEx>
          <w:tblCellMar>
            <w:top w:w="0" w:type="dxa"/>
            <w:left w:w="108" w:type="dxa"/>
            <w:bottom w:w="0" w:type="dxa"/>
            <w:right w:w="108" w:type="dxa"/>
          </w:tblCellMar>
        </w:tblPrEx>
        <w:trPr>
          <w:trHeight w:val="300" w:hRule="atLeast"/>
          <w:jc w:val="center"/>
        </w:trPr>
        <w:tc>
          <w:tcPr>
            <w:tcW w:w="642" w:type="dxa"/>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color w:val="auto"/>
                <w:sz w:val="18"/>
                <w:szCs w:val="18"/>
                <w:highlight w:val="none"/>
                <w:lang w:bidi="ar"/>
              </w:rPr>
              <w:t>合计</w:t>
            </w:r>
          </w:p>
        </w:tc>
        <w:tc>
          <w:tcPr>
            <w:tcW w:w="8358" w:type="dxa"/>
            <w:gridSpan w:val="11"/>
            <w:tcBorders>
              <w:top w:val="single" w:color="000000" w:sz="4" w:space="0"/>
              <w:left w:val="single" w:color="000000" w:sz="4" w:space="0"/>
              <w:bottom w:val="single" w:color="000000" w:sz="4" w:space="0"/>
              <w:right w:val="single" w:color="000000" w:sz="4" w:space="0"/>
            </w:tcBorders>
            <w:noWrap/>
            <w:vAlign w:val="center"/>
          </w:tcPr>
          <w:p>
            <w:pPr>
              <w:widowControl/>
              <w:jc w:val="center"/>
              <w:textAlignment w:val="center"/>
              <w:rPr>
                <w:color w:val="auto"/>
                <w:sz w:val="18"/>
                <w:szCs w:val="18"/>
                <w:highlight w:val="none"/>
              </w:rPr>
            </w:pPr>
            <w:r>
              <w:rPr>
                <w:rFonts w:hint="eastAsia"/>
                <w:b/>
                <w:bCs/>
                <w:color w:val="auto"/>
                <w:sz w:val="18"/>
                <w:szCs w:val="18"/>
                <w:highlight w:val="none"/>
                <w:lang w:bidi="ar"/>
              </w:rPr>
              <w:t>39</w:t>
            </w:r>
          </w:p>
        </w:tc>
      </w:tr>
    </w:tbl>
    <w:p>
      <w:pPr>
        <w:widowControl/>
        <w:textAlignment w:val="center"/>
        <w:rPr>
          <w:b/>
          <w:color w:val="auto"/>
          <w:sz w:val="20"/>
          <w:szCs w:val="20"/>
          <w:highlight w:val="none"/>
          <w:lang w:bidi="ar"/>
        </w:rPr>
      </w:pPr>
    </w:p>
    <w:p>
      <w:pPr>
        <w:rPr>
          <w:b/>
          <w:color w:val="auto"/>
          <w:sz w:val="24"/>
          <w:highlight w:val="none"/>
        </w:rPr>
      </w:pPr>
      <w:r>
        <w:rPr>
          <w:rFonts w:hint="eastAsia"/>
          <w:b/>
          <w:color w:val="auto"/>
          <w:sz w:val="24"/>
          <w:highlight w:val="none"/>
        </w:rPr>
        <w:t>四、货物清单</w:t>
      </w:r>
    </w:p>
    <w:tbl>
      <w:tblPr>
        <w:tblStyle w:val="26"/>
        <w:tblW w:w="9467" w:type="dxa"/>
        <w:tblInd w:w="0" w:type="dxa"/>
        <w:tblLayout w:type="fixed"/>
        <w:tblCellMar>
          <w:top w:w="0" w:type="dxa"/>
          <w:left w:w="0" w:type="dxa"/>
          <w:bottom w:w="0" w:type="dxa"/>
          <w:right w:w="0" w:type="dxa"/>
        </w:tblCellMar>
      </w:tblPr>
      <w:tblGrid>
        <w:gridCol w:w="737"/>
        <w:gridCol w:w="54"/>
        <w:gridCol w:w="1411"/>
        <w:gridCol w:w="306"/>
        <w:gridCol w:w="4092"/>
        <w:gridCol w:w="696"/>
        <w:gridCol w:w="659"/>
        <w:gridCol w:w="828"/>
        <w:gridCol w:w="684"/>
      </w:tblGrid>
      <w:tr>
        <w:tblPrEx>
          <w:tblCellMar>
            <w:top w:w="0" w:type="dxa"/>
            <w:left w:w="0" w:type="dxa"/>
            <w:bottom w:w="0" w:type="dxa"/>
            <w:right w:w="0" w:type="dxa"/>
          </w:tblCellMar>
        </w:tblPrEx>
        <w:trPr>
          <w:trHeight w:val="720" w:hRule="atLeast"/>
        </w:trPr>
        <w:tc>
          <w:tcPr>
            <w:tcW w:w="791" w:type="dxa"/>
            <w:gridSpan w:val="2"/>
            <w:tcBorders>
              <w:top w:val="single" w:color="auto" w:sz="4" w:space="0"/>
              <w:left w:val="single" w:color="auto"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b/>
                <w:color w:val="auto"/>
                <w:szCs w:val="21"/>
                <w:highlight w:val="none"/>
              </w:rPr>
            </w:pPr>
            <w:r>
              <w:rPr>
                <w:rFonts w:hint="eastAsia"/>
                <w:b/>
                <w:color w:val="auto"/>
                <w:highlight w:val="none"/>
                <w:lang w:bidi="ar"/>
              </w:rPr>
              <w:t>序号</w:t>
            </w:r>
          </w:p>
        </w:tc>
        <w:tc>
          <w:tcPr>
            <w:tcW w:w="1717" w:type="dxa"/>
            <w:gridSpan w:val="2"/>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b/>
                <w:color w:val="auto"/>
                <w:szCs w:val="21"/>
                <w:highlight w:val="none"/>
              </w:rPr>
            </w:pPr>
            <w:r>
              <w:rPr>
                <w:rFonts w:hint="eastAsia"/>
                <w:b/>
                <w:color w:val="auto"/>
                <w:highlight w:val="none"/>
                <w:lang w:bidi="ar"/>
              </w:rPr>
              <w:t>名称</w:t>
            </w:r>
          </w:p>
        </w:tc>
        <w:tc>
          <w:tcPr>
            <w:tcW w:w="4092" w:type="dxa"/>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b/>
                <w:color w:val="auto"/>
                <w:szCs w:val="21"/>
                <w:highlight w:val="none"/>
              </w:rPr>
            </w:pPr>
            <w:r>
              <w:rPr>
                <w:rFonts w:hint="eastAsia"/>
                <w:b/>
                <w:color w:val="auto"/>
                <w:highlight w:val="none"/>
                <w:lang w:bidi="ar"/>
              </w:rPr>
              <w:t>型号规格</w:t>
            </w:r>
          </w:p>
        </w:tc>
        <w:tc>
          <w:tcPr>
            <w:tcW w:w="696" w:type="dxa"/>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b/>
                <w:color w:val="auto"/>
                <w:szCs w:val="21"/>
                <w:highlight w:val="none"/>
              </w:rPr>
            </w:pPr>
            <w:r>
              <w:rPr>
                <w:rFonts w:hint="eastAsia"/>
                <w:b/>
                <w:color w:val="auto"/>
                <w:highlight w:val="none"/>
                <w:lang w:bidi="ar"/>
              </w:rPr>
              <w:t>单位</w:t>
            </w:r>
          </w:p>
        </w:tc>
        <w:tc>
          <w:tcPr>
            <w:tcW w:w="659" w:type="dxa"/>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b/>
                <w:color w:val="auto"/>
                <w:szCs w:val="21"/>
                <w:highlight w:val="none"/>
              </w:rPr>
            </w:pPr>
            <w:r>
              <w:rPr>
                <w:rFonts w:hint="eastAsia"/>
                <w:b/>
                <w:color w:val="auto"/>
                <w:highlight w:val="none"/>
                <w:lang w:bidi="ar"/>
              </w:rPr>
              <w:t>数量</w:t>
            </w:r>
          </w:p>
        </w:tc>
        <w:tc>
          <w:tcPr>
            <w:tcW w:w="828" w:type="dxa"/>
            <w:tcBorders>
              <w:top w:val="single" w:color="auto" w:sz="4" w:space="0"/>
              <w:left w:val="single" w:color="000000" w:sz="4" w:space="0"/>
              <w:bottom w:val="single" w:color="auto" w:sz="4" w:space="0"/>
              <w:right w:val="single" w:color="000000" w:sz="4" w:space="0"/>
            </w:tcBorders>
            <w:tcMar>
              <w:top w:w="12" w:type="dxa"/>
              <w:left w:w="12" w:type="dxa"/>
              <w:right w:w="12" w:type="dxa"/>
            </w:tcMar>
            <w:vAlign w:val="center"/>
          </w:tcPr>
          <w:p>
            <w:pPr>
              <w:widowControl/>
              <w:jc w:val="center"/>
              <w:textAlignment w:val="center"/>
              <w:rPr>
                <w:b/>
                <w:color w:val="auto"/>
                <w:szCs w:val="21"/>
                <w:highlight w:val="none"/>
              </w:rPr>
            </w:pPr>
            <w:r>
              <w:rPr>
                <w:rFonts w:hint="eastAsia"/>
                <w:b/>
                <w:color w:val="auto"/>
                <w:highlight w:val="none"/>
                <w:lang w:bidi="ar"/>
              </w:rPr>
              <w:t>含税综合单价</w:t>
            </w:r>
          </w:p>
        </w:tc>
        <w:tc>
          <w:tcPr>
            <w:tcW w:w="684" w:type="dxa"/>
            <w:tcBorders>
              <w:top w:val="single" w:color="auto" w:sz="4" w:space="0"/>
              <w:left w:val="single" w:color="000000" w:sz="4" w:space="0"/>
              <w:bottom w:val="single" w:color="auto" w:sz="4" w:space="0"/>
              <w:right w:val="single" w:color="auto" w:sz="4" w:space="0"/>
            </w:tcBorders>
            <w:tcMar>
              <w:top w:w="12" w:type="dxa"/>
              <w:left w:w="12" w:type="dxa"/>
              <w:right w:w="12" w:type="dxa"/>
            </w:tcMar>
            <w:vAlign w:val="center"/>
          </w:tcPr>
          <w:p>
            <w:pPr>
              <w:widowControl/>
              <w:jc w:val="center"/>
              <w:textAlignment w:val="center"/>
              <w:rPr>
                <w:b/>
                <w:color w:val="auto"/>
                <w:szCs w:val="21"/>
                <w:highlight w:val="none"/>
              </w:rPr>
            </w:pPr>
            <w:r>
              <w:rPr>
                <w:rFonts w:hint="eastAsia"/>
                <w:b/>
                <w:color w:val="auto"/>
                <w:highlight w:val="none"/>
                <w:lang w:bidi="ar"/>
              </w:rPr>
              <w:t>合价</w:t>
            </w:r>
          </w:p>
        </w:tc>
      </w:tr>
      <w:tr>
        <w:tblPrEx>
          <w:tblCellMar>
            <w:top w:w="0" w:type="dxa"/>
            <w:left w:w="0" w:type="dxa"/>
            <w:bottom w:w="0" w:type="dxa"/>
            <w:right w:w="0" w:type="dxa"/>
          </w:tblCellMar>
        </w:tblPrEx>
        <w:trPr>
          <w:trHeight w:val="377" w:hRule="atLeast"/>
        </w:trPr>
        <w:tc>
          <w:tcPr>
            <w:tcW w:w="6600" w:type="dxa"/>
            <w:gridSpan w:val="5"/>
            <w:tcBorders>
              <w:top w:val="single" w:color="auto"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b/>
                <w:color w:val="auto"/>
                <w:highlight w:val="none"/>
              </w:rPr>
            </w:pPr>
            <w:r>
              <w:rPr>
                <w:rFonts w:hint="eastAsia"/>
                <w:b/>
                <w:bCs/>
                <w:color w:val="auto"/>
                <w:highlight w:val="none"/>
                <w:lang w:bidi="ar"/>
              </w:rPr>
              <w:t>（一）箱式物流传输系统</w:t>
            </w:r>
          </w:p>
        </w:tc>
        <w:tc>
          <w:tcPr>
            <w:tcW w:w="696" w:type="dxa"/>
            <w:tcBorders>
              <w:top w:val="single" w:color="auto"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659" w:type="dxa"/>
            <w:tcBorders>
              <w:top w:val="single" w:color="auto"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828" w:type="dxa"/>
            <w:tcBorders>
              <w:top w:val="single" w:color="auto"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auto"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69"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一、</w:t>
            </w:r>
          </w:p>
        </w:tc>
        <w:tc>
          <w:tcPr>
            <w:tcW w:w="5863" w:type="dxa"/>
            <w:gridSpan w:val="4"/>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18"/>
                <w:szCs w:val="18"/>
                <w:highlight w:val="none"/>
              </w:rPr>
            </w:pPr>
            <w:r>
              <w:rPr>
                <w:rFonts w:hint="eastAsia"/>
                <w:b/>
                <w:bCs/>
                <w:color w:val="auto"/>
                <w:sz w:val="20"/>
                <w:szCs w:val="20"/>
                <w:highlight w:val="none"/>
                <w:lang w:bidi="ar"/>
              </w:rPr>
              <w:t>垂直输送分拣机械设备</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18"/>
                <w:szCs w:val="18"/>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18"/>
                <w:szCs w:val="18"/>
                <w:highlight w:val="none"/>
              </w:rPr>
            </w:pPr>
          </w:p>
        </w:tc>
        <w:tc>
          <w:tcPr>
            <w:tcW w:w="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垂直提升机/分拣机LT1</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高往复，管井尺寸：长1.6m、宽1.6m，提升机的速度≥1.75米/秒，提升高度约57m，停靠点11个，负荷不低于50公斤，一提四箱位设计。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垂直提升机/分拣机LT2</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高往复，管井尺寸：长1.6m、宽1.6m，提升机的速度≥1.75米/秒，提升高度约57m，停靠点12个，负荷不低于50公斤，一提四箱位设计。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3</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垂直提升机/分拣机LT3</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高往复，管井尺寸：长1.6m、宽1.6m，提升机的速度≥1.75米/秒，提升高度约57m，停靠点11个，负荷不低于50公斤，一提四箱位设计。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4</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垂直提升机/分拣机LT4</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高往复，管井尺寸：长1.6m、宽1.6m，提升机的速度≥1.75米/秒，提升高度约23m，停靠点4个，负荷不低于50公斤，一提四箱位设计。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5</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垂直提升机/分拣机LT9</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高往复，管井尺寸：长1.6m、宽1.6m，提升机的速度≥1.75米/秒，提升高度约18m，停靠点3个，负荷不低于50公斤，一提四箱位设计。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6</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垂直提升机/分拣机LT5</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高往复，管井尺寸：长1.6m、宽1.6m，提升机的速度≥1.75米/秒，提升高度约6m，停靠点1个，负荷不低于50公斤，一提四箱位设计。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7</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垂直提升机/分拣机LT6</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高往复，管井尺寸：长1.6m、宽1.6m，提升机的速度≥1.75米/秒，提升高度约9m，停靠点1个，负荷不低于50公斤，一提四箱位设计。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8</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垂直提升机/分拣机LT7</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高往复，管井尺寸：长1.6m、宽1.6m，提升机的速度≥1.75米/秒，提升高度约12m，停靠点1个，负荷不低于50公斤，一提四箱位设计。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6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9</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垂直提升机/分拣机LT8</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高往复，管井内径尺寸：长1.6m、宽1.6m，提升机的速度≥1.75米/秒，提升高度约9m，停靠点1个，负荷不低于50公斤，一提四箱位设计。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828"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10</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垂直提升机/分拣机LT11</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高往复，管井内径尺寸：长1.6m、宽1.6m，提升机的速度≥1.75米/秒，提升高度约9m，停靠点1个，负荷不低于50公斤，一提四箱位设计。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852"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垂直提升机/分拣机LT12</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高往复，管井内径尺寸：长1.6m、宽1.6m，提升机的速度≥1.75米/秒，提升高度约9m，停靠点1个，负荷不低于50公斤，一提四箱位设计。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89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垂直提升机/分拣机LT13</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高往复，管井内径尺寸：长1.6m、宽1.6m，提升机的速度≥1.75米/秒，提升高度约9m，停靠点1个，负荷不低于50公斤，一提四箱位设计。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926"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13</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垂直提升机/分拣机LT14</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高往复，管井内径尺寸：长1.6m、宽1.6m，提升机的速度≥1.75米/秒，提升高度约6m，停靠点1个，负荷不低于50公斤，一提四箱位设计。</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9"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垂直双输出护士站点</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highlight w:val="none"/>
              </w:rPr>
            </w:pPr>
            <w:r>
              <w:rPr>
                <w:rFonts w:hint="eastAsia"/>
                <w:color w:val="auto"/>
                <w:sz w:val="20"/>
                <w:szCs w:val="20"/>
                <w:highlight w:val="none"/>
                <w:lang w:bidi="ar"/>
              </w:rPr>
              <w:t>双层停靠4箱位+智能化站点总成</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46</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b/>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46"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智能化站点</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18"/>
                <w:szCs w:val="18"/>
                <w:highlight w:val="none"/>
              </w:rPr>
            </w:pPr>
            <w:r>
              <w:rPr>
                <w:rFonts w:hint="eastAsia"/>
                <w:color w:val="auto"/>
                <w:sz w:val="20"/>
                <w:szCs w:val="20"/>
                <w:highlight w:val="none"/>
                <w:lang w:bidi="ar"/>
              </w:rPr>
              <w:t>智能站点总成，数字视频显示</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color w:val="auto"/>
                <w:sz w:val="20"/>
                <w:szCs w:val="20"/>
                <w:highlight w:val="none"/>
                <w:lang w:bidi="ar"/>
              </w:rPr>
              <w:t>46</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503"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b/>
                <w:bCs/>
                <w:color w:val="auto"/>
                <w:sz w:val="20"/>
                <w:szCs w:val="20"/>
                <w:highlight w:val="none"/>
                <w:lang w:bidi="ar"/>
              </w:rPr>
              <w:t>三、</w:t>
            </w:r>
          </w:p>
        </w:tc>
        <w:tc>
          <w:tcPr>
            <w:tcW w:w="5863" w:type="dxa"/>
            <w:gridSpan w:val="4"/>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18"/>
                <w:szCs w:val="18"/>
                <w:highlight w:val="none"/>
              </w:rPr>
            </w:pPr>
            <w:r>
              <w:rPr>
                <w:rFonts w:hint="eastAsia"/>
                <w:b/>
                <w:bCs/>
                <w:color w:val="auto"/>
                <w:sz w:val="20"/>
                <w:szCs w:val="20"/>
                <w:highlight w:val="none"/>
                <w:lang w:bidi="ar"/>
              </w:rPr>
              <w:t>水平输送设备（滚筒或皮带传输方式，二选一）</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18"/>
                <w:szCs w:val="18"/>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18"/>
                <w:szCs w:val="18"/>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62"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3.1</w:t>
            </w:r>
          </w:p>
        </w:tc>
        <w:tc>
          <w:tcPr>
            <w:tcW w:w="5863" w:type="dxa"/>
            <w:gridSpan w:val="4"/>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水平输送设备（滚筒传输方式）</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b/>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36"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3.1.1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双层积放式动力输送线</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highlight w:val="none"/>
              </w:rPr>
            </w:pPr>
            <w:r>
              <w:rPr>
                <w:rFonts w:hint="eastAsia"/>
                <w:color w:val="auto"/>
                <w:sz w:val="20"/>
                <w:szCs w:val="20"/>
                <w:highlight w:val="none"/>
                <w:lang w:bidi="ar"/>
              </w:rPr>
              <w:t>尺寸：长1.00m、宽0.54m，传输速度≥0.5m/s，轴间距120mm，通过率1000件/小时，含热浸锌吊支架。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个</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52</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b/>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68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3.1.2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双层积放式动力输送线</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尺寸：长3.00m、宽0.54m，传输速度≥0.5m/s，轴间距120mm，通过率1000件/小时，含热浸锌吊支架。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295</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68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3.1.3</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多角度转向分拣装置A</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尺寸：长2.5m、宽0.54m，传输速度≥0.5m/s，轴间距120mm，通过率1000件/小时，含热浸锌吊支架。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62</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68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3.1.4</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多角度转向分拣装置B</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尺寸：长0.8m、宽0.54m，传输速度≥0.5m/s，轴间距120mm，通过率1000件/小时，含热浸锌吊支架。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38</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68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3.1.5</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多角度转向分拣装置C</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尺寸：长0.7m、宽1.2m，传输速度≥0.5m/s，轴间距120mm，通过率1000件/小时，含热浸锌吊支架。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68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3.1.6</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倾斜式输送线</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尺寸：长4.00m、宽0.54m，传输速度≥0.5m/s，轴间距120mm，通过率1000件/小时，含热浸锌吊支架。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10</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574"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b/>
                <w:bCs/>
                <w:color w:val="auto"/>
                <w:sz w:val="20"/>
                <w:szCs w:val="20"/>
                <w:highlight w:val="none"/>
                <w:lang w:bidi="ar"/>
              </w:rPr>
              <w:t>3.2</w:t>
            </w:r>
          </w:p>
        </w:tc>
        <w:tc>
          <w:tcPr>
            <w:tcW w:w="5863" w:type="dxa"/>
            <w:gridSpan w:val="4"/>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b/>
                <w:bCs/>
                <w:color w:val="auto"/>
                <w:sz w:val="20"/>
                <w:szCs w:val="20"/>
                <w:highlight w:val="none"/>
                <w:lang w:bidi="ar"/>
              </w:rPr>
              <w:t>水平输送设备（皮带传输方式）</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351"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3.2.1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水平传输线</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highlight w:val="none"/>
              </w:rPr>
            </w:pPr>
            <w:r>
              <w:rPr>
                <w:rFonts w:hint="eastAsia"/>
                <w:color w:val="auto"/>
                <w:sz w:val="20"/>
                <w:szCs w:val="20"/>
                <w:highlight w:val="none"/>
                <w:lang w:bidi="ar"/>
              </w:rPr>
              <w:t>传输速度≥0.5m/s，负荷不低于50公斤，含热浸锌吊支架。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米</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1175</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561"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3.2.2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90度转换器</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用于连接传输线的T布局设计和90拐弯。具备90度自旋转功能，占有空间≤0.5平方米。</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63</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561"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3.2.3</w:t>
            </w:r>
          </w:p>
        </w:tc>
        <w:tc>
          <w:tcPr>
            <w:tcW w:w="1465"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水平换轨机</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用于水平线之间转换</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13</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46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b/>
                <w:bCs/>
                <w:color w:val="auto"/>
                <w:sz w:val="20"/>
                <w:szCs w:val="20"/>
                <w:highlight w:val="none"/>
                <w:lang w:bidi="ar"/>
              </w:rPr>
              <w:t>四</w:t>
            </w:r>
          </w:p>
        </w:tc>
        <w:tc>
          <w:tcPr>
            <w:tcW w:w="5863" w:type="dxa"/>
            <w:gridSpan w:val="4"/>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color w:val="auto"/>
                <w:sz w:val="20"/>
                <w:szCs w:val="20"/>
                <w:highlight w:val="none"/>
              </w:rPr>
            </w:pPr>
            <w:r>
              <w:rPr>
                <w:rFonts w:hint="eastAsia"/>
                <w:b/>
                <w:bCs/>
                <w:color w:val="auto"/>
                <w:sz w:val="20"/>
                <w:szCs w:val="20"/>
                <w:highlight w:val="none"/>
                <w:lang w:bidi="ar"/>
              </w:rPr>
              <w:t>物流系统管理平台</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jc w:val="center"/>
              <w:rPr>
                <w:color w:val="auto"/>
                <w:sz w:val="20"/>
                <w:szCs w:val="20"/>
                <w:highlight w:val="none"/>
              </w:rPr>
            </w:pPr>
          </w:p>
        </w:tc>
      </w:tr>
      <w:tr>
        <w:tblPrEx>
          <w:tblCellMar>
            <w:top w:w="0" w:type="dxa"/>
            <w:left w:w="0" w:type="dxa"/>
            <w:bottom w:w="0" w:type="dxa"/>
            <w:right w:w="0" w:type="dxa"/>
          </w:tblCellMar>
        </w:tblPrEx>
        <w:trPr>
          <w:trHeight w:val="36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调度管理系统</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highlight w:val="none"/>
              </w:rPr>
            </w:pPr>
            <w:r>
              <w:rPr>
                <w:rFonts w:hint="eastAsia"/>
                <w:color w:val="auto"/>
                <w:sz w:val="20"/>
                <w:szCs w:val="20"/>
                <w:highlight w:val="none"/>
                <w:lang w:bidi="ar"/>
              </w:rPr>
              <w:t>包含：物流远程监控系统，条码管理软件系统，物流系统远程运维系统，物流智能站点交互系统，物流系统移动端监控查询系统</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b/>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5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电气控制系统</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包含：垂直输送电控系统，智能站点电控系统，水平分拣电控系统，水平分拣电控系统、水平转换层监控、照明系统、控制柜等</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9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专用网络</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5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b/>
                <w:bCs/>
                <w:color w:val="auto"/>
                <w:sz w:val="20"/>
                <w:szCs w:val="20"/>
                <w:highlight w:val="none"/>
                <w:lang w:bidi="ar"/>
              </w:rPr>
              <w:t>五、</w:t>
            </w:r>
          </w:p>
        </w:tc>
        <w:tc>
          <w:tcPr>
            <w:tcW w:w="5863" w:type="dxa"/>
            <w:gridSpan w:val="4"/>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b/>
                <w:bCs/>
                <w:color w:val="auto"/>
                <w:sz w:val="20"/>
                <w:szCs w:val="20"/>
                <w:highlight w:val="none"/>
                <w:lang w:bidi="ar"/>
              </w:rPr>
              <w:t>物流系统其他设备材料</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9"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甲级防火窗/门/防火卷帘</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highlight w:val="none"/>
              </w:rPr>
            </w:pPr>
            <w:r>
              <w:rPr>
                <w:rFonts w:hint="eastAsia"/>
                <w:color w:val="auto"/>
                <w:sz w:val="20"/>
                <w:szCs w:val="20"/>
                <w:highlight w:val="none"/>
                <w:lang w:bidi="ar"/>
              </w:rPr>
              <w:t>防火隔热安全隔离装置、四方框装置、防火控制监控器，满足甲级防火要求。</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14</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b/>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720"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1465"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传输箱</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针对不同种类传输物品，配备不同型号的的传输箱，并做颜色及功能分区，能实现智能追踪，传输箱尺寸≥500mm*380mm*320mm</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400</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86"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w:t>
            </w:r>
          </w:p>
        </w:tc>
        <w:tc>
          <w:tcPr>
            <w:tcW w:w="1465" w:type="dxa"/>
            <w:gridSpan w:val="2"/>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不锈钢推车</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每个站点配备一辆驳接不锈钢推车</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46</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b/>
                <w:color w:val="auto"/>
                <w:sz w:val="20"/>
                <w:szCs w:val="20"/>
                <w:highlight w:val="none"/>
              </w:rPr>
            </w:pPr>
          </w:p>
        </w:tc>
      </w:tr>
      <w:tr>
        <w:tblPrEx>
          <w:tblCellMar>
            <w:top w:w="0" w:type="dxa"/>
            <w:left w:w="0" w:type="dxa"/>
            <w:bottom w:w="0" w:type="dxa"/>
            <w:right w:w="0" w:type="dxa"/>
          </w:tblCellMar>
        </w:tblPrEx>
        <w:trPr>
          <w:trHeight w:val="392" w:hRule="atLeast"/>
        </w:trPr>
        <w:tc>
          <w:tcPr>
            <w:tcW w:w="6600" w:type="dxa"/>
            <w:gridSpan w:val="5"/>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b/>
                <w:color w:val="auto"/>
                <w:highlight w:val="none"/>
              </w:rPr>
            </w:pPr>
            <w:r>
              <w:rPr>
                <w:rFonts w:hint="eastAsia"/>
                <w:b/>
                <w:bCs/>
                <w:color w:val="auto"/>
                <w:highlight w:val="none"/>
                <w:lang w:bidi="ar"/>
              </w:rPr>
              <w:t>（二）气动物流系统</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54"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一</w:t>
            </w:r>
          </w:p>
        </w:tc>
        <w:tc>
          <w:tcPr>
            <w:tcW w:w="5863" w:type="dxa"/>
            <w:gridSpan w:val="4"/>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硬件部分</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54"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1.1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站点部分</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1.1.1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智能化站点</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标准站点、终端装置</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39</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1.1.2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站点配件</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含到站声光报警功能</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39</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1.1.3</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回收站</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含辅助部件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1.1.4</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智能传输瓶</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含传输瓶挂架、接瓶筐及辅助部件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78</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561"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1.2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空压机系统/附件</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1.2.1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风压机</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符合设计要求</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台</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1.2.2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风机控制系统</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符合设计要求</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1.2.3</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光电传感装置</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满足现场要求</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8</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1.2.4</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风压机配套</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含辅助部件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1.2.5</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三向转向器</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含三向阀及其辅助部件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6</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7"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1.2.6</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区域转换器</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系统设计数量</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个</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15"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1.3</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传输管道</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561"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1.3.1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专用U-PVC管道</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直管160X3.2mm，弯管r=800mm机器控制线缆及其所有配件、套管、含热浸锌吊支架。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398"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二</w:t>
            </w:r>
          </w:p>
        </w:tc>
        <w:tc>
          <w:tcPr>
            <w:tcW w:w="5863" w:type="dxa"/>
            <w:gridSpan w:val="4"/>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b/>
                <w:color w:val="auto"/>
                <w:sz w:val="20"/>
                <w:szCs w:val="20"/>
                <w:highlight w:val="none"/>
              </w:rPr>
            </w:pPr>
            <w:r>
              <w:rPr>
                <w:rFonts w:hint="eastAsia"/>
                <w:b/>
                <w:bCs/>
                <w:color w:val="auto"/>
                <w:sz w:val="20"/>
                <w:szCs w:val="20"/>
                <w:highlight w:val="none"/>
                <w:lang w:bidi="ar"/>
              </w:rPr>
              <w:t>软件系统及其他</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rPr>
                <w:b/>
                <w:color w:val="auto"/>
                <w:sz w:val="20"/>
                <w:szCs w:val="20"/>
                <w:highlight w:val="none"/>
              </w:rPr>
            </w:pP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54"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2.1</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主控电源+主监控系统</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监控电脑和电源系统及电源中继器</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54"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2.2</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系统控制软件</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基础控制软件</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54"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2.3</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区域控制系统软件</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含系统控制箱</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r>
        <w:tblPrEx>
          <w:tblCellMar>
            <w:top w:w="0" w:type="dxa"/>
            <w:left w:w="0" w:type="dxa"/>
            <w:bottom w:w="0" w:type="dxa"/>
            <w:right w:w="0" w:type="dxa"/>
          </w:tblCellMar>
        </w:tblPrEx>
        <w:trPr>
          <w:trHeight w:val="454" w:hRule="atLeast"/>
        </w:trPr>
        <w:tc>
          <w:tcPr>
            <w:tcW w:w="737"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2.4</w:t>
            </w:r>
          </w:p>
        </w:tc>
        <w:tc>
          <w:tcPr>
            <w:tcW w:w="1465"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BUS型号转换装置</w:t>
            </w:r>
          </w:p>
        </w:tc>
        <w:tc>
          <w:tcPr>
            <w:tcW w:w="4398" w:type="dxa"/>
            <w:gridSpan w:val="2"/>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textAlignment w:val="center"/>
              <w:rPr>
                <w:color w:val="auto"/>
                <w:sz w:val="20"/>
                <w:szCs w:val="20"/>
                <w:highlight w:val="none"/>
              </w:rPr>
            </w:pPr>
            <w:r>
              <w:rPr>
                <w:rFonts w:hint="eastAsia"/>
                <w:color w:val="auto"/>
                <w:sz w:val="20"/>
                <w:szCs w:val="20"/>
                <w:highlight w:val="none"/>
                <w:lang w:bidi="ar"/>
              </w:rPr>
              <w:t>信号转换系统和网络等中心控制器</w:t>
            </w:r>
          </w:p>
        </w:tc>
        <w:tc>
          <w:tcPr>
            <w:tcW w:w="69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套</w:t>
            </w:r>
          </w:p>
        </w:tc>
        <w:tc>
          <w:tcPr>
            <w:tcW w:w="65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widowControl/>
              <w:jc w:val="center"/>
              <w:textAlignment w:val="center"/>
              <w:rPr>
                <w:color w:val="auto"/>
                <w:sz w:val="20"/>
                <w:szCs w:val="20"/>
                <w:highlight w:val="none"/>
              </w:rPr>
            </w:pPr>
            <w:r>
              <w:rPr>
                <w:rFonts w:hint="eastAsia"/>
                <w:color w:val="auto"/>
                <w:sz w:val="20"/>
                <w:szCs w:val="20"/>
                <w:highlight w:val="none"/>
                <w:lang w:bidi="ar"/>
              </w:rPr>
              <w:t>1</w:t>
            </w:r>
          </w:p>
        </w:tc>
        <w:tc>
          <w:tcPr>
            <w:tcW w:w="828"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pPr>
              <w:jc w:val="center"/>
              <w:rPr>
                <w:color w:val="auto"/>
                <w:sz w:val="20"/>
                <w:szCs w:val="20"/>
                <w:highlight w:val="none"/>
              </w:rPr>
            </w:pPr>
          </w:p>
        </w:tc>
        <w:tc>
          <w:tcPr>
            <w:tcW w:w="684" w:type="dxa"/>
            <w:tcBorders>
              <w:top w:val="single" w:color="000000" w:sz="4" w:space="0"/>
              <w:left w:val="single" w:color="000000" w:sz="4" w:space="0"/>
              <w:bottom w:val="single" w:color="000000" w:sz="4" w:space="0"/>
              <w:right w:val="single" w:color="000000" w:sz="4" w:space="0"/>
            </w:tcBorders>
            <w:noWrap/>
            <w:tcMar>
              <w:top w:w="12" w:type="dxa"/>
              <w:left w:w="12" w:type="dxa"/>
              <w:right w:w="12" w:type="dxa"/>
            </w:tcMar>
            <w:vAlign w:val="center"/>
          </w:tcPr>
          <w:p>
            <w:pPr>
              <w:rPr>
                <w:color w:val="auto"/>
                <w:sz w:val="20"/>
                <w:szCs w:val="20"/>
                <w:highlight w:val="none"/>
              </w:rPr>
            </w:pPr>
          </w:p>
        </w:tc>
      </w:tr>
    </w:tbl>
    <w:p>
      <w:pPr>
        <w:rPr>
          <w:b/>
          <w:color w:val="auto"/>
          <w:sz w:val="24"/>
          <w:highlight w:val="none"/>
        </w:rPr>
      </w:pPr>
    </w:p>
    <w:p>
      <w:pPr>
        <w:spacing w:line="360" w:lineRule="auto"/>
        <w:rPr>
          <w:color w:val="auto"/>
          <w:highlight w:val="none"/>
        </w:rPr>
      </w:pPr>
      <w:r>
        <w:rPr>
          <w:rFonts w:hint="eastAsia"/>
          <w:color w:val="auto"/>
          <w:highlight w:val="none"/>
        </w:rPr>
        <w:t>注：1、“含税综合单价”包括深化设计（中标后提供）费、设备材料费、运输保险费、卸货费、保管费、</w:t>
      </w:r>
      <w:r>
        <w:rPr>
          <w:rFonts w:hint="eastAsia" w:ascii="宋体" w:hAnsi="宋体" w:cs="宋体"/>
          <w:color w:val="auto"/>
          <w:sz w:val="22"/>
          <w:highlight w:val="none"/>
        </w:rPr>
        <w:t>仓储费、</w:t>
      </w:r>
      <w:r>
        <w:rPr>
          <w:rFonts w:hint="eastAsia" w:ascii="宋体" w:hAnsi="宋体" w:cs="宋体"/>
          <w:color w:val="auto"/>
          <w:highlight w:val="none"/>
        </w:rPr>
        <w:t>施</w:t>
      </w:r>
      <w:r>
        <w:rPr>
          <w:rFonts w:hint="eastAsia"/>
          <w:color w:val="auto"/>
          <w:highlight w:val="none"/>
        </w:rPr>
        <w:t>工费、调试费、技术服务与培训费、试运行费用、验收费、质保期内的维修保养费、</w:t>
      </w:r>
      <w:r>
        <w:rPr>
          <w:rFonts w:hint="eastAsia"/>
          <w:color w:val="auto"/>
          <w:szCs w:val="21"/>
          <w:highlight w:val="none"/>
        </w:rPr>
        <w:t>备品备件（含专用工具）费</w:t>
      </w:r>
      <w:r>
        <w:rPr>
          <w:rFonts w:hint="eastAsia"/>
          <w:color w:val="auto"/>
          <w:highlight w:val="none"/>
        </w:rPr>
        <w:t>、所有措施费、规费、税金（按国家规定）、施工水电费、总承包服务费、政策性文件规定等所有因素的相关费用。</w:t>
      </w:r>
    </w:p>
    <w:p>
      <w:pPr>
        <w:spacing w:line="360" w:lineRule="auto"/>
        <w:rPr>
          <w:rFonts w:asciiTheme="minorEastAsia" w:hAnsiTheme="minorEastAsia" w:eastAsiaTheme="minorEastAsia" w:cstheme="minorEastAsia"/>
          <w:color w:val="auto"/>
          <w:sz w:val="24"/>
          <w:szCs w:val="24"/>
          <w:highlight w:val="none"/>
        </w:rPr>
      </w:pPr>
      <w:r>
        <w:rPr>
          <w:rFonts w:hint="eastAsia"/>
          <w:color w:val="auto"/>
          <w:highlight w:val="none"/>
        </w:rPr>
        <w:t>2、投标人可在以上货物清单之后详细列出认为对于按招标文件、图纸及技术要求完成本工程所必须发生的，但没有包括在上述货物清单费用中的项目；如认为清单内项目的数量有误，亦可于下方列明具体的“序号、名称、型号规格、单位、数量、含税综合单价、合价”并计算增减费用。</w:t>
      </w: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4"/>
        <w:rPr>
          <w:color w:val="auto"/>
          <w:highlight w:val="none"/>
        </w:rPr>
      </w:pPr>
      <w:bookmarkStart w:id="443" w:name="_Toc24820"/>
      <w:r>
        <w:rPr>
          <w:rFonts w:hint="eastAsia"/>
          <w:color w:val="auto"/>
          <w:highlight w:val="none"/>
        </w:rPr>
        <w:t>第七章</w:t>
      </w:r>
      <w:r>
        <w:rPr>
          <w:color w:val="auto"/>
          <w:highlight w:val="none"/>
        </w:rPr>
        <w:t xml:space="preserve">  </w:t>
      </w:r>
      <w:r>
        <w:rPr>
          <w:rFonts w:hint="eastAsia"/>
          <w:color w:val="auto"/>
          <w:highlight w:val="none"/>
        </w:rPr>
        <w:t>投标文件格式</w:t>
      </w:r>
      <w:bookmarkEnd w:id="443"/>
    </w:p>
    <w:p>
      <w:pPr>
        <w:spacing w:line="360" w:lineRule="auto"/>
        <w:ind w:left="1290"/>
        <w:jc w:val="left"/>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投标文件内容</w:t>
      </w:r>
      <w:r>
        <w:rPr>
          <w:rFonts w:asciiTheme="minorEastAsia" w:hAnsiTheme="minorEastAsia" w:eastAsiaTheme="minorEastAsia" w:cstheme="minorEastAsia"/>
          <w:color w:val="auto"/>
          <w:sz w:val="28"/>
          <w:szCs w:val="28"/>
          <w:highlight w:val="none"/>
        </w:rPr>
        <w:t xml:space="preserve">: </w:t>
      </w:r>
      <w:r>
        <w:rPr>
          <w:rFonts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rPr>
        <w:t>资格审查资料</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5"/>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1"/>
        <w:rPr>
          <w:rFonts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资格审查资料：</w:t>
      </w:r>
    </w:p>
    <w:p>
      <w:pPr>
        <w:pStyle w:val="25"/>
        <w:ind w:firstLine="281"/>
        <w:rPr>
          <w:rFonts w:asciiTheme="minorEastAsia" w:hAnsiTheme="minorEastAsia" w:eastAsiaTheme="minorEastAsia" w:cstheme="minorEastAsia"/>
          <w:b/>
          <w:bCs/>
          <w:color w:val="auto"/>
          <w:sz w:val="28"/>
          <w:szCs w:val="28"/>
          <w:highlight w:val="none"/>
        </w:rPr>
      </w:pPr>
    </w:p>
    <w:p>
      <w:pPr>
        <w:spacing w:line="360" w:lineRule="auto"/>
        <w:ind w:firstLine="210"/>
        <w:rPr>
          <w:rFonts w:asciiTheme="minorEastAsia" w:hAnsiTheme="minorEastAsia" w:eastAsiaTheme="minorEastAsia" w:cstheme="minorEastAsia"/>
          <w:color w:val="auto"/>
          <w:sz w:val="28"/>
          <w:szCs w:val="28"/>
          <w:highlight w:val="none"/>
        </w:rPr>
      </w:pPr>
    </w:p>
    <w:p>
      <w:pPr>
        <w:spacing w:line="360" w:lineRule="auto"/>
        <w:ind w:right="241" w:firstLine="56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1、企业法人营业执照</w:t>
      </w:r>
      <w:r>
        <w:rPr>
          <w:rFonts w:hint="eastAsia" w:asciiTheme="minorEastAsia" w:hAnsiTheme="minorEastAsia" w:eastAsiaTheme="minorEastAsia" w:cstheme="minorEastAsia"/>
          <w:color w:val="auto"/>
          <w:sz w:val="24"/>
          <w:szCs w:val="24"/>
          <w:highlight w:val="none"/>
        </w:rPr>
        <w:t>复印件</w:t>
      </w:r>
      <w:r>
        <w:rPr>
          <w:rFonts w:asciiTheme="minorEastAsia" w:hAnsiTheme="minorEastAsia" w:eastAsiaTheme="minorEastAsia" w:cstheme="minorEastAsia"/>
          <w:color w:val="auto"/>
          <w:sz w:val="24"/>
          <w:szCs w:val="24"/>
          <w:highlight w:val="none"/>
        </w:rPr>
        <w:t>；</w:t>
      </w:r>
    </w:p>
    <w:p>
      <w:pPr>
        <w:spacing w:line="360" w:lineRule="auto"/>
        <w:ind w:right="241" w:firstLine="560"/>
        <w:rPr>
          <w:rFonts w:asciiTheme="minorEastAsia" w:hAnsiTheme="minorEastAsia" w:eastAsiaTheme="minorEastAsia" w:cstheme="minorEastAsia"/>
          <w:color w:val="auto"/>
          <w:sz w:val="24"/>
          <w:szCs w:val="24"/>
          <w:highlight w:val="none"/>
        </w:rPr>
      </w:pPr>
      <w:r>
        <w:rPr>
          <w:rFonts w:asciiTheme="minorEastAsia" w:hAnsiTheme="minorEastAsia" w:eastAsiaTheme="minorEastAsia" w:cstheme="minorEastAsia"/>
          <w:color w:val="auto"/>
          <w:sz w:val="24"/>
          <w:szCs w:val="24"/>
          <w:highlight w:val="none"/>
        </w:rPr>
        <w:t>2、投标品牌具有自201</w:t>
      </w:r>
      <w:r>
        <w:rPr>
          <w:rFonts w:hint="eastAsia" w:asciiTheme="minorEastAsia" w:hAnsiTheme="minorEastAsia" w:eastAsiaTheme="minorEastAsia" w:cstheme="minorEastAsia"/>
          <w:color w:val="auto"/>
          <w:sz w:val="24"/>
          <w:szCs w:val="24"/>
          <w:highlight w:val="none"/>
        </w:rPr>
        <w:t>6</w:t>
      </w:r>
      <w:r>
        <w:rPr>
          <w:rFonts w:asciiTheme="minorEastAsia" w:hAnsiTheme="minorEastAsia" w:eastAsiaTheme="minorEastAsia" w:cstheme="minorEastAsia"/>
          <w:color w:val="auto"/>
          <w:sz w:val="24"/>
          <w:szCs w:val="24"/>
          <w:highlight w:val="none"/>
        </w:rPr>
        <w:t>年1月1日以来【以合同签订时间为准】，承接过国内物流系统的（合同金额在900万及以上）类似业绩。业绩证明材料为供货合同的复印件。</w:t>
      </w:r>
    </w:p>
    <w:p>
      <w:pPr>
        <w:spacing w:line="360" w:lineRule="auto"/>
        <w:ind w:right="241" w:firstLine="560"/>
        <w:rPr>
          <w:rFonts w:asciiTheme="minorEastAsia" w:hAnsiTheme="minorEastAsia" w:eastAsiaTheme="minorEastAsia" w:cstheme="minorEastAsia"/>
          <w:color w:val="auto"/>
          <w:sz w:val="24"/>
          <w:szCs w:val="24"/>
          <w:highlight w:val="none"/>
          <w:lang w:bidi="ar"/>
        </w:rPr>
      </w:pPr>
      <w:r>
        <w:rPr>
          <w:rFonts w:asciiTheme="minorEastAsia" w:hAnsiTheme="minorEastAsia" w:eastAsiaTheme="minorEastAsia" w:cstheme="minorEastAsia"/>
          <w:color w:val="auto"/>
          <w:sz w:val="24"/>
          <w:szCs w:val="24"/>
          <w:highlight w:val="none"/>
        </w:rPr>
        <w:t>3、承诺书（</w:t>
      </w:r>
      <w:r>
        <w:rPr>
          <w:rFonts w:hint="eastAsia" w:asciiTheme="minorEastAsia" w:hAnsiTheme="minorEastAsia" w:eastAsiaTheme="minorEastAsia" w:cstheme="minorEastAsia"/>
          <w:color w:val="auto"/>
          <w:sz w:val="24"/>
          <w:szCs w:val="24"/>
          <w:highlight w:val="none"/>
        </w:rPr>
        <w:t>①</w:t>
      </w:r>
      <w:r>
        <w:rPr>
          <w:rFonts w:asciiTheme="minorEastAsia" w:hAnsiTheme="minorEastAsia" w:eastAsiaTheme="minorEastAsia" w:cstheme="minorEastAsia"/>
          <w:color w:val="auto"/>
          <w:sz w:val="24"/>
          <w:szCs w:val="24"/>
          <w:highlight w:val="none"/>
        </w:rPr>
        <w:t>承诺对资格审查资料所有提交的证明材料真实有效性负责，若发现其有伪造证书、业绩等行为的，同意招标人不接受其投标，其缴纳的投标保证金不予退还；</w:t>
      </w:r>
      <w:r>
        <w:rPr>
          <w:rFonts w:hint="eastAsia" w:asciiTheme="minorEastAsia" w:hAnsiTheme="minorEastAsia" w:eastAsiaTheme="minorEastAsia" w:cstheme="minorEastAsia"/>
          <w:color w:val="auto"/>
          <w:sz w:val="24"/>
          <w:szCs w:val="24"/>
          <w:highlight w:val="none"/>
          <w:lang w:bidi="ar"/>
        </w:rPr>
        <w:t>②</w:t>
      </w:r>
      <w:r>
        <w:rPr>
          <w:rFonts w:asciiTheme="minorEastAsia" w:hAnsiTheme="minorEastAsia" w:eastAsiaTheme="minorEastAsia" w:cstheme="minorEastAsia"/>
          <w:color w:val="auto"/>
          <w:sz w:val="24"/>
          <w:szCs w:val="24"/>
          <w:highlight w:val="none"/>
          <w:lang w:bidi="ar"/>
        </w:rPr>
        <w:t>承诺企业和项目负责人近 5年内无行贿犯罪记录。</w:t>
      </w:r>
      <w:r>
        <w:rPr>
          <w:rFonts w:hint="eastAsia" w:asciiTheme="minorEastAsia" w:hAnsiTheme="minorEastAsia" w:eastAsiaTheme="minorEastAsia" w:cstheme="minorEastAsia"/>
          <w:color w:val="auto"/>
          <w:sz w:val="24"/>
          <w:szCs w:val="24"/>
          <w:highlight w:val="none"/>
          <w:lang w:bidi="ar"/>
        </w:rPr>
        <w:t>③</w:t>
      </w:r>
      <w:r>
        <w:rPr>
          <w:rFonts w:asciiTheme="minorEastAsia" w:hAnsiTheme="minorEastAsia" w:eastAsiaTheme="minorEastAsia" w:cstheme="minorEastAsia"/>
          <w:color w:val="auto"/>
          <w:sz w:val="24"/>
          <w:szCs w:val="24"/>
          <w:highlight w:val="none"/>
        </w:rPr>
        <w:t>投标人如为代理商则需承诺，中标后提供所投品牌制造商的唯一授权书。</w:t>
      </w:r>
      <w:r>
        <w:rPr>
          <w:rFonts w:asciiTheme="minorEastAsia" w:hAnsiTheme="minorEastAsia" w:eastAsiaTheme="minorEastAsia" w:cstheme="minorEastAsia"/>
          <w:color w:val="auto"/>
          <w:sz w:val="24"/>
          <w:szCs w:val="24"/>
          <w:highlight w:val="none"/>
          <w:lang w:bidi="ar"/>
        </w:rPr>
        <w:t>）格式自拟，加盖投标人公章。</w:t>
      </w:r>
    </w:p>
    <w:p>
      <w:pPr>
        <w:widowControl/>
        <w:spacing w:line="360" w:lineRule="auto"/>
        <w:jc w:val="left"/>
        <w:rPr>
          <w:color w:val="auto"/>
          <w:sz w:val="24"/>
          <w:szCs w:val="24"/>
          <w:highlight w:val="none"/>
        </w:rPr>
      </w:pPr>
      <w:r>
        <w:rPr>
          <w:rFonts w:hint="eastAsia" w:ascii="宋体" w:hAnsi="宋体" w:cs="宋体"/>
          <w:b/>
          <w:bCs/>
          <w:color w:val="auto"/>
          <w:sz w:val="24"/>
          <w:szCs w:val="24"/>
          <w:highlight w:val="none"/>
          <w:lang w:bidi="ar"/>
        </w:rPr>
        <w:t>注：不能提供上述</w:t>
      </w:r>
      <w:r>
        <w:rPr>
          <w:rFonts w:hint="eastAsia" w:ascii="宋体" w:hAnsi="宋体" w:cs="宋体"/>
          <w:color w:val="auto"/>
          <w:sz w:val="24"/>
          <w:szCs w:val="24"/>
          <w:highlight w:val="none"/>
          <w:lang w:bidi="ar"/>
        </w:rPr>
        <w:t>（1）～（3）</w:t>
      </w:r>
      <w:r>
        <w:rPr>
          <w:rFonts w:hint="eastAsia" w:ascii="宋体" w:hAnsi="宋体" w:cs="宋体"/>
          <w:b/>
          <w:bCs/>
          <w:color w:val="auto"/>
          <w:sz w:val="24"/>
          <w:szCs w:val="24"/>
          <w:highlight w:val="none"/>
          <w:lang w:bidi="ar"/>
        </w:rPr>
        <w:t>材料任何一项或不符合审查要求的投标人为资格审查不合格。</w:t>
      </w:r>
    </w:p>
    <w:p>
      <w:pPr>
        <w:ind w:right="241" w:firstLine="560"/>
        <w:rPr>
          <w:rFonts w:asciiTheme="minorEastAsia" w:hAnsiTheme="minorEastAsia" w:eastAsiaTheme="minorEastAsia" w:cstheme="minorEastAsia"/>
          <w:color w:val="auto"/>
          <w:sz w:val="24"/>
          <w:szCs w:val="24"/>
          <w:highlight w:val="none"/>
        </w:rPr>
      </w:pPr>
    </w:p>
    <w:p>
      <w:pPr>
        <w:rPr>
          <w:color w:val="auto"/>
          <w:sz w:val="24"/>
          <w:szCs w:val="24"/>
          <w:highlight w:val="none"/>
        </w:rPr>
      </w:pPr>
    </w:p>
    <w:p>
      <w:pPr>
        <w:widowControl/>
        <w:ind w:right="241" w:firstLine="560"/>
        <w:jc w:val="left"/>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技术标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pStyle w:val="25"/>
        <w:ind w:firstLine="28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4"/>
        <w:spacing w:before="120" w:after="120" w:line="400" w:lineRule="exac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投标人提供的评审打分资料一览表</w:t>
      </w:r>
    </w:p>
    <w:p>
      <w:pPr>
        <w:adjustRightInd w:val="0"/>
        <w:snapToGrid w:val="0"/>
        <w:rPr>
          <w:rFonts w:asciiTheme="minorEastAsia" w:hAnsiTheme="minorEastAsia" w:eastAsiaTheme="minorEastAsia" w:cstheme="minorEastAsia"/>
          <w:b/>
          <w:color w:val="auto"/>
          <w:sz w:val="24"/>
          <w:szCs w:val="24"/>
          <w:highlight w:val="none"/>
        </w:rPr>
      </w:pPr>
    </w:p>
    <w:tbl>
      <w:tblPr>
        <w:tblStyle w:val="26"/>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5327"/>
        <w:gridCol w:w="1477"/>
        <w:gridCol w:w="1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序号</w:t>
            </w: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资料名称</w:t>
            </w:r>
          </w:p>
        </w:tc>
        <w:tc>
          <w:tcPr>
            <w:tcW w:w="1477"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共 页</w:t>
            </w:r>
          </w:p>
        </w:tc>
        <w:tc>
          <w:tcPr>
            <w:tcW w:w="1808" w:type="dxa"/>
            <w:vAlign w:val="center"/>
          </w:tcPr>
          <w:p>
            <w:pPr>
              <w:adjustRightInd w:val="0"/>
              <w:snapToGrid w:val="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242"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532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477"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c>
          <w:tcPr>
            <w:tcW w:w="1808" w:type="dxa"/>
            <w:vAlign w:val="center"/>
          </w:tcPr>
          <w:p>
            <w:pPr>
              <w:adjustRightInd w:val="0"/>
              <w:snapToGrid w:val="0"/>
              <w:ind w:firstLine="280"/>
              <w:jc w:val="center"/>
              <w:rPr>
                <w:rFonts w:asciiTheme="minorEastAsia" w:hAnsiTheme="minorEastAsia" w:eastAsiaTheme="minorEastAsia" w:cstheme="minorEastAsia"/>
                <w:color w:val="auto"/>
                <w:sz w:val="24"/>
                <w:szCs w:val="24"/>
                <w:highlight w:val="none"/>
              </w:rPr>
            </w:pPr>
          </w:p>
        </w:tc>
      </w:tr>
    </w:tbl>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8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b/>
          <w:color w:val="auto"/>
          <w:sz w:val="24"/>
          <w:szCs w:val="24"/>
          <w:highlight w:val="none"/>
        </w:rPr>
      </w:pPr>
    </w:p>
    <w:p>
      <w:pPr>
        <w:adjustRightInd w:val="0"/>
        <w:snapToGrid w:val="0"/>
        <w:ind w:firstLine="281"/>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日期：          </w:t>
      </w:r>
      <w:r>
        <w:rPr>
          <w:rFonts w:hint="eastAsia" w:asciiTheme="minorEastAsia" w:hAnsiTheme="minorEastAsia" w:eastAsiaTheme="minorEastAsia" w:cstheme="minorEastAsia"/>
          <w:color w:val="auto"/>
          <w:sz w:val="24"/>
          <w:szCs w:val="24"/>
          <w:highlight w:val="none"/>
        </w:rPr>
        <w:t>年   月   日</w:t>
      </w: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281"/>
        <w:rPr>
          <w:rFonts w:asciiTheme="minorEastAsia" w:hAnsiTheme="minorEastAsia" w:eastAsiaTheme="minorEastAsia"/>
          <w:b/>
          <w:bCs/>
          <w:color w:val="auto"/>
          <w:sz w:val="28"/>
          <w:szCs w:val="28"/>
          <w:highlight w:val="none"/>
        </w:rPr>
      </w:pPr>
      <w:r>
        <w:rPr>
          <w:rFonts w:hint="eastAsia" w:asciiTheme="minorEastAsia" w:hAnsiTheme="minorEastAsia" w:eastAsiaTheme="minorEastAsia"/>
          <w:b/>
          <w:bCs/>
          <w:color w:val="auto"/>
          <w:sz w:val="28"/>
          <w:szCs w:val="28"/>
          <w:highlight w:val="none"/>
        </w:rPr>
        <w:t>详细内容由投标单位根据投标人须知第</w:t>
      </w:r>
      <w:r>
        <w:rPr>
          <w:rFonts w:asciiTheme="minorEastAsia" w:hAnsiTheme="minorEastAsia" w:eastAsiaTheme="minorEastAsia"/>
          <w:b/>
          <w:bCs/>
          <w:color w:val="auto"/>
          <w:sz w:val="28"/>
          <w:szCs w:val="28"/>
          <w:highlight w:val="none"/>
        </w:rPr>
        <w:t xml:space="preserve"> 3.1.2 </w:t>
      </w:r>
      <w:r>
        <w:rPr>
          <w:rFonts w:hint="eastAsia" w:asciiTheme="minorEastAsia" w:hAnsiTheme="minorEastAsia" w:eastAsiaTheme="minorEastAsia"/>
          <w:b/>
          <w:bCs/>
          <w:color w:val="auto"/>
          <w:sz w:val="28"/>
          <w:szCs w:val="28"/>
          <w:highlight w:val="none"/>
        </w:rPr>
        <w:t>技术标部分内容进行编制，格式自拟。</w:t>
      </w: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近年完成的类似项目情况表</w:t>
      </w:r>
    </w:p>
    <w:tbl>
      <w:tblPr>
        <w:tblStyle w:val="2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40"/>
        <w:gridCol w:w="65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项目所在地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发包人名称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发包人地址</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发包人电话</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合同价格</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开工日期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竣工日期</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承担的工作</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工程质量</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项目负责人</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5"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项目描述</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6" w:hRule="atLeast"/>
        </w:trPr>
        <w:tc>
          <w:tcPr>
            <w:tcW w:w="1940" w:type="dxa"/>
            <w:tcBorders>
              <w:top w:val="outset" w:color="auto" w:sz="6" w:space="0"/>
              <w:left w:val="outset" w:color="auto" w:sz="6" w:space="0"/>
              <w:bottom w:val="outset" w:color="auto" w:sz="6" w:space="0"/>
              <w:right w:val="outset" w:color="auto" w:sz="6" w:space="0"/>
            </w:tcBorders>
            <w:vAlign w:val="center"/>
          </w:tcPr>
          <w:p>
            <w:pPr>
              <w:jc w:val="center"/>
              <w:rPr>
                <w:color w:val="auto"/>
                <w:highlight w:val="none"/>
              </w:rPr>
            </w:pPr>
            <w:r>
              <w:rPr>
                <w:rFonts w:hint="eastAsia"/>
                <w:color w:val="auto"/>
                <w:highlight w:val="none"/>
              </w:rPr>
              <w:t>备注</w:t>
            </w:r>
          </w:p>
        </w:tc>
        <w:tc>
          <w:tcPr>
            <w:tcW w:w="6582" w:type="dxa"/>
            <w:tcBorders>
              <w:top w:val="outset" w:color="auto" w:sz="6" w:space="0"/>
              <w:left w:val="outset" w:color="auto" w:sz="6" w:space="0"/>
              <w:bottom w:val="outset" w:color="auto" w:sz="6" w:space="0"/>
              <w:right w:val="outset" w:color="auto" w:sz="6" w:space="0"/>
            </w:tcBorders>
            <w:vAlign w:val="center"/>
          </w:tcPr>
          <w:p>
            <w:pPr>
              <w:spacing w:line="360" w:lineRule="auto"/>
              <w:ind w:firstLine="420" w:firstLineChars="200"/>
              <w:rPr>
                <w:rFonts w:ascii="宋体" w:hAnsi="宋体"/>
                <w:color w:val="auto"/>
                <w:szCs w:val="21"/>
                <w:highlight w:val="none"/>
              </w:rPr>
            </w:pPr>
          </w:p>
        </w:tc>
      </w:tr>
    </w:tbl>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keepNext/>
        <w:keepLines/>
        <w:jc w:val="center"/>
        <w:rPr>
          <w:rFonts w:ascii="黑体" w:hAnsi="黑体" w:eastAsia="黑体"/>
          <w:b/>
          <w:color w:val="auto"/>
          <w:sz w:val="32"/>
          <w:szCs w:val="32"/>
          <w:highlight w:val="none"/>
        </w:rPr>
      </w:pPr>
    </w:p>
    <w:p>
      <w:pPr>
        <w:pStyle w:val="25"/>
        <w:ind w:firstLine="321"/>
        <w:rPr>
          <w:rFonts w:ascii="黑体" w:hAnsi="黑体" w:eastAsia="黑体"/>
          <w:b/>
          <w:color w:val="auto"/>
          <w:sz w:val="32"/>
          <w:szCs w:val="32"/>
          <w:highlight w:val="none"/>
        </w:rPr>
      </w:pPr>
    </w:p>
    <w:p>
      <w:pPr>
        <w:rPr>
          <w:color w:val="auto"/>
          <w:highlight w:val="none"/>
        </w:rPr>
      </w:pPr>
    </w:p>
    <w:p>
      <w:pPr>
        <w:jc w:val="left"/>
        <w:rPr>
          <w:color w:val="auto"/>
          <w:highlight w:val="none"/>
        </w:rPr>
      </w:pPr>
    </w:p>
    <w:p>
      <w:pPr>
        <w:jc w:val="left"/>
        <w:rPr>
          <w:color w:val="auto"/>
          <w:highlight w:val="none"/>
        </w:rPr>
      </w:pPr>
    </w:p>
    <w:p>
      <w:pPr>
        <w:keepNext/>
        <w:keepLines/>
        <w:jc w:val="center"/>
        <w:rPr>
          <w:rFonts w:ascii="黑体" w:hAnsi="黑体" w:eastAsia="黑体"/>
          <w:b/>
          <w:color w:val="auto"/>
          <w:sz w:val="32"/>
          <w:szCs w:val="32"/>
          <w:highlight w:val="none"/>
        </w:rPr>
      </w:pPr>
    </w:p>
    <w:p>
      <w:pPr>
        <w:pStyle w:val="25"/>
        <w:ind w:firstLine="340"/>
        <w:rPr>
          <w:color w:val="auto"/>
          <w:highlight w:val="none"/>
        </w:rPr>
      </w:pPr>
    </w:p>
    <w:p>
      <w:pPr>
        <w:keepNext/>
        <w:keepLines/>
        <w:jc w:val="center"/>
        <w:rPr>
          <w:rFonts w:ascii="黑体" w:hAnsi="黑体" w:eastAsia="黑体"/>
          <w:b/>
          <w:color w:val="auto"/>
          <w:sz w:val="32"/>
          <w:szCs w:val="32"/>
          <w:highlight w:val="none"/>
        </w:rPr>
      </w:pPr>
      <w:r>
        <w:rPr>
          <w:rFonts w:hint="eastAsia" w:ascii="黑体" w:hAnsi="黑体" w:eastAsia="黑体"/>
          <w:b/>
          <w:color w:val="auto"/>
          <w:sz w:val="32"/>
          <w:szCs w:val="32"/>
          <w:highlight w:val="none"/>
        </w:rPr>
        <w:t>正在施工的和新承接的项目情况表</w:t>
      </w:r>
    </w:p>
    <w:tbl>
      <w:tblPr>
        <w:tblStyle w:val="26"/>
        <w:tblW w:w="84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52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项目所在地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发包人名称</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发包人地址</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发包人电话</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签约合同价</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开工日期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计划竣工日期</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承担的工作</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工程质量</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项目经理</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技术负责人</w:t>
            </w:r>
          </w:p>
        </w:tc>
        <w:tc>
          <w:tcPr>
            <w:tcW w:w="5218" w:type="dxa"/>
          </w:tcPr>
          <w:p>
            <w:pPr>
              <w:spacing w:line="360" w:lineRule="auto"/>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9" w:hRule="atLeast"/>
        </w:trPr>
        <w:tc>
          <w:tcPr>
            <w:tcW w:w="3196" w:type="dxa"/>
            <w:vAlign w:val="center"/>
          </w:tcPr>
          <w:p>
            <w:pPr>
              <w:spacing w:line="360" w:lineRule="auto"/>
              <w:rPr>
                <w:rFonts w:ascii="宋体" w:hAnsi="宋体"/>
                <w:color w:val="auto"/>
                <w:szCs w:val="21"/>
                <w:highlight w:val="none"/>
              </w:rPr>
            </w:pPr>
            <w:r>
              <w:rPr>
                <w:rFonts w:hint="eastAsia" w:ascii="宋体" w:hAnsi="宋体"/>
                <w:color w:val="auto"/>
                <w:szCs w:val="21"/>
                <w:highlight w:val="none"/>
              </w:rPr>
              <w:t>项目描述</w:t>
            </w:r>
          </w:p>
        </w:tc>
        <w:tc>
          <w:tcPr>
            <w:tcW w:w="5218" w:type="dxa"/>
          </w:tcPr>
          <w:p>
            <w:pPr>
              <w:spacing w:line="360" w:lineRule="auto"/>
              <w:ind w:firstLine="420" w:firstLineChars="200"/>
              <w:rPr>
                <w:rFonts w:ascii="宋体" w:hAnsi="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9" w:hRule="atLeast"/>
        </w:trPr>
        <w:tc>
          <w:tcPr>
            <w:tcW w:w="3196" w:type="dxa"/>
          </w:tcPr>
          <w:p>
            <w:pPr>
              <w:spacing w:line="360" w:lineRule="auto"/>
              <w:rPr>
                <w:rFonts w:ascii="宋体" w:hAnsi="宋体"/>
                <w:color w:val="auto"/>
                <w:szCs w:val="21"/>
                <w:highlight w:val="none"/>
              </w:rPr>
            </w:pPr>
            <w:r>
              <w:rPr>
                <w:rFonts w:hint="eastAsia" w:ascii="宋体" w:hAnsi="宋体"/>
                <w:color w:val="auto"/>
                <w:szCs w:val="21"/>
                <w:highlight w:val="none"/>
              </w:rPr>
              <w:t>备注</w:t>
            </w:r>
          </w:p>
        </w:tc>
        <w:tc>
          <w:tcPr>
            <w:tcW w:w="5218" w:type="dxa"/>
          </w:tcPr>
          <w:p>
            <w:pPr>
              <w:spacing w:line="360" w:lineRule="auto"/>
              <w:rPr>
                <w:rFonts w:ascii="宋体" w:hAnsi="宋体"/>
                <w:color w:val="auto"/>
                <w:szCs w:val="21"/>
                <w:highlight w:val="none"/>
              </w:rPr>
            </w:pPr>
          </w:p>
        </w:tc>
      </w:tr>
    </w:tbl>
    <w:p>
      <w:pPr>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拟投入的主要施工人员一览表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6"/>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586"/>
        <w:gridCol w:w="630"/>
        <w:gridCol w:w="630"/>
        <w:gridCol w:w="1260"/>
        <w:gridCol w:w="1347"/>
        <w:gridCol w:w="1432"/>
        <w:gridCol w:w="13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本工程拟任岗位</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性别</w:t>
            </w: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专业学历</w:t>
            </w: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专业年限</w:t>
            </w: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现任职务和职称</w:t>
            </w: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安排上岗起止时间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828"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586"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63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26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47"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432"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395"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、投标人的项目负责人、项目班组人员均应列入。</w:t>
      </w:r>
      <w:r>
        <w:rPr>
          <w:color w:val="auto"/>
          <w:szCs w:val="21"/>
          <w:highlight w:val="none"/>
        </w:rPr>
        <w:t>2</w:t>
      </w:r>
      <w:r>
        <w:rPr>
          <w:rFonts w:hint="eastAsia"/>
          <w:color w:val="auto"/>
          <w:szCs w:val="21"/>
          <w:highlight w:val="none"/>
        </w:rPr>
        <w:t>、列入本表人员如更换需经过发包单位的同意，擅自更换或不到位均属违约行为。</w:t>
      </w:r>
    </w:p>
    <w:p>
      <w:pPr>
        <w:spacing w:line="480" w:lineRule="auto"/>
        <w:rPr>
          <w:color w:val="auto"/>
          <w:szCs w:val="21"/>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jc w:val="center"/>
        <w:rPr>
          <w:rFonts w:ascii="黑体" w:hAnsi="黑体" w:eastAsia="黑体"/>
          <w:b/>
          <w:color w:val="auto"/>
          <w:sz w:val="30"/>
          <w:szCs w:val="30"/>
          <w:highlight w:val="none"/>
        </w:rPr>
      </w:pPr>
    </w:p>
    <w:p>
      <w:pPr>
        <w:jc w:val="center"/>
        <w:rPr>
          <w:rFonts w:ascii="黑体" w:hAnsi="黑体" w:eastAsia="黑体"/>
          <w:b/>
          <w:color w:val="auto"/>
          <w:sz w:val="30"/>
          <w:szCs w:val="30"/>
          <w:highlight w:val="none"/>
        </w:rPr>
      </w:pPr>
      <w:r>
        <w:rPr>
          <w:rFonts w:hint="eastAsia" w:ascii="黑体" w:hAnsi="黑体" w:eastAsia="黑体"/>
          <w:b/>
          <w:color w:val="auto"/>
          <w:sz w:val="30"/>
          <w:szCs w:val="30"/>
          <w:highlight w:val="none"/>
        </w:rPr>
        <w:t>拟投入的主要班组人员的工作履历表</w:t>
      </w:r>
    </w:p>
    <w:p>
      <w:pPr>
        <w:spacing w:line="480" w:lineRule="auto"/>
        <w:rPr>
          <w:color w:val="auto"/>
          <w:szCs w:val="21"/>
          <w:highlight w:val="none"/>
        </w:rPr>
      </w:pPr>
      <w:r>
        <w:rPr>
          <w:rFonts w:hint="eastAsia"/>
          <w:color w:val="auto"/>
          <w:szCs w:val="21"/>
          <w:highlight w:val="none"/>
        </w:rPr>
        <w:t>投标人：</w:t>
      </w:r>
      <w:r>
        <w:rPr>
          <w:color w:val="auto"/>
          <w:szCs w:val="21"/>
          <w:highlight w:val="none"/>
        </w:rPr>
        <w:t xml:space="preserve"> </w:t>
      </w:r>
      <w:r>
        <w:rPr>
          <w:rFonts w:hint="eastAsia"/>
          <w:color w:val="auto"/>
          <w:szCs w:val="21"/>
          <w:highlight w:val="none"/>
        </w:rPr>
        <w:t xml:space="preserve">                      </w:t>
      </w:r>
      <w:r>
        <w:rPr>
          <w:color w:val="auto"/>
          <w:szCs w:val="21"/>
          <w:highlight w:val="none"/>
        </w:rPr>
        <w:t xml:space="preserve"> </w:t>
      </w:r>
      <w:r>
        <w:rPr>
          <w:rFonts w:hint="eastAsia"/>
          <w:color w:val="auto"/>
          <w:szCs w:val="21"/>
          <w:highlight w:val="none"/>
        </w:rPr>
        <w:t>（盖章）</w:t>
      </w:r>
    </w:p>
    <w:tbl>
      <w:tblPr>
        <w:tblStyle w:val="26"/>
        <w:tblW w:w="9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
        <w:gridCol w:w="1242"/>
        <w:gridCol w:w="1242"/>
        <w:gridCol w:w="1242"/>
        <w:gridCol w:w="2290"/>
        <w:gridCol w:w="1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姓名</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年龄</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专业</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7" w:hRule="atLeast"/>
        </w:trPr>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职称</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职务</w:t>
            </w:r>
          </w:p>
        </w:tc>
        <w:tc>
          <w:tcPr>
            <w:tcW w:w="1242"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拟在本合同</w:t>
            </w:r>
          </w:p>
          <w:p>
            <w:pPr>
              <w:spacing w:line="480" w:lineRule="auto"/>
              <w:jc w:val="center"/>
              <w:rPr>
                <w:color w:val="auto"/>
                <w:szCs w:val="21"/>
                <w:highlight w:val="none"/>
              </w:rPr>
            </w:pPr>
            <w:r>
              <w:rPr>
                <w:rFonts w:hint="eastAsia"/>
                <w:color w:val="auto"/>
                <w:szCs w:val="21"/>
                <w:highlight w:val="none"/>
              </w:rPr>
              <w:t>担任职务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2" w:type="dxa"/>
            <w:gridSpan w:val="2"/>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毕业学校</w:t>
            </w:r>
          </w:p>
        </w:tc>
        <w:tc>
          <w:tcPr>
            <w:tcW w:w="7866" w:type="dxa"/>
            <w:gridSpan w:val="5"/>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08" w:type="dxa"/>
            <w:gridSpan w:val="7"/>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经</w:t>
            </w:r>
            <w:r>
              <w:rPr>
                <w:color w:val="auto"/>
                <w:szCs w:val="21"/>
                <w:highlight w:val="none"/>
              </w:rPr>
              <w:t xml:space="preserve">               </w:t>
            </w:r>
            <w:r>
              <w:rPr>
                <w:rFonts w:hint="eastAsia"/>
                <w:color w:val="auto"/>
                <w:szCs w:val="21"/>
                <w:highlight w:val="none"/>
              </w:rPr>
              <w:t>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年</w:t>
            </w:r>
            <w:r>
              <w:rPr>
                <w:color w:val="auto"/>
                <w:szCs w:val="21"/>
                <w:highlight w:val="none"/>
              </w:rPr>
              <w:t xml:space="preserve">   </w:t>
            </w:r>
            <w:r>
              <w:rPr>
                <w:rFonts w:hint="eastAsia"/>
                <w:color w:val="auto"/>
                <w:szCs w:val="21"/>
                <w:highlight w:val="none"/>
              </w:rPr>
              <w:t>年</w:t>
            </w: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参加过项目名称</w:t>
            </w: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担任何职务</w:t>
            </w: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trPr>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28" w:type="dxa"/>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3740" w:type="dxa"/>
            <w:gridSpan w:val="4"/>
            <w:tcBorders>
              <w:top w:val="single" w:color="auto" w:sz="4" w:space="0"/>
              <w:left w:val="single" w:color="auto" w:sz="4" w:space="0"/>
              <w:bottom w:val="single" w:color="auto" w:sz="4" w:space="0"/>
              <w:right w:val="single" w:color="auto" w:sz="4" w:space="0"/>
            </w:tcBorders>
            <w:vAlign w:val="center"/>
          </w:tcPr>
          <w:p>
            <w:pPr>
              <w:spacing w:line="480" w:lineRule="auto"/>
              <w:jc w:val="center"/>
              <w:rPr>
                <w:color w:val="auto"/>
                <w:szCs w:val="21"/>
                <w:highlight w:val="none"/>
              </w:rPr>
            </w:pPr>
          </w:p>
        </w:tc>
        <w:tc>
          <w:tcPr>
            <w:tcW w:w="229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c>
          <w:tcPr>
            <w:tcW w:w="1850" w:type="dxa"/>
            <w:tcBorders>
              <w:top w:val="single" w:color="auto" w:sz="4" w:space="0"/>
              <w:left w:val="single" w:color="auto" w:sz="4" w:space="0"/>
              <w:bottom w:val="single" w:color="auto" w:sz="4" w:space="0"/>
              <w:right w:val="single" w:color="auto" w:sz="4" w:space="0"/>
            </w:tcBorders>
            <w:vAlign w:val="center"/>
          </w:tcPr>
          <w:p>
            <w:pPr>
              <w:spacing w:line="480" w:lineRule="auto"/>
              <w:ind w:firstLine="6415"/>
              <w:jc w:val="center"/>
              <w:rPr>
                <w:color w:val="auto"/>
                <w:szCs w:val="21"/>
                <w:highlight w:val="none"/>
              </w:rPr>
            </w:pPr>
          </w:p>
        </w:tc>
      </w:tr>
    </w:tbl>
    <w:p>
      <w:pPr>
        <w:spacing w:line="480" w:lineRule="auto"/>
        <w:rPr>
          <w:color w:val="auto"/>
          <w:szCs w:val="21"/>
          <w:highlight w:val="none"/>
        </w:rPr>
      </w:pPr>
    </w:p>
    <w:p>
      <w:pPr>
        <w:spacing w:line="480" w:lineRule="auto"/>
        <w:rPr>
          <w:color w:val="auto"/>
          <w:szCs w:val="21"/>
          <w:highlight w:val="none"/>
        </w:rPr>
      </w:pPr>
      <w:r>
        <w:rPr>
          <w:rFonts w:hint="eastAsia"/>
          <w:color w:val="auto"/>
          <w:szCs w:val="21"/>
          <w:highlight w:val="none"/>
        </w:rPr>
        <w:t>注：</w:t>
      </w:r>
      <w:r>
        <w:rPr>
          <w:color w:val="auto"/>
          <w:szCs w:val="21"/>
          <w:highlight w:val="none"/>
        </w:rPr>
        <w:t>1</w:t>
      </w:r>
      <w:r>
        <w:rPr>
          <w:rFonts w:hint="eastAsia"/>
          <w:color w:val="auto"/>
          <w:szCs w:val="21"/>
          <w:highlight w:val="none"/>
        </w:rPr>
        <w:t>、本表中人员如职称证书、岗位证书等资料复印件附后。</w: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rPr>
          <w:color w:val="auto"/>
          <w:highlight w:val="none"/>
        </w:rPr>
      </w:pPr>
    </w:p>
    <w:p>
      <w:pPr>
        <w:rPr>
          <w:color w:val="auto"/>
          <w:highlight w:val="none"/>
        </w:rPr>
      </w:pPr>
    </w:p>
    <w:p>
      <w:pPr>
        <w:pStyle w:val="25"/>
        <w:ind w:firstLine="340"/>
        <w:rPr>
          <w:color w:val="auto"/>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t>项目名称：</w:t>
      </w:r>
      <w:r>
        <w:rPr>
          <w:rFonts w:hint="eastAsia" w:asciiTheme="minorEastAsia" w:hAnsiTheme="minorEastAsia" w:eastAsiaTheme="minorEastAsia" w:cstheme="minorEastAsia"/>
          <w:color w:val="auto"/>
          <w:sz w:val="32"/>
          <w:szCs w:val="32"/>
          <w:highlight w:val="none"/>
          <w:u w:val="single"/>
        </w:rPr>
        <w:t xml:space="preserve">                          </w:t>
      </w:r>
      <w:r>
        <w:rPr>
          <w:rFonts w:hint="eastAsia" w:asciiTheme="minorEastAsia" w:hAnsiTheme="minorEastAsia" w:eastAsiaTheme="minorEastAsia" w:cstheme="minorEastAsia"/>
          <w:color w:val="auto"/>
          <w:sz w:val="32"/>
          <w:szCs w:val="32"/>
          <w:highlight w:val="none"/>
        </w:rPr>
        <w:t>项目</w:t>
      </w: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00" w:lineRule="exact"/>
        <w:ind w:firstLine="210"/>
        <w:jc w:val="center"/>
        <w:rPr>
          <w:rFonts w:asciiTheme="minorEastAsia" w:hAnsiTheme="minorEastAsia" w:eastAsiaTheme="minorEastAsia" w:cstheme="minorEastAsia"/>
          <w:color w:val="auto"/>
          <w:sz w:val="32"/>
          <w:szCs w:val="32"/>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r>
        <w:rPr>
          <w:rFonts w:hint="eastAsia" w:asciiTheme="minorEastAsia" w:hAnsiTheme="minorEastAsia" w:eastAsiaTheme="minorEastAsia" w:cstheme="minorEastAsia"/>
          <w:color w:val="auto"/>
          <w:sz w:val="44"/>
          <w:szCs w:val="44"/>
          <w:highlight w:val="none"/>
        </w:rPr>
        <w:t>投标文件</w:t>
      </w: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480" w:lineRule="auto"/>
        <w:ind w:firstLine="210"/>
        <w:jc w:val="center"/>
        <w:rPr>
          <w:rFonts w:asciiTheme="minorEastAsia" w:hAnsiTheme="minorEastAsia" w:eastAsiaTheme="minorEastAsia" w:cstheme="minorEastAsia"/>
          <w:color w:val="auto"/>
          <w:sz w:val="44"/>
          <w:szCs w:val="44"/>
          <w:highlight w:val="none"/>
        </w:rPr>
      </w:pPr>
    </w:p>
    <w:p>
      <w:pPr>
        <w:spacing w:line="360" w:lineRule="auto"/>
        <w:ind w:firstLine="210"/>
        <w:rPr>
          <w:rFonts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 xml:space="preserve">投标文件内容: </w:t>
      </w:r>
      <w:r>
        <w:rPr>
          <w:rFonts w:hint="eastAsia" w:asciiTheme="minorEastAsia" w:hAnsiTheme="minorEastAsia" w:eastAsiaTheme="minorEastAsia" w:cstheme="minorEastAsia"/>
          <w:color w:val="auto"/>
          <w:sz w:val="28"/>
          <w:szCs w:val="28"/>
          <w:highlight w:val="none"/>
          <w:u w:val="single"/>
        </w:rPr>
        <w:t xml:space="preserve">    商务标</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投标人：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（签字或盖章）</w:t>
      </w:r>
    </w:p>
    <w:p>
      <w:pPr>
        <w:spacing w:line="360" w:lineRule="auto"/>
        <w:ind w:firstLine="21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pPr>
        <w:pStyle w:val="25"/>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ind w:firstLine="280"/>
        <w:rPr>
          <w:color w:val="auto"/>
          <w:highlight w:val="none"/>
        </w:rPr>
      </w:pPr>
    </w:p>
    <w:p>
      <w:pPr>
        <w:ind w:firstLine="280"/>
        <w:rPr>
          <w:rFonts w:asciiTheme="minorEastAsia" w:hAnsiTheme="minorEastAsia" w:eastAsiaTheme="minorEastAsia" w:cstheme="minorEastAsia"/>
          <w:color w:val="auto"/>
          <w:sz w:val="28"/>
          <w:szCs w:val="28"/>
          <w:highlight w:val="none"/>
        </w:rPr>
      </w:pP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（1）投标函(格式一)</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（2）法定代表人授权书及法定代表人身份证明(格式二、格式三)</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（3）投标报价表（格式五）</w:t>
      </w:r>
    </w:p>
    <w:p>
      <w:pPr>
        <w:pStyle w:val="9"/>
        <w:spacing w:line="360" w:lineRule="auto"/>
        <w:ind w:firstLine="410" w:firstLineChars="171"/>
        <w:rPr>
          <w:rFonts w:asciiTheme="minorEastAsia" w:hAnsiTheme="minorEastAsia" w:eastAsiaTheme="minorEastAsia" w:cstheme="minorEastAsia"/>
          <w:strike/>
          <w:color w:val="auto"/>
          <w:sz w:val="24"/>
          <w:szCs w:val="24"/>
          <w:highlight w:val="none"/>
        </w:rPr>
      </w:pPr>
      <w:r>
        <w:rPr>
          <w:rFonts w:hint="eastAsia" w:asciiTheme="minorEastAsia" w:hAnsiTheme="minorEastAsia" w:eastAsiaTheme="minorEastAsia" w:cstheme="minorEastAsia"/>
          <w:strike/>
          <w:color w:val="auto"/>
          <w:sz w:val="24"/>
          <w:szCs w:val="24"/>
          <w:highlight w:val="none"/>
        </w:rPr>
        <w:t>（4）商务条款偏离表（格式自拟）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☑（5）随机备品备件一览表（格式自拟）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☑（6）供招标人选购的备品备件一览表（格式自拟）</w:t>
      </w:r>
    </w:p>
    <w:p>
      <w:pPr>
        <w:pStyle w:val="9"/>
        <w:spacing w:line="360" w:lineRule="auto"/>
        <w:ind w:firstLine="410" w:firstLineChars="171"/>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Style w:val="43"/>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rPr>
        <w:t>专用检测设备及专用维修工具一览表（格式自拟）</w:t>
      </w:r>
    </w:p>
    <w:p>
      <w:pPr>
        <w:pStyle w:val="25"/>
        <w:ind w:firstLine="0" w:firstLineChars="0"/>
        <w:rPr>
          <w:color w:val="auto"/>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pStyle w:val="25"/>
        <w:ind w:firstLine="280"/>
        <w:rPr>
          <w:rFonts w:asciiTheme="minorEastAsia" w:hAnsiTheme="minorEastAsia" w:eastAsiaTheme="minorEastAsia" w:cstheme="minorEastAsia"/>
          <w:color w:val="auto"/>
          <w:sz w:val="28"/>
          <w:szCs w:val="28"/>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rFonts w:asciiTheme="minorEastAsia" w:hAnsiTheme="minorEastAsia" w:eastAsiaTheme="minorEastAsia" w:cstheme="minorEastAsia"/>
          <w:color w:val="auto"/>
          <w:sz w:val="24"/>
          <w:szCs w:val="24"/>
          <w:highlight w:val="none"/>
        </w:rPr>
      </w:pPr>
    </w:p>
    <w:p>
      <w:pPr>
        <w:pStyle w:val="3"/>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pStyle w:val="2"/>
        <w:rPr>
          <w:color w:val="auto"/>
          <w:highlight w:val="none"/>
        </w:rPr>
      </w:pPr>
    </w:p>
    <w:p>
      <w:pPr>
        <w:pStyle w:val="25"/>
        <w:ind w:firstLine="240"/>
        <w:rPr>
          <w:rFonts w:asciiTheme="minorEastAsia" w:hAnsiTheme="minorEastAsia" w:eastAsiaTheme="minorEastAsia" w:cstheme="minorEastAsia"/>
          <w:color w:val="auto"/>
          <w:sz w:val="24"/>
          <w:szCs w:val="24"/>
          <w:highlight w:val="none"/>
        </w:rPr>
      </w:pPr>
    </w:p>
    <w:p>
      <w:pPr>
        <w:rPr>
          <w:rFonts w:asciiTheme="minorEastAsia" w:hAnsiTheme="minorEastAsia" w:eastAsiaTheme="minorEastAsia" w:cstheme="minorEastAsia"/>
          <w:color w:val="auto"/>
          <w:sz w:val="24"/>
          <w:szCs w:val="24"/>
          <w:highlight w:val="none"/>
        </w:rPr>
      </w:pPr>
    </w:p>
    <w:p>
      <w:pPr>
        <w:spacing w:line="360" w:lineRule="auto"/>
        <w:ind w:firstLine="210"/>
        <w:rPr>
          <w:rFonts w:asciiTheme="minorEastAsia" w:hAnsiTheme="minorEastAsia" w:eastAsiaTheme="minorEastAsia" w:cstheme="minorEastAsia"/>
          <w:color w:val="auto"/>
          <w:kern w:val="44"/>
          <w:sz w:val="24"/>
          <w:szCs w:val="24"/>
          <w:highlight w:val="none"/>
        </w:rPr>
      </w:pPr>
      <w:r>
        <w:rPr>
          <w:rFonts w:hint="eastAsia" w:asciiTheme="minorEastAsia" w:hAnsiTheme="minorEastAsia" w:eastAsiaTheme="minorEastAsia" w:cstheme="minorEastAsia"/>
          <w:color w:val="auto"/>
          <w:kern w:val="44"/>
          <w:sz w:val="24"/>
          <w:szCs w:val="24"/>
          <w:highlight w:val="none"/>
        </w:rPr>
        <w:t>格式一</w:t>
      </w:r>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p>
    <w:p>
      <w:pPr>
        <w:spacing w:line="420" w:lineRule="exact"/>
        <w:ind w:firstLine="321"/>
        <w:jc w:val="center"/>
        <w:rPr>
          <w:rFonts w:asciiTheme="minorEastAsia" w:hAnsiTheme="minorEastAsia" w:eastAsiaTheme="minorEastAsia" w:cstheme="minorEastAsia"/>
          <w:b/>
          <w:bCs/>
          <w:color w:val="auto"/>
          <w:sz w:val="24"/>
          <w:szCs w:val="24"/>
          <w:highlight w:val="none"/>
        </w:rPr>
      </w:pPr>
      <w:bookmarkStart w:id="444" w:name="_Toc372212493"/>
      <w:bookmarkStart w:id="445" w:name="_Toc320271436"/>
      <w:bookmarkStart w:id="446" w:name="_Toc413527443"/>
    </w:p>
    <w:p>
      <w:pPr>
        <w:spacing w:line="420" w:lineRule="exact"/>
        <w:ind w:firstLine="321"/>
        <w:jc w:val="center"/>
        <w:rPr>
          <w:rFonts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 xml:space="preserve">投 标 </w:t>
      </w:r>
      <w:bookmarkEnd w:id="444"/>
      <w:bookmarkEnd w:id="445"/>
      <w:r>
        <w:rPr>
          <w:rFonts w:hint="eastAsia" w:asciiTheme="minorEastAsia" w:hAnsiTheme="minorEastAsia" w:eastAsiaTheme="minorEastAsia" w:cstheme="minorEastAsia"/>
          <w:b/>
          <w:bCs/>
          <w:color w:val="auto"/>
          <w:sz w:val="24"/>
          <w:szCs w:val="24"/>
          <w:highlight w:val="none"/>
        </w:rPr>
        <w:t>函</w:t>
      </w:r>
      <w:bookmarkEnd w:id="446"/>
    </w:p>
    <w:p>
      <w:pPr>
        <w:spacing w:line="360" w:lineRule="auto"/>
        <w:ind w:firstLine="211"/>
        <w:rPr>
          <w:rFonts w:asciiTheme="minorEastAsia" w:hAnsiTheme="minorEastAsia" w:eastAsiaTheme="minorEastAsia" w:cstheme="minorEastAsia"/>
          <w:b/>
          <w:bCs/>
          <w:color w:val="auto"/>
          <w:sz w:val="24"/>
          <w:szCs w:val="24"/>
          <w:highlight w:val="none"/>
        </w:rPr>
      </w:pPr>
    </w:p>
    <w:p>
      <w:pPr>
        <w:spacing w:line="360" w:lineRule="auto"/>
        <w:ind w:firstLine="211"/>
        <w:rPr>
          <w:rFonts w:asciiTheme="minorEastAsia" w:hAnsiTheme="minorEastAsia" w:eastAsiaTheme="minorEastAsia" w:cstheme="minorEastAsia"/>
          <w:b/>
          <w:color w:val="auto"/>
          <w:sz w:val="24"/>
          <w:szCs w:val="24"/>
          <w:highlight w:val="none"/>
          <w:u w:val="single"/>
        </w:rPr>
      </w:pPr>
      <w:r>
        <w:rPr>
          <w:rFonts w:hint="eastAsia" w:asciiTheme="minorEastAsia" w:hAnsiTheme="minorEastAsia" w:eastAsiaTheme="minorEastAsia" w:cstheme="minorEastAsia"/>
          <w:b/>
          <w:color w:val="auto"/>
          <w:sz w:val="24"/>
          <w:szCs w:val="24"/>
          <w:highlight w:val="none"/>
          <w:u w:val="single"/>
        </w:rPr>
        <w:t xml:space="preserve">                    （招标人）：</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我方已全面阅读和研究了</w:t>
      </w:r>
      <w:r>
        <w:rPr>
          <w:rFonts w:hint="eastAsia" w:asciiTheme="minorEastAsia" w:hAnsiTheme="minorEastAsia" w:eastAsiaTheme="minorEastAsia" w:cstheme="minorEastAsia"/>
          <w:b/>
          <w:bCs/>
          <w:color w:val="auto"/>
          <w:sz w:val="24"/>
          <w:szCs w:val="24"/>
          <w:highlight w:val="none"/>
          <w:u w:val="single"/>
        </w:rPr>
        <w:t xml:space="preserve">      </w:t>
      </w:r>
      <w:r>
        <w:rPr>
          <w:rFonts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Theme="minorEastAsia" w:hAnsiTheme="minorEastAsia" w:eastAsiaTheme="minorEastAsia" w:cstheme="minorEastAsia"/>
          <w:b/>
          <w:bCs/>
          <w:color w:val="auto"/>
          <w:sz w:val="24"/>
          <w:szCs w:val="24"/>
          <w:highlight w:val="none"/>
          <w:u w:val="single"/>
        </w:rPr>
        <w:t xml:space="preserve">      </w:t>
      </w:r>
      <w:r>
        <w:rPr>
          <w:rFonts w:hint="eastAsia" w:asciiTheme="minorEastAsia" w:hAnsiTheme="minorEastAsia" w:eastAsiaTheme="minorEastAsia" w:cstheme="minorEastAsia"/>
          <w:b/>
          <w:bCs/>
          <w:color w:val="auto"/>
          <w:sz w:val="24"/>
          <w:szCs w:val="24"/>
          <w:highlight w:val="none"/>
        </w:rPr>
        <w:t>项目</w:t>
      </w:r>
      <w:r>
        <w:rPr>
          <w:rFonts w:hint="eastAsia" w:asciiTheme="minorEastAsia" w:hAnsiTheme="minorEastAsia" w:eastAsiaTheme="minorEastAsia" w:cstheme="minorEastAsia"/>
          <w:color w:val="auto"/>
          <w:sz w:val="24"/>
          <w:szCs w:val="24"/>
          <w:highlight w:val="none"/>
        </w:rPr>
        <w:t>全部内容进行投标。最终报价为人民币</w:t>
      </w:r>
      <w:r>
        <w:rPr>
          <w:rFonts w:hint="eastAsia" w:asciiTheme="minorEastAsia" w:hAnsiTheme="minorEastAsia" w:eastAsiaTheme="minorEastAsia" w:cstheme="minorEastAsia"/>
          <w:color w:val="auto"/>
          <w:sz w:val="24"/>
          <w:szCs w:val="24"/>
          <w:highlight w:val="none"/>
          <w:u w:val="single"/>
        </w:rPr>
        <w:t xml:space="preserve">（大写）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___</w:t>
      </w:r>
      <w:r>
        <w:rPr>
          <w:rFonts w:hint="eastAsia" w:asciiTheme="minorEastAsia" w:hAnsiTheme="minorEastAsia" w:eastAsiaTheme="minorEastAsia" w:cstheme="minorEastAsia"/>
          <w:color w:val="auto"/>
          <w:sz w:val="24"/>
          <w:szCs w:val="24"/>
          <w:highlight w:val="none"/>
        </w:rPr>
        <w:t>元，品牌__</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___，产地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，交货期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i/>
          <w:color w:val="auto"/>
          <w:sz w:val="24"/>
          <w:szCs w:val="24"/>
          <w:highlight w:val="none"/>
        </w:rPr>
        <w:t>（月或日历天）</w:t>
      </w:r>
      <w:r>
        <w:rPr>
          <w:rFonts w:hint="eastAsia" w:asciiTheme="minorEastAsia" w:hAnsiTheme="minorEastAsia" w:eastAsiaTheme="minorEastAsia" w:cstheme="minorEastAsia"/>
          <w:color w:val="auto"/>
          <w:sz w:val="24"/>
          <w:szCs w:val="24"/>
          <w:highlight w:val="none"/>
        </w:rPr>
        <w:t>，质量标准</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pStyle w:val="15"/>
        <w:spacing w:line="360" w:lineRule="auto"/>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我方将严格按照有关建设工程招标投标法规及招标文件的规定参加投标，并理解贵方不一定接受最低标价的投标，对定标结果也没有解释义务。如由我方中标，在接到你方发出的中标通知书起</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天内递交委托合同价2%的履约保证金，并按中标通知书、招标文件和本投标函的约定与你方签订委托合同，履行规定的一切责任和义务。</w:t>
      </w:r>
    </w:p>
    <w:p>
      <w:pPr>
        <w:spacing w:line="360" w:lineRule="auto"/>
        <w:ind w:firstLine="547" w:firstLineChars="228"/>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我们同意从投标之日起在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天的有效期内恪守本招标文件，在此期限期满之前的任何时间，本投标函全部条款内容对我方具有约束力。</w:t>
      </w:r>
    </w:p>
    <w:p>
      <w:pPr>
        <w:spacing w:line="360" w:lineRule="auto"/>
        <w:ind w:firstLine="547" w:firstLineChars="228"/>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color w:val="auto"/>
          <w:sz w:val="24"/>
          <w:szCs w:val="24"/>
          <w:highlight w:val="none"/>
        </w:rPr>
        <w:t>在合同协议书正式签署生效之前，本投标函连同你方的中标通知书将构成我们双方之间共同遵守的文件，对双方具有约束力。</w:t>
      </w: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ind w:left="480" w:firstLine="211"/>
        <w:rPr>
          <w:rFonts w:asciiTheme="minorEastAsia" w:hAnsiTheme="minorEastAsia" w:eastAsiaTheme="minorEastAsia" w:cstheme="minorEastAsia"/>
          <w:b/>
          <w:color w:val="auto"/>
          <w:sz w:val="24"/>
          <w:szCs w:val="24"/>
          <w:highlight w:val="none"/>
        </w:rPr>
      </w:pP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投标单位：</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法定代表或授权代表：</w:t>
      </w:r>
      <w:r>
        <w:rPr>
          <w:rFonts w:hint="eastAsia" w:asciiTheme="minorEastAsia" w:hAnsiTheme="minorEastAsia" w:eastAsiaTheme="minorEastAsia" w:cstheme="minorEastAsia"/>
          <w:color w:val="auto"/>
          <w:sz w:val="24"/>
          <w:szCs w:val="24"/>
          <w:highlight w:val="none"/>
          <w:u w:val="single"/>
        </w:rPr>
        <w:t xml:space="preserve">      </w:t>
      </w:r>
      <w:r>
        <w:rPr>
          <w:rFonts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                联系地址：</w:t>
      </w:r>
    </w:p>
    <w:p>
      <w:pPr>
        <w:spacing w:line="360" w:lineRule="auto"/>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                  邮编：</w:t>
      </w:r>
    </w:p>
    <w:p>
      <w:pPr>
        <w:spacing w:line="360" w:lineRule="auto"/>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spacing w:line="360" w:lineRule="auto"/>
        <w:rPr>
          <w:rFonts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rPr>
        <w:t xml:space="preserve">日期：  年    月    日  </w:t>
      </w:r>
    </w:p>
    <w:p>
      <w:pPr>
        <w:pStyle w:val="25"/>
        <w:ind w:firstLine="340"/>
        <w:rPr>
          <w:color w:val="auto"/>
          <w:highlight w:val="none"/>
        </w:rPr>
      </w:pPr>
    </w:p>
    <w:p>
      <w:pPr>
        <w:rPr>
          <w:color w:val="auto"/>
          <w:highlight w:val="none"/>
        </w:rPr>
      </w:pPr>
    </w:p>
    <w:p>
      <w:pPr>
        <w:pStyle w:val="25"/>
        <w:ind w:firstLine="340"/>
        <w:rPr>
          <w:color w:val="auto"/>
          <w:highlight w:val="none"/>
        </w:rPr>
      </w:pPr>
    </w:p>
    <w:p>
      <w:pPr>
        <w:rPr>
          <w:color w:val="auto"/>
          <w:highlight w:val="none"/>
        </w:rPr>
      </w:pPr>
    </w:p>
    <w:p>
      <w:pPr>
        <w:pStyle w:val="4"/>
        <w:spacing w:before="120" w:after="120" w:line="400" w:lineRule="exact"/>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格式二</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法定代表人身份证明</w:t>
      </w:r>
    </w:p>
    <w:p>
      <w:pPr>
        <w:spacing w:line="360" w:lineRule="auto"/>
        <w:ind w:firstLine="280"/>
        <w:jc w:val="center"/>
        <w:rPr>
          <w:rFonts w:asciiTheme="minorEastAsia" w:hAnsiTheme="minorEastAsia" w:eastAsiaTheme="minorEastAsia" w:cstheme="minorEastAsia"/>
          <w:color w:val="auto"/>
          <w:kern w:val="44"/>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投标人名称：</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单位性质：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地址：</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日</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经营期限：</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姓名：</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性别：</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年龄：</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职务：</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（投标人名称）的法定代表人。</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特此证明。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日         </w:t>
      </w:r>
    </w:p>
    <w:p>
      <w:pPr>
        <w:ind w:firstLine="210"/>
        <w:rPr>
          <w:rFonts w:asciiTheme="minorEastAsia" w:hAnsiTheme="minorEastAsia" w:eastAsiaTheme="minorEastAsia" w:cstheme="minorEastAsia"/>
          <w:color w:val="auto"/>
          <w:sz w:val="24"/>
          <w:szCs w:val="24"/>
          <w:highlight w:val="none"/>
        </w:rPr>
      </w:pPr>
    </w:p>
    <w:tbl>
      <w:tblPr>
        <w:tblStyle w:val="26"/>
        <w:tblW w:w="5886" w:type="dxa"/>
        <w:tblInd w:w="208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pStyle w:val="4"/>
        <w:spacing w:before="120" w:after="120" w:line="400" w:lineRule="exact"/>
        <w:ind w:firstLine="321"/>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rPr>
        <w:br w:type="page"/>
      </w:r>
      <w:r>
        <w:rPr>
          <w:rFonts w:hint="eastAsia" w:asciiTheme="minorEastAsia" w:hAnsiTheme="minorEastAsia" w:eastAsiaTheme="minorEastAsia" w:cstheme="minorEastAsia"/>
          <w:b w:val="0"/>
          <w:bCs w:val="0"/>
          <w:color w:val="auto"/>
          <w:sz w:val="24"/>
          <w:szCs w:val="24"/>
          <w:highlight w:val="none"/>
        </w:rPr>
        <w:t>格式三</w:t>
      </w:r>
    </w:p>
    <w:p>
      <w:pPr>
        <w:pStyle w:val="4"/>
        <w:spacing w:before="120" w:after="120" w:line="400" w:lineRule="exact"/>
        <w:ind w:firstLine="280"/>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授权委托书</w:t>
      </w:r>
    </w:p>
    <w:p>
      <w:pPr>
        <w:spacing w:line="420" w:lineRule="exact"/>
        <w:ind w:firstLine="280"/>
        <w:rPr>
          <w:rFonts w:asciiTheme="minorEastAsia" w:hAnsiTheme="minorEastAsia" w:eastAsiaTheme="minorEastAsia" w:cstheme="minorEastAsia"/>
          <w:color w:val="auto"/>
          <w:kern w:val="44"/>
          <w:sz w:val="24"/>
          <w:szCs w:val="24"/>
          <w:highlight w:val="none"/>
        </w:rPr>
      </w:pPr>
    </w:p>
    <w:p>
      <w:pPr>
        <w:topLinePunct/>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（姓名）系</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（投标人名称）的法定代表人，现委托</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（项目名称）的投标文件、签订合同和处理有关事宜，其法律后果由我方承担。</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代理人无转委托权。</w:t>
      </w:r>
    </w:p>
    <w:p>
      <w:pPr>
        <w:ind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附：法定代表人身份证明</w:t>
      </w: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（签字或盖章）</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（签字或盖章） </w:t>
      </w:r>
    </w:p>
    <w:p>
      <w:pPr>
        <w:ind w:firstLine="21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身份证号码：</w:t>
      </w:r>
      <w:r>
        <w:rPr>
          <w:rFonts w:hint="eastAsia" w:asciiTheme="minorEastAsia" w:hAnsiTheme="minorEastAsia" w:eastAsiaTheme="minorEastAsia" w:cstheme="minorEastAsia"/>
          <w:color w:val="auto"/>
          <w:sz w:val="24"/>
          <w:szCs w:val="24"/>
          <w:highlight w:val="none"/>
          <w:u w:val="single"/>
        </w:rPr>
        <w:t xml:space="preserve">                                      </w:t>
      </w:r>
    </w:p>
    <w:p>
      <w:pPr>
        <w:ind w:firstLine="210"/>
        <w:rPr>
          <w:rFonts w:asciiTheme="minorEastAsia" w:hAnsiTheme="minorEastAsia" w:eastAsiaTheme="minorEastAsia" w:cstheme="minorEastAsia"/>
          <w:color w:val="auto"/>
          <w:sz w:val="24"/>
          <w:szCs w:val="24"/>
          <w:highlight w:val="none"/>
        </w:rPr>
      </w:pPr>
    </w:p>
    <w:p>
      <w:pPr>
        <w:ind w:firstLine="2640" w:firstLineChars="11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pPr>
        <w:ind w:firstLine="6360" w:firstLineChars="265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p>
      <w:pPr>
        <w:ind w:firstLine="210"/>
        <w:rPr>
          <w:rFonts w:asciiTheme="minorEastAsia" w:hAnsiTheme="minorEastAsia" w:eastAsiaTheme="minorEastAsia" w:cstheme="minorEastAsia"/>
          <w:color w:val="auto"/>
          <w:sz w:val="24"/>
          <w:szCs w:val="24"/>
          <w:highlight w:val="none"/>
        </w:rPr>
      </w:pPr>
    </w:p>
    <w:tbl>
      <w:tblPr>
        <w:tblStyle w:val="26"/>
        <w:tblW w:w="5886" w:type="dxa"/>
        <w:tblInd w:w="1908" w:type="dxa"/>
        <w:tblLayout w:type="fixed"/>
        <w:tblCellMar>
          <w:top w:w="0" w:type="dxa"/>
          <w:left w:w="108" w:type="dxa"/>
          <w:bottom w:w="0" w:type="dxa"/>
          <w:right w:w="108" w:type="dxa"/>
        </w:tblCellMar>
      </w:tblPr>
      <w:tblGrid>
        <w:gridCol w:w="5886"/>
      </w:tblGrid>
      <w:tr>
        <w:tblPrEx>
          <w:tblCellMar>
            <w:top w:w="0" w:type="dxa"/>
            <w:left w:w="108" w:type="dxa"/>
            <w:bottom w:w="0" w:type="dxa"/>
            <w:right w:w="108" w:type="dxa"/>
          </w:tblCellMar>
        </w:tblPrEx>
        <w:tc>
          <w:tcPr>
            <w:tcW w:w="5886" w:type="dxa"/>
            <w:tcBorders>
              <w:top w:val="single" w:color="auto" w:sz="4" w:space="0"/>
              <w:left w:val="single" w:color="auto" w:sz="4" w:space="0"/>
              <w:bottom w:val="single" w:color="auto" w:sz="4" w:space="0"/>
              <w:right w:val="single" w:color="auto" w:sz="4" w:space="0"/>
            </w:tcBorders>
          </w:tcPr>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p>
          <w:p>
            <w:pPr>
              <w:adjustRightInd w:val="0"/>
              <w:snapToGrid w:val="0"/>
              <w:ind w:firstLine="210"/>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委托代理人身份证复印件</w:t>
            </w: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p>
            <w:pPr>
              <w:adjustRightInd w:val="0"/>
              <w:snapToGrid w:val="0"/>
              <w:ind w:left="5250" w:firstLine="480" w:firstLineChars="200"/>
              <w:rPr>
                <w:rFonts w:asciiTheme="minorEastAsia" w:hAnsiTheme="minorEastAsia" w:eastAsiaTheme="minorEastAsia" w:cstheme="minorEastAsia"/>
                <w:color w:val="auto"/>
                <w:sz w:val="24"/>
                <w:szCs w:val="24"/>
                <w:highlight w:val="none"/>
              </w:rPr>
            </w:pPr>
          </w:p>
        </w:tc>
      </w:tr>
    </w:tbl>
    <w:p>
      <w:pPr>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spacing w:line="360" w:lineRule="auto"/>
        <w:ind w:firstLine="211"/>
        <w:jc w:val="left"/>
        <w:rPr>
          <w:rFonts w:asciiTheme="minorEastAsia" w:hAnsiTheme="minorEastAsia" w:eastAsiaTheme="minorEastAsia" w:cstheme="minorEastAsia"/>
          <w:b/>
          <w:color w:val="auto"/>
          <w:sz w:val="24"/>
          <w:szCs w:val="24"/>
          <w:highlight w:val="none"/>
        </w:rPr>
      </w:pPr>
    </w:p>
    <w:p>
      <w:pPr>
        <w:ind w:firstLine="340"/>
        <w:rPr>
          <w:color w:val="auto"/>
          <w:highlight w:val="none"/>
        </w:rPr>
      </w:pPr>
    </w:p>
    <w:p>
      <w:pPr>
        <w:rPr>
          <w:color w:val="auto"/>
          <w:highlight w:val="none"/>
        </w:rPr>
      </w:pPr>
    </w:p>
    <w:p>
      <w:pPr>
        <w:pStyle w:val="25"/>
        <w:ind w:firstLine="340"/>
        <w:rPr>
          <w:color w:val="auto"/>
          <w:highlight w:val="none"/>
        </w:rPr>
      </w:pPr>
    </w:p>
    <w:p>
      <w:pPr>
        <w:spacing w:line="360" w:lineRule="auto"/>
        <w:ind w:firstLine="211"/>
        <w:jc w:val="left"/>
        <w:rPr>
          <w:rFonts w:asciiTheme="minorEastAsia" w:hAnsiTheme="minorEastAsia" w:eastAsiaTheme="minorEastAsia" w:cstheme="minorEastAsia"/>
          <w:bCs/>
          <w:strike/>
          <w:color w:val="auto"/>
          <w:sz w:val="24"/>
          <w:szCs w:val="24"/>
          <w:highlight w:val="none"/>
        </w:rPr>
      </w:pPr>
      <w:r>
        <w:rPr>
          <w:rFonts w:hint="eastAsia" w:asciiTheme="minorEastAsia" w:hAnsiTheme="minorEastAsia" w:eastAsiaTheme="minorEastAsia" w:cstheme="minorEastAsia"/>
          <w:bCs/>
          <w:strike/>
          <w:color w:val="auto"/>
          <w:sz w:val="24"/>
          <w:szCs w:val="24"/>
          <w:highlight w:val="none"/>
        </w:rPr>
        <w:t>格式四</w:t>
      </w:r>
    </w:p>
    <w:p>
      <w:pPr>
        <w:pStyle w:val="41"/>
        <w:jc w:val="center"/>
        <w:rPr>
          <w:rFonts w:ascii="宋体" w:hAnsi="宋体" w:eastAsia="宋体"/>
          <w:b/>
          <w:bCs/>
          <w:strike/>
          <w:color w:val="auto"/>
          <w:sz w:val="30"/>
          <w:szCs w:val="30"/>
          <w:highlight w:val="none"/>
        </w:rPr>
      </w:pPr>
      <w:r>
        <w:rPr>
          <w:rFonts w:hint="eastAsia" w:ascii="宋体" w:hAnsi="宋体" w:eastAsia="宋体"/>
          <w:b/>
          <w:bCs/>
          <w:strike/>
          <w:color w:val="auto"/>
          <w:sz w:val="30"/>
          <w:szCs w:val="30"/>
          <w:highlight w:val="none"/>
        </w:rPr>
        <w:t>联合体协议书（若有）</w:t>
      </w:r>
    </w:p>
    <w:p>
      <w:pPr>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 xml:space="preserve"> （所有成员单位名称）自愿组成</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（联合体名称）联合体，共同参加</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（项目名称）施工投标。现就联合体投标事宜订立如下协议。</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（某成员单位名称）为</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（联合体名称）牵头人。</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3、联合体将严格按照招标文件的各项要求，递交投标文件，履行合同，并对外承担连带责任。</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4、联合体各成员单位内部的职责分工如下：</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（1）</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（2）</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（某成员单位名称）负责本工程部分的施工，费用为元（与投标报价口径必须一致）；</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（3）工程款与发包人结算的方式为【如：牵头人凭票据统一从发包人处领取后再由其向成员单位支付或由各成员单位凭票据分别向发包人申领或…………（由牵头人和成员单位双方协商一致后填入</w:t>
      </w:r>
      <w:r>
        <w:rPr>
          <w:rFonts w:ascii="宋体" w:hAnsi="宋体"/>
          <w:strike/>
          <w:color w:val="auto"/>
          <w:szCs w:val="21"/>
          <w:highlight w:val="none"/>
        </w:rPr>
        <w:t>）</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u w:val="single"/>
        </w:rPr>
        <w:t xml:space="preserve">（4）其他：                              </w:t>
      </w:r>
      <w:r>
        <w:rPr>
          <w:rFonts w:hint="eastAsia" w:ascii="宋体" w:hAnsi="宋体"/>
          <w:strike/>
          <w:color w:val="auto"/>
          <w:szCs w:val="21"/>
          <w:highlight w:val="none"/>
        </w:rPr>
        <w:t>。</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5、本协议书自签署之日起生效，合同履行完毕后自动失效。</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6、本协议书一式</w:t>
      </w:r>
      <w:r>
        <w:rPr>
          <w:rFonts w:hint="eastAsia" w:ascii="宋体" w:hAnsi="宋体"/>
          <w:strike/>
          <w:color w:val="auto"/>
          <w:szCs w:val="21"/>
          <w:highlight w:val="none"/>
          <w:u w:val="single"/>
        </w:rPr>
        <w:t xml:space="preserve">  ＿</w:t>
      </w:r>
      <w:r>
        <w:rPr>
          <w:rFonts w:hint="eastAsia" w:ascii="宋体" w:hAnsi="宋体"/>
          <w:strike/>
          <w:color w:val="auto"/>
          <w:szCs w:val="21"/>
          <w:highlight w:val="none"/>
        </w:rPr>
        <w:t>份，联合体成员和招标人各执一份。</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注：本协议书由委托代理人签字的，应附法定代表人签字的授权委托书。</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牵头人名称：（盖单位章）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成员一名称：（盖单位章）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成员二名称：（盖单位章）</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法定代表人或其委托代理人：（签字）</w:t>
      </w:r>
    </w:p>
    <w:p>
      <w:pPr>
        <w:spacing w:line="360" w:lineRule="exact"/>
        <w:ind w:firstLine="420" w:firstLineChars="200"/>
        <w:rPr>
          <w:rFonts w:ascii="宋体" w:hAnsi="宋体"/>
          <w:strike/>
          <w:color w:val="auto"/>
          <w:szCs w:val="21"/>
          <w:highlight w:val="none"/>
        </w:rPr>
      </w:pPr>
      <w:r>
        <w:rPr>
          <w:rFonts w:hint="eastAsia" w:ascii="宋体" w:hAnsi="宋体"/>
          <w:strike/>
          <w:color w:val="auto"/>
          <w:szCs w:val="21"/>
          <w:highlight w:val="none"/>
        </w:rPr>
        <w:t>年月日</w:t>
      </w:r>
    </w:p>
    <w:p>
      <w:pPr>
        <w:pStyle w:val="25"/>
        <w:ind w:firstLine="340"/>
        <w:rPr>
          <w:rFonts w:ascii="宋体" w:hAnsi="宋体"/>
          <w:strike/>
          <w:color w:val="auto"/>
          <w:szCs w:val="21"/>
          <w:highlight w:val="none"/>
        </w:rPr>
      </w:pPr>
    </w:p>
    <w:p>
      <w:pPr>
        <w:rPr>
          <w:rFonts w:ascii="宋体" w:hAnsi="宋体"/>
          <w:strike/>
          <w:color w:val="auto"/>
          <w:szCs w:val="21"/>
          <w:highlight w:val="none"/>
        </w:rPr>
      </w:pPr>
    </w:p>
    <w:p>
      <w:pPr>
        <w:pStyle w:val="25"/>
        <w:ind w:firstLine="340"/>
        <w:rPr>
          <w:rFonts w:ascii="宋体" w:hAnsi="宋体"/>
          <w:strike/>
          <w:color w:val="auto"/>
          <w:szCs w:val="21"/>
          <w:highlight w:val="none"/>
        </w:rPr>
      </w:pPr>
    </w:p>
    <w:p>
      <w:pPr>
        <w:rPr>
          <w:rFonts w:ascii="宋体" w:hAnsi="宋体"/>
          <w:strike/>
          <w:color w:val="auto"/>
          <w:szCs w:val="21"/>
          <w:highlight w:val="none"/>
        </w:rPr>
      </w:pPr>
    </w:p>
    <w:p>
      <w:pPr>
        <w:pStyle w:val="25"/>
        <w:ind w:firstLine="340"/>
        <w:rPr>
          <w:rFonts w:ascii="宋体" w:hAnsi="宋体"/>
          <w:strike/>
          <w:color w:val="auto"/>
          <w:szCs w:val="21"/>
          <w:highlight w:val="none"/>
        </w:rPr>
      </w:pPr>
    </w:p>
    <w:p>
      <w:pPr>
        <w:rPr>
          <w:rFonts w:ascii="宋体" w:hAnsi="宋体"/>
          <w:strike/>
          <w:color w:val="auto"/>
          <w:szCs w:val="21"/>
          <w:highlight w:val="none"/>
        </w:rPr>
        <w:sectPr>
          <w:footerReference r:id="rId6" w:type="default"/>
          <w:footerReference r:id="rId7" w:type="even"/>
          <w:pgSz w:w="11907" w:h="16840"/>
          <w:pgMar w:top="1418" w:right="1134" w:bottom="1418" w:left="1134" w:header="680" w:footer="680" w:gutter="0"/>
          <w:cols w:space="720" w:num="1"/>
          <w:docGrid w:linePitch="271" w:charSpace="0"/>
        </w:sectPr>
      </w:pPr>
    </w:p>
    <w:p>
      <w:pPr>
        <w:pStyle w:val="4"/>
        <w:spacing w:before="120" w:after="120" w:line="400" w:lineRule="exact"/>
        <w:ind w:firstLine="280"/>
        <w:jc w:val="left"/>
        <w:rPr>
          <w:rFonts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格式五</w:t>
      </w:r>
    </w:p>
    <w:p>
      <w:pPr>
        <w:ind w:firstLine="321"/>
        <w:jc w:val="center"/>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投标报价表</w:t>
      </w:r>
    </w:p>
    <w:p>
      <w:pPr>
        <w:tabs>
          <w:tab w:val="left" w:pos="1800"/>
        </w:tabs>
        <w:ind w:firstLine="2880" w:firstLineChars="1200"/>
        <w:jc w:val="left"/>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单位：人民币元</w:t>
      </w:r>
    </w:p>
    <w:tbl>
      <w:tblPr>
        <w:tblStyle w:val="26"/>
        <w:tblW w:w="147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3"/>
        <w:gridCol w:w="1834"/>
        <w:gridCol w:w="960"/>
        <w:gridCol w:w="886"/>
        <w:gridCol w:w="895"/>
        <w:gridCol w:w="1175"/>
        <w:gridCol w:w="1261"/>
        <w:gridCol w:w="1603"/>
        <w:gridCol w:w="1476"/>
        <w:gridCol w:w="989"/>
        <w:gridCol w:w="1400"/>
        <w:gridCol w:w="765"/>
        <w:gridCol w:w="10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9"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w:t>
            </w:r>
          </w:p>
        </w:tc>
        <w:tc>
          <w:tcPr>
            <w:tcW w:w="117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w:t>
            </w:r>
          </w:p>
        </w:tc>
        <w:tc>
          <w:tcPr>
            <w:tcW w:w="1261"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8</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9</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10</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11</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12</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7"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项号</w:t>
            </w:r>
          </w:p>
        </w:tc>
        <w:tc>
          <w:tcPr>
            <w:tcW w:w="1834"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货物名称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型号规格</w:t>
            </w:r>
          </w:p>
        </w:tc>
        <w:tc>
          <w:tcPr>
            <w:tcW w:w="96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产地</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(品牌)</w:t>
            </w: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单位</w:t>
            </w:r>
          </w:p>
        </w:tc>
        <w:tc>
          <w:tcPr>
            <w:tcW w:w="89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w:t>
            </w:r>
          </w:p>
        </w:tc>
        <w:tc>
          <w:tcPr>
            <w:tcW w:w="1175" w:type="dxa"/>
            <w:vAlign w:val="center"/>
          </w:tcPr>
          <w:p>
            <w:pPr>
              <w:tabs>
                <w:tab w:val="left" w:pos="1800"/>
              </w:tabs>
              <w:ind w:left="0" w:leftChars="-50" w:hanging="105" w:hangingChars="44"/>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出厂单价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261" w:type="dxa"/>
            <w:vAlign w:val="center"/>
          </w:tcPr>
          <w:p>
            <w:pPr>
              <w:tabs>
                <w:tab w:val="left" w:pos="1800"/>
              </w:tabs>
              <w:ind w:left="1" w:leftChars="-51" w:hanging="108" w:hangingChars="45"/>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运杂、及保险费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603"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特殊工具费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备品备件费(含税)</w:t>
            </w:r>
          </w:p>
        </w:tc>
        <w:tc>
          <w:tcPr>
            <w:tcW w:w="1476"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相关服务费</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989"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其他</w:t>
            </w:r>
          </w:p>
          <w:p>
            <w:pPr>
              <w:widowControl/>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(含税)</w:t>
            </w:r>
          </w:p>
        </w:tc>
        <w:tc>
          <w:tcPr>
            <w:tcW w:w="1400"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综合单价</w:t>
            </w:r>
          </w:p>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(含税) </w:t>
            </w:r>
          </w:p>
        </w:tc>
        <w:tc>
          <w:tcPr>
            <w:tcW w:w="765"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总价</w:t>
            </w:r>
          </w:p>
        </w:tc>
        <w:tc>
          <w:tcPr>
            <w:tcW w:w="1057" w:type="dxa"/>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spacing w:line="360" w:lineRule="exact"/>
              <w:rPr>
                <w:rFonts w:ascii="宋体" w:hAnsi="宋体"/>
                <w:color w:val="auto"/>
                <w:szCs w:val="21"/>
                <w:highlight w:val="none"/>
              </w:rPr>
            </w:pPr>
            <w:r>
              <w:rPr>
                <w:rFonts w:asciiTheme="minorEastAsia" w:hAnsiTheme="minorEastAsia" w:eastAsiaTheme="minorEastAsia" w:cstheme="minorEastAsia"/>
                <w:color w:val="auto"/>
                <w:sz w:val="24"/>
                <w:szCs w:val="24"/>
                <w:highlight w:val="none"/>
              </w:rPr>
              <w:t>一、</w:t>
            </w:r>
            <w:r>
              <w:rPr>
                <w:rFonts w:hint="eastAsia" w:hAnsi="宋体" w:cs="宋体"/>
                <w:b/>
                <w:bCs/>
                <w:color w:val="auto"/>
                <w:szCs w:val="21"/>
                <w:highlight w:val="none"/>
              </w:rPr>
              <w:t>货物清单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widowControl/>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以下按清单内容填写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6"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 w:val="24"/>
                <w:szCs w:val="24"/>
                <w:highlight w:val="none"/>
              </w:rPr>
            </w:pPr>
            <w:r>
              <w:rPr>
                <w:rFonts w:hint="eastAsia" w:hAnsi="宋体" w:cs="宋体"/>
                <w:b/>
                <w:bCs/>
                <w:color w:val="auto"/>
                <w:szCs w:val="21"/>
                <w:highlight w:val="none"/>
              </w:rPr>
              <w:t>二</w:t>
            </w:r>
            <w:r>
              <w:rPr>
                <w:rFonts w:hAnsi="宋体" w:cs="宋体"/>
                <w:b/>
                <w:bCs/>
                <w:color w:val="auto"/>
                <w:szCs w:val="21"/>
                <w:highlight w:val="none"/>
              </w:rPr>
              <w:t>、其他清单</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r>
              <w:rPr>
                <w:rFonts w:asciiTheme="minorEastAsia" w:hAnsiTheme="minorEastAsia" w:eastAsiaTheme="minorEastAsia" w:cstheme="minorEastAsia"/>
                <w:color w:val="auto"/>
                <w:szCs w:val="21"/>
                <w:highlight w:val="none"/>
              </w:rPr>
              <w:t>以下内容由投标单位自行填写</w:t>
            </w: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color w:val="auto"/>
                <w:szCs w:val="21"/>
                <w:highlight w:val="none"/>
              </w:rPr>
            </w:pPr>
          </w:p>
        </w:tc>
        <w:tc>
          <w:tcPr>
            <w:tcW w:w="96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886"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89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17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261"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603"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76"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989"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400"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37"/>
                <w:rFonts w:hint="eastAsia" w:ascii="宋体" w:hAnsi="宋体" w:cs="宋体"/>
                <w:color w:val="auto"/>
                <w:sz w:val="20"/>
                <w:szCs w:val="20"/>
                <w:highlight w:val="none"/>
              </w:rPr>
              <w:t>2年质保期内驻场人员费用</w:t>
            </w:r>
          </w:p>
        </w:tc>
        <w:tc>
          <w:tcPr>
            <w:tcW w:w="10645" w:type="dxa"/>
            <w:gridSpan w:val="9"/>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765"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vAlign w:val="center"/>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Fonts w:asciiTheme="minorEastAsia" w:hAnsiTheme="minorEastAsia" w:eastAsiaTheme="minorEastAsia" w:cstheme="minorEastAsia"/>
                <w:b/>
                <w:color w:val="auto"/>
                <w:szCs w:val="21"/>
                <w:highlight w:val="none"/>
              </w:rPr>
            </w:pPr>
            <w:r>
              <w:rPr>
                <w:rStyle w:val="37"/>
                <w:rFonts w:hint="eastAsia" w:ascii="宋体" w:hAnsi="宋体" w:cs="宋体"/>
                <w:color w:val="auto"/>
                <w:sz w:val="20"/>
                <w:szCs w:val="20"/>
                <w:highlight w:val="none"/>
              </w:rPr>
              <w:t>质保优惠期内驻场人员费用</w:t>
            </w: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优惠期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人</w:t>
            </w: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94" w:hRule="atLeast"/>
          <w:jc w:val="center"/>
        </w:trPr>
        <w:tc>
          <w:tcPr>
            <w:tcW w:w="463" w:type="dxa"/>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1834" w:type="dxa"/>
            <w:vAlign w:val="center"/>
          </w:tcPr>
          <w:p>
            <w:pPr>
              <w:tabs>
                <w:tab w:val="left" w:pos="1800"/>
              </w:tabs>
              <w:rPr>
                <w:rStyle w:val="37"/>
                <w:rFonts w:ascii="宋体" w:hAnsi="宋体" w:cs="宋体"/>
                <w:color w:val="auto"/>
                <w:sz w:val="20"/>
                <w:szCs w:val="20"/>
                <w:highlight w:val="none"/>
              </w:rPr>
            </w:pPr>
          </w:p>
        </w:tc>
        <w:tc>
          <w:tcPr>
            <w:tcW w:w="10645" w:type="dxa"/>
            <w:gridSpan w:val="9"/>
            <w:vAlign w:val="center"/>
          </w:tcPr>
          <w:p>
            <w:pPr>
              <w:tabs>
                <w:tab w:val="left" w:pos="1800"/>
              </w:tabs>
              <w:jc w:val="center"/>
              <w:rPr>
                <w:rFonts w:asciiTheme="minorEastAsia" w:hAnsiTheme="minorEastAsia" w:eastAsiaTheme="minorEastAsia" w:cstheme="minorEastAsia"/>
                <w:color w:val="auto"/>
                <w:sz w:val="24"/>
                <w:szCs w:val="24"/>
                <w:highlight w:val="none"/>
              </w:rPr>
            </w:pPr>
          </w:p>
        </w:tc>
        <w:tc>
          <w:tcPr>
            <w:tcW w:w="765" w:type="dxa"/>
          </w:tcPr>
          <w:p>
            <w:pPr>
              <w:tabs>
                <w:tab w:val="left" w:pos="1800"/>
              </w:tabs>
              <w:jc w:val="left"/>
              <w:rPr>
                <w:rFonts w:asciiTheme="minorEastAsia" w:hAnsiTheme="minorEastAsia" w:eastAsiaTheme="minorEastAsia" w:cstheme="minorEastAsia"/>
                <w:color w:val="auto"/>
                <w:sz w:val="24"/>
                <w:szCs w:val="24"/>
                <w:highlight w:val="none"/>
              </w:rPr>
            </w:pPr>
          </w:p>
        </w:tc>
        <w:tc>
          <w:tcPr>
            <w:tcW w:w="1057" w:type="dxa"/>
          </w:tcPr>
          <w:p>
            <w:pPr>
              <w:tabs>
                <w:tab w:val="left" w:pos="1800"/>
              </w:tabs>
              <w:jc w:val="left"/>
              <w:rPr>
                <w:rFonts w:asciiTheme="minorEastAsia" w:hAnsiTheme="minorEastAsia" w:eastAsiaTheme="minorEastAsia" w:cstheme="minorEastAsia"/>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6"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投标总价合计</w:t>
            </w:r>
          </w:p>
        </w:tc>
        <w:tc>
          <w:tcPr>
            <w:tcW w:w="11507" w:type="dxa"/>
            <w:gridSpan w:val="10"/>
            <w:vAlign w:val="center"/>
          </w:tcPr>
          <w:p>
            <w:pPr>
              <w:tabs>
                <w:tab w:val="left" w:pos="1800"/>
              </w:tabs>
              <w:spacing w:line="360" w:lineRule="auto"/>
              <w:jc w:val="left"/>
              <w:rPr>
                <w:rFonts w:hint="default"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小写：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r>
              <w:rPr>
                <w:rFonts w:hint="eastAsia" w:asciiTheme="minorEastAsia" w:hAnsiTheme="minorEastAsia" w:eastAsiaTheme="minorEastAsia" w:cstheme="minorEastAsia"/>
                <w:b/>
                <w:color w:val="auto"/>
                <w:sz w:val="24"/>
                <w:szCs w:val="24"/>
                <w:highlight w:val="none"/>
                <w:lang w:val="en-US" w:eastAsia="zh-CN"/>
              </w:rPr>
              <w:t xml:space="preserve">  大写：</w:t>
            </w:r>
            <w:r>
              <w:rPr>
                <w:rFonts w:hint="eastAsia" w:asciiTheme="minorEastAsia" w:hAnsiTheme="minorEastAsia" w:eastAsiaTheme="minorEastAsia" w:cstheme="minorEastAsia"/>
                <w:color w:val="auto"/>
                <w:sz w:val="20"/>
                <w:szCs w:val="20"/>
                <w:highlight w:val="none"/>
                <w:u w:val="single"/>
              </w:rPr>
              <w:t xml:space="preserve">                    </w:t>
            </w:r>
            <w:r>
              <w:rPr>
                <w:rFonts w:hint="eastAsia" w:asciiTheme="minorEastAsia" w:hAnsiTheme="minorEastAsia" w:eastAsiaTheme="minorEastAsia" w:cstheme="minorEastAsia"/>
                <w:b/>
                <w:color w:val="auto"/>
                <w:sz w:val="24"/>
                <w:szCs w:val="24"/>
                <w:highlight w:val="none"/>
              </w:rPr>
              <w:t>元</w:t>
            </w:r>
            <w:r>
              <w:rPr>
                <w:rFonts w:hint="eastAsia" w:asciiTheme="minorEastAsia" w:hAnsiTheme="minorEastAsia" w:eastAsiaTheme="minorEastAsia" w:cstheme="minorEastAsia"/>
                <w:b/>
                <w:color w:val="auto"/>
                <w:sz w:val="24"/>
                <w:szCs w:val="24"/>
                <w:highlight w:val="none"/>
                <w:lang w:eastAsia="zh-CN"/>
              </w:rPr>
              <w:t>（</w:t>
            </w:r>
            <w:r>
              <w:rPr>
                <w:rFonts w:hint="eastAsia" w:asciiTheme="minorEastAsia" w:hAnsiTheme="minorEastAsia" w:eastAsiaTheme="minorEastAsia" w:cstheme="minorEastAsia"/>
                <w:b/>
                <w:color w:val="auto"/>
                <w:sz w:val="24"/>
                <w:szCs w:val="24"/>
                <w:highlight w:val="none"/>
                <w:lang w:val="en-US" w:eastAsia="zh-CN"/>
              </w:rPr>
              <w:t>精确到元</w:t>
            </w:r>
            <w:r>
              <w:rPr>
                <w:rFonts w:hint="eastAsia" w:asciiTheme="minorEastAsia" w:hAnsiTheme="minorEastAsia" w:eastAsiaTheme="minorEastAsia" w:cstheme="minorEastAsia"/>
                <w:b/>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4" w:hRule="atLeast"/>
          <w:jc w:val="center"/>
        </w:trPr>
        <w:tc>
          <w:tcPr>
            <w:tcW w:w="3257" w:type="dxa"/>
            <w:gridSpan w:val="3"/>
            <w:vAlign w:val="center"/>
          </w:tcPr>
          <w:p>
            <w:pPr>
              <w:tabs>
                <w:tab w:val="left" w:pos="1800"/>
              </w:tabs>
              <w:jc w:val="left"/>
              <w:rPr>
                <w:rFonts w:asciiTheme="minorEastAsia" w:hAnsiTheme="minorEastAsia" w:eastAsiaTheme="minorEastAsia" w:cstheme="minorEastAsia"/>
                <w:b/>
                <w:strike/>
                <w:color w:val="auto"/>
                <w:sz w:val="24"/>
                <w:szCs w:val="24"/>
                <w:highlight w:val="none"/>
                <w:u w:val="single"/>
              </w:rPr>
            </w:pPr>
            <w:r>
              <w:rPr>
                <w:rFonts w:hint="eastAsia" w:asciiTheme="minorEastAsia" w:hAnsiTheme="minorEastAsia" w:eastAsiaTheme="minorEastAsia" w:cstheme="minorEastAsia"/>
                <w:strike/>
                <w:color w:val="auto"/>
                <w:sz w:val="24"/>
                <w:szCs w:val="24"/>
                <w:highlight w:val="none"/>
              </w:rPr>
              <w:t>□</w:t>
            </w:r>
            <w:r>
              <w:rPr>
                <w:rFonts w:hint="eastAsia" w:asciiTheme="minorEastAsia" w:hAnsiTheme="minorEastAsia" w:eastAsiaTheme="minorEastAsia" w:cstheme="minorEastAsia"/>
                <w:b/>
                <w:strike/>
                <w:color w:val="auto"/>
                <w:sz w:val="24"/>
                <w:szCs w:val="24"/>
                <w:highlight w:val="none"/>
              </w:rPr>
              <w:t>质保期后的维保费用</w:t>
            </w:r>
          </w:p>
        </w:tc>
        <w:tc>
          <w:tcPr>
            <w:tcW w:w="11507" w:type="dxa"/>
            <w:gridSpan w:val="10"/>
            <w:vAlign w:val="center"/>
          </w:tcPr>
          <w:p>
            <w:pPr>
              <w:tabs>
                <w:tab w:val="left" w:pos="1800"/>
              </w:tabs>
              <w:jc w:val="left"/>
              <w:rPr>
                <w:rFonts w:asciiTheme="minorEastAsia" w:hAnsiTheme="minorEastAsia" w:eastAsiaTheme="minorEastAsia" w:cstheme="minorEastAsia"/>
                <w:b/>
                <w:strike/>
                <w:color w:val="auto"/>
                <w:sz w:val="24"/>
                <w:szCs w:val="24"/>
                <w:highlight w:val="none"/>
              </w:rPr>
            </w:pPr>
            <w:r>
              <w:rPr>
                <w:rFonts w:hint="eastAsia" w:asciiTheme="minorEastAsia" w:hAnsiTheme="minorEastAsia" w:eastAsiaTheme="minorEastAsia" w:cstheme="minorEastAsia"/>
                <w:strike/>
                <w:color w:val="auto"/>
                <w:sz w:val="20"/>
                <w:szCs w:val="20"/>
                <w:highlight w:val="none"/>
                <w:u w:val="single"/>
              </w:rPr>
              <w:t xml:space="preserve">                     </w:t>
            </w:r>
            <w:r>
              <w:rPr>
                <w:rFonts w:hint="eastAsia" w:asciiTheme="minorEastAsia" w:hAnsiTheme="minorEastAsia" w:eastAsiaTheme="minorEastAsia" w:cstheme="minorEastAsia"/>
                <w:b/>
                <w:strike/>
                <w:color w:val="auto"/>
                <w:sz w:val="24"/>
                <w:szCs w:val="24"/>
                <w:highlight w:val="none"/>
              </w:rPr>
              <w:t>元/年（不计入投标报价）</w:t>
            </w:r>
          </w:p>
        </w:tc>
      </w:tr>
    </w:tbl>
    <w:p>
      <w:pPr>
        <w:keepNext/>
        <w:keepLines/>
        <w:spacing w:line="360" w:lineRule="atLeast"/>
        <w:jc w:val="left"/>
        <w:rPr>
          <w:rFonts w:ascii="宋体" w:hAnsi="宋体"/>
          <w:color w:val="auto"/>
          <w:sz w:val="20"/>
          <w:szCs w:val="20"/>
          <w:highlight w:val="none"/>
        </w:rPr>
      </w:pPr>
      <w:r>
        <w:rPr>
          <w:rFonts w:hint="eastAsia" w:asciiTheme="minorEastAsia" w:hAnsiTheme="minorEastAsia" w:eastAsiaTheme="minorEastAsia" w:cstheme="minorEastAsia"/>
          <w:color w:val="auto"/>
          <w:sz w:val="24"/>
          <w:szCs w:val="24"/>
          <w:highlight w:val="none"/>
        </w:rPr>
        <w:t>注：</w:t>
      </w:r>
      <w:r>
        <w:rPr>
          <w:rFonts w:hint="eastAsia" w:asciiTheme="minorEastAsia" w:hAnsiTheme="minorEastAsia" w:eastAsiaTheme="minorEastAsia" w:cstheme="minorEastAsia"/>
          <w:color w:val="auto"/>
          <w:sz w:val="20"/>
          <w:szCs w:val="20"/>
          <w:highlight w:val="none"/>
        </w:rPr>
        <w:t>1、</w:t>
      </w:r>
      <w:r>
        <w:rPr>
          <w:rFonts w:hint="eastAsia" w:ascii="宋体" w:hAnsi="宋体"/>
          <w:color w:val="auto"/>
          <w:sz w:val="20"/>
          <w:szCs w:val="20"/>
          <w:highlight w:val="none"/>
        </w:rPr>
        <w:t>第7栏指制造厂运至交货地点全部货物运杂费和保险费，第10栏其它费用包括投标分项报价表中除本表6-9外的所有费用。</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2</w:t>
      </w:r>
      <w:r>
        <w:rPr>
          <w:rFonts w:hint="eastAsia" w:ascii="宋体" w:hAnsi="宋体"/>
          <w:color w:val="auto"/>
          <w:sz w:val="20"/>
          <w:szCs w:val="20"/>
          <w:highlight w:val="none"/>
          <w:lang w:val="en-US"/>
        </w:rPr>
        <w:t>、第11栏综合单价=6+7+8+9</w:t>
      </w:r>
      <w:r>
        <w:rPr>
          <w:rFonts w:ascii="宋体" w:hAnsi="宋体"/>
          <w:color w:val="auto"/>
          <w:sz w:val="20"/>
          <w:szCs w:val="20"/>
          <w:highlight w:val="none"/>
          <w:lang w:val="en-US"/>
        </w:rPr>
        <w:t>+10</w:t>
      </w:r>
      <w:r>
        <w:rPr>
          <w:rFonts w:hint="eastAsia" w:ascii="宋体" w:hAnsi="宋体"/>
          <w:color w:val="auto"/>
          <w:sz w:val="20"/>
          <w:szCs w:val="20"/>
          <w:highlight w:val="none"/>
          <w:lang w:val="en-US"/>
        </w:rPr>
        <w:t>。</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3</w:t>
      </w:r>
      <w:r>
        <w:rPr>
          <w:rFonts w:hint="eastAsia" w:ascii="宋体" w:hAnsi="宋体"/>
          <w:color w:val="auto"/>
          <w:sz w:val="20"/>
          <w:szCs w:val="20"/>
          <w:highlight w:val="none"/>
          <w:lang w:val="en-US"/>
        </w:rPr>
        <w:t>、第12栏合价=5×11项。</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4</w:t>
      </w:r>
      <w:r>
        <w:rPr>
          <w:rFonts w:hint="eastAsia" w:ascii="宋体" w:hAnsi="宋体"/>
          <w:color w:val="auto"/>
          <w:sz w:val="20"/>
          <w:szCs w:val="20"/>
          <w:highlight w:val="none"/>
          <w:lang w:val="en-US"/>
        </w:rPr>
        <w:t>、投标总价合计为总价的合计，应与投标函的投标总价一致。</w:t>
      </w:r>
      <w:r>
        <w:rPr>
          <w:rFonts w:hint="eastAsia" w:hAnsi="宋体"/>
          <w:color w:val="auto"/>
          <w:sz w:val="20"/>
          <w:szCs w:val="20"/>
          <w:highlight w:val="none"/>
        </w:rPr>
        <w:t>投标报价为投标人的投标文件中提出的各项支付金额的总和。</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5</w:t>
      </w:r>
      <w:r>
        <w:rPr>
          <w:rFonts w:hint="eastAsia" w:ascii="宋体" w:hAnsi="宋体"/>
          <w:color w:val="auto"/>
          <w:sz w:val="20"/>
          <w:szCs w:val="20"/>
          <w:highlight w:val="none"/>
          <w:lang w:val="en-US"/>
        </w:rPr>
        <w:t>、投标报价表中含价栏目，若无报价的须填“含”、“无”等字样，若出现空白，招标人视为已含在投标报价中。</w:t>
      </w:r>
    </w:p>
    <w:p>
      <w:pPr>
        <w:pStyle w:val="71"/>
        <w:spacing w:line="360" w:lineRule="exact"/>
        <w:ind w:firstLine="400"/>
        <w:rPr>
          <w:rFonts w:ascii="宋体" w:hAnsi="宋体"/>
          <w:color w:val="auto"/>
          <w:sz w:val="20"/>
          <w:szCs w:val="20"/>
          <w:highlight w:val="none"/>
          <w:lang w:val="en-US"/>
        </w:rPr>
      </w:pPr>
      <w:r>
        <w:rPr>
          <w:rFonts w:ascii="宋体" w:hAnsi="宋体"/>
          <w:color w:val="auto"/>
          <w:sz w:val="20"/>
          <w:szCs w:val="20"/>
          <w:highlight w:val="none"/>
          <w:lang w:val="en-US"/>
        </w:rPr>
        <w:t>6</w:t>
      </w:r>
      <w:r>
        <w:rPr>
          <w:rFonts w:hint="eastAsia" w:ascii="宋体" w:hAnsi="宋体"/>
          <w:color w:val="auto"/>
          <w:sz w:val="20"/>
          <w:szCs w:val="20"/>
          <w:highlight w:val="none"/>
          <w:lang w:val="en-US"/>
        </w:rPr>
        <w:t>、如交货货物数量调整时，综合单价不作调整。</w:t>
      </w:r>
    </w:p>
    <w:p>
      <w:pPr>
        <w:pStyle w:val="71"/>
        <w:spacing w:line="360" w:lineRule="exact"/>
        <w:ind w:firstLine="400"/>
        <w:rPr>
          <w:color w:val="auto"/>
          <w:sz w:val="20"/>
          <w:szCs w:val="20"/>
          <w:highlight w:val="none"/>
          <w:lang w:val="en-US"/>
        </w:rPr>
      </w:pPr>
      <w:r>
        <w:rPr>
          <w:rFonts w:ascii="宋体" w:hAnsi="宋体"/>
          <w:color w:val="auto"/>
          <w:sz w:val="20"/>
          <w:szCs w:val="20"/>
          <w:highlight w:val="none"/>
          <w:lang w:val="en-US"/>
        </w:rPr>
        <w:t>7</w:t>
      </w:r>
      <w:r>
        <w:rPr>
          <w:rFonts w:hint="eastAsia" w:ascii="宋体" w:hAnsi="宋体"/>
          <w:color w:val="auto"/>
          <w:sz w:val="20"/>
          <w:szCs w:val="20"/>
          <w:highlight w:val="none"/>
          <w:lang w:val="en-US"/>
        </w:rPr>
        <w:t>、其他清单是投标单位认为</w:t>
      </w:r>
      <w:r>
        <w:rPr>
          <w:rFonts w:hint="eastAsia"/>
          <w:color w:val="auto"/>
          <w:sz w:val="20"/>
          <w:szCs w:val="20"/>
          <w:highlight w:val="none"/>
          <w:lang w:val="en-US"/>
        </w:rPr>
        <w:t>图纸、货物清单不明确或缺项的内容，以及招标文件要求包含在投标总价中的所有内容的体现。如未填报则视为投标优惠。</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8</w:t>
      </w:r>
      <w:r>
        <w:rPr>
          <w:rFonts w:hint="eastAsia" w:hAnsi="宋体"/>
          <w:color w:val="auto"/>
          <w:szCs w:val="20"/>
          <w:highlight w:val="none"/>
        </w:rPr>
        <w:t>、 技术标中明确或招标文件、设计图纸确定的相应技术规范要求的费用应包括在投标报价中，否则视同投标优惠。</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9</w:t>
      </w:r>
      <w:r>
        <w:rPr>
          <w:rFonts w:hint="eastAsia" w:hAnsi="宋体"/>
          <w:color w:val="auto"/>
          <w:szCs w:val="20"/>
          <w:highlight w:val="none"/>
        </w:rPr>
        <w:t>、 投标人应先到项目现场踏勘以充分了解现场位置、情况、道路、储存空间、装卸限制及任何其它足以影响报价的情况，任何因忽视或误解工地情况而导致的索赔或工期延长申请将不获批准。</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10</w:t>
      </w:r>
      <w:r>
        <w:rPr>
          <w:rFonts w:hint="eastAsia" w:hAnsi="宋体"/>
          <w:color w:val="auto"/>
          <w:szCs w:val="20"/>
          <w:highlight w:val="none"/>
        </w:rPr>
        <w:t>、投标人的投标报价包括并不限于按照本工程招标人提供的图纸、货物清单以及本项目技术要求所进行的进一步深化设计费、设备费、运输保险费、卸货费、工程施工费、设备安装费、安装调试费、技术服务与培训费、试运行费用、验收费、备品备件（含专用工具）费、质保期内的维修保养费、规费、税金、政策性文件规定及合同包含的所有风险、责任等完成本项目所有的供货及安装并通过验收合格的所有的一切费用；请各投标人综合分析充分考虑后全部组价计入本次报价中，中标后对上述方面的费用增加将不予调整。特别提醒：招标人在招标文件中给出的货物清单仅仅是为了方便本次招标，本工程实际发生的货物清单应该以招标人最终批准的由中标人完成的进一步深化设计图纸所对应的货物清单为准，本工程实际发生的货物清单供货安装费用与本次招标货物清单供货安装费用的差额请投标人充分考虑全部包含在本次投标总价中，中标后一律不予调整。</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11</w:t>
      </w:r>
      <w:r>
        <w:rPr>
          <w:rFonts w:hint="eastAsia" w:hAnsi="宋体"/>
          <w:color w:val="auto"/>
          <w:szCs w:val="20"/>
          <w:highlight w:val="none"/>
        </w:rPr>
        <w:t>、投标人按照上述要求编制投标报价。一旦确认某一投标人中标，除合同规定的可调整内容外，中标人不得要求追加任何费用。</w:t>
      </w:r>
    </w:p>
    <w:p>
      <w:pPr>
        <w:pStyle w:val="53"/>
        <w:adjustRightInd w:val="0"/>
        <w:snapToGrid w:val="0"/>
        <w:spacing w:line="312" w:lineRule="auto"/>
        <w:ind w:right="241" w:rightChars="115" w:firstLine="400"/>
        <w:rPr>
          <w:rFonts w:hAnsi="宋体"/>
          <w:color w:val="auto"/>
          <w:szCs w:val="20"/>
          <w:highlight w:val="none"/>
        </w:rPr>
      </w:pPr>
      <w:r>
        <w:rPr>
          <w:rFonts w:hAnsi="宋体"/>
          <w:color w:val="auto"/>
          <w:szCs w:val="20"/>
          <w:highlight w:val="none"/>
        </w:rPr>
        <w:t>12</w:t>
      </w:r>
      <w:r>
        <w:rPr>
          <w:rFonts w:hint="eastAsia" w:hAnsi="宋体"/>
          <w:color w:val="auto"/>
          <w:szCs w:val="20"/>
          <w:highlight w:val="none"/>
        </w:rPr>
        <w:t>、施工水电费（中标价的</w:t>
      </w:r>
      <w:r>
        <w:rPr>
          <w:rFonts w:hAnsi="宋体"/>
          <w:color w:val="auto"/>
          <w:szCs w:val="20"/>
          <w:highlight w:val="none"/>
        </w:rPr>
        <w:t>1</w:t>
      </w:r>
      <w:r>
        <w:rPr>
          <w:rFonts w:hint="eastAsia" w:hAnsi="宋体"/>
          <w:color w:val="auto"/>
          <w:szCs w:val="20"/>
          <w:highlight w:val="none"/>
        </w:rPr>
        <w:t>%）等直接费及总承包服务费（中标价的3%）用由中标人直接向总承包单位支付，投标人在投标报价中明确报价。但该费用不足部分请投标人综合考虑后计入投标总价内，中标后一律不予调整。除总承包人在其施工周期内免费提供工地内已有的并能独立使用的脚手架、机械设备等辅助设施外，投标人报价中还应包含本项目供货及安装时所需的各项措施费，以及施工过程中需总承包人配合的所有费用（如未单独列报的，将视作已包含在投标总价之中），否则视作优惠。同时须满足下列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①供应商进场后须与总包签订总包管理协议，服从总包管理要求。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②供应商的安装进场时间不应晚于监理、业主审批的施工总进度计划进场时间。</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③供应商进场前，图纸须齐全，以免影响后续施工进度（供应商须对图纸进行深化设计）。</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④进入施工现场后，设备及材料堆放场地须按照总包要求进行布设，满足标准化工地要求。</w:t>
      </w:r>
    </w:p>
    <w:p>
      <w:pPr>
        <w:pStyle w:val="53"/>
        <w:adjustRightInd w:val="0"/>
        <w:snapToGrid w:val="0"/>
        <w:spacing w:line="312" w:lineRule="auto"/>
        <w:ind w:right="241" w:rightChars="115" w:firstLine="0" w:firstLineChars="0"/>
        <w:rPr>
          <w:rFonts w:hAnsi="宋体"/>
          <w:color w:val="auto"/>
          <w:szCs w:val="20"/>
          <w:highlight w:val="none"/>
        </w:rPr>
      </w:pPr>
      <w:r>
        <w:rPr>
          <w:rFonts w:hint="eastAsia" w:hAnsi="宋体"/>
          <w:color w:val="auto"/>
          <w:szCs w:val="20"/>
          <w:highlight w:val="none"/>
        </w:rPr>
        <w:t>⑤供应商应做好自身安全管理工作，加强对所属人员的安全管理和交底教育工作，对自身安全承担全部责任，若因其发生安全事故造成对第三方的损失（包括荣誉损失）均由供应商负责。</w:t>
      </w:r>
    </w:p>
    <w:p>
      <w:pPr>
        <w:pStyle w:val="69"/>
        <w:adjustRightInd w:val="0"/>
        <w:snapToGrid w:val="0"/>
        <w:spacing w:line="312" w:lineRule="auto"/>
        <w:ind w:right="241" w:rightChars="115"/>
        <w:rPr>
          <w:rFonts w:ascii="宋体" w:hAnsi="宋体"/>
          <w:color w:val="auto"/>
          <w:sz w:val="20"/>
          <w:szCs w:val="20"/>
          <w:highlight w:val="none"/>
        </w:rPr>
      </w:pPr>
      <w:r>
        <w:rPr>
          <w:rFonts w:hint="eastAsia" w:ascii="宋体" w:hAnsi="宋体"/>
          <w:color w:val="auto"/>
          <w:sz w:val="20"/>
          <w:szCs w:val="20"/>
          <w:highlight w:val="none"/>
        </w:rPr>
        <w:t>⑥除以上内容外，供货及安装过程中若供应商要求使用总承包单位的临时设施中住宿费用，材料、设备的存储堆放等及其他配合事项时，所发生的费用由双方自行协商解决。</w:t>
      </w:r>
    </w:p>
    <w:p>
      <w:pPr>
        <w:pStyle w:val="69"/>
        <w:numPr>
          <w:ilvl w:val="255"/>
          <w:numId w:val="0"/>
        </w:numPr>
        <w:spacing w:line="300" w:lineRule="exact"/>
        <w:ind w:firstLine="400" w:firstLineChars="200"/>
        <w:jc w:val="left"/>
        <w:rPr>
          <w:rFonts w:ascii="宋体" w:hAnsi="宋体"/>
          <w:color w:val="auto"/>
          <w:highlight w:val="none"/>
        </w:rPr>
      </w:pPr>
      <w:r>
        <w:rPr>
          <w:rFonts w:hint="eastAsia" w:ascii="宋体" w:hAnsi="宋体"/>
          <w:color w:val="auto"/>
          <w:sz w:val="20"/>
          <w:szCs w:val="20"/>
          <w:highlight w:val="none"/>
        </w:rPr>
        <w:t>1</w:t>
      </w:r>
      <w:r>
        <w:rPr>
          <w:rFonts w:ascii="宋体" w:hAnsi="宋体"/>
          <w:color w:val="auto"/>
          <w:sz w:val="20"/>
          <w:szCs w:val="20"/>
          <w:highlight w:val="none"/>
        </w:rPr>
        <w:t>3</w:t>
      </w:r>
      <w:r>
        <w:rPr>
          <w:rFonts w:hint="eastAsia" w:ascii="宋体" w:hAnsi="宋体"/>
          <w:color w:val="auto"/>
          <w:sz w:val="20"/>
          <w:szCs w:val="20"/>
          <w:highlight w:val="none"/>
        </w:rPr>
        <w:t>、本项目釆用固定总价承包，货物清单中的工程量、清单描述若与图纸及答疑不一致时，</w:t>
      </w:r>
      <w:r>
        <w:rPr>
          <w:rFonts w:ascii="宋体" w:hAnsi="宋体"/>
          <w:color w:val="auto"/>
          <w:sz w:val="20"/>
          <w:szCs w:val="20"/>
          <w:highlight w:val="none"/>
        </w:rPr>
        <w:t>以图纸及答疑为准并须满足各专业的功能要求，由投标人自行复核计算，结算时总价不作调整。若图纸需二次深化，则由中标人自行深化完成</w:t>
      </w:r>
      <w:r>
        <w:rPr>
          <w:rFonts w:hint="eastAsia" w:ascii="宋体" w:hAnsi="宋体"/>
          <w:color w:val="auto"/>
          <w:sz w:val="20"/>
          <w:szCs w:val="20"/>
          <w:highlight w:val="none"/>
        </w:rPr>
        <w:t>并经使用人同意，</w:t>
      </w:r>
      <w:r>
        <w:rPr>
          <w:rFonts w:ascii="宋体" w:hAnsi="宋体"/>
          <w:color w:val="auto"/>
          <w:sz w:val="20"/>
          <w:szCs w:val="20"/>
          <w:highlight w:val="none"/>
        </w:rPr>
        <w:t>工程量及</w:t>
      </w:r>
      <w:r>
        <w:rPr>
          <w:rFonts w:hint="eastAsia" w:ascii="宋体" w:hAnsi="宋体"/>
          <w:color w:val="auto"/>
          <w:sz w:val="20"/>
          <w:szCs w:val="20"/>
          <w:highlight w:val="none"/>
        </w:rPr>
        <w:t>各种相关一切</w:t>
      </w:r>
      <w:r>
        <w:rPr>
          <w:rFonts w:ascii="宋体" w:hAnsi="宋体"/>
          <w:color w:val="auto"/>
          <w:sz w:val="20"/>
          <w:szCs w:val="20"/>
          <w:highlight w:val="none"/>
        </w:rPr>
        <w:t>费用不再增加。图纸中设备或材料若已有变更升级的相应设备或材料则需变更为升级后的设备或材料</w:t>
      </w:r>
      <w:r>
        <w:rPr>
          <w:rFonts w:hint="eastAsia" w:ascii="宋体" w:hAnsi="宋体"/>
          <w:color w:val="auto"/>
          <w:sz w:val="20"/>
          <w:szCs w:val="20"/>
          <w:highlight w:val="none"/>
        </w:rPr>
        <w:t>经使用人同意</w:t>
      </w:r>
      <w:r>
        <w:rPr>
          <w:rFonts w:ascii="宋体" w:hAnsi="宋体"/>
          <w:color w:val="auto"/>
          <w:sz w:val="20"/>
          <w:szCs w:val="20"/>
          <w:highlight w:val="none"/>
        </w:rPr>
        <w:t>，费用也不再增加。</w:t>
      </w:r>
      <w:r>
        <w:rPr>
          <w:rFonts w:hint="eastAsia" w:ascii="宋体" w:hAnsi="宋体"/>
          <w:color w:val="auto"/>
          <w:sz w:val="20"/>
          <w:szCs w:val="20"/>
          <w:highlight w:val="none"/>
        </w:rPr>
        <w:t>使用人</w:t>
      </w:r>
      <w:r>
        <w:rPr>
          <w:rFonts w:ascii="宋体" w:hAnsi="宋体"/>
          <w:color w:val="auto"/>
          <w:sz w:val="20"/>
          <w:szCs w:val="20"/>
          <w:highlight w:val="none"/>
        </w:rPr>
        <w:t>有权增减工作范围，该费用应予以增减。</w:t>
      </w:r>
      <w:r>
        <w:rPr>
          <w:rFonts w:hint="eastAsia" w:ascii="宋体" w:hAnsi="宋体"/>
          <w:color w:val="auto"/>
          <w:sz w:val="20"/>
          <w:szCs w:val="20"/>
          <w:highlight w:val="none"/>
        </w:rPr>
        <w:t>招标人所有的变更，必须经过使用人书面同意</w:t>
      </w:r>
      <w:r>
        <w:rPr>
          <w:rFonts w:hint="eastAsia" w:ascii="宋体" w:hAnsi="宋体"/>
          <w:color w:val="auto"/>
          <w:highlight w:val="none"/>
        </w:rPr>
        <w:t>。</w:t>
      </w:r>
    </w:p>
    <w:p>
      <w:pPr>
        <w:pStyle w:val="25"/>
        <w:ind w:firstLine="0" w:firstLineChars="0"/>
        <w:rPr>
          <w:color w:val="auto"/>
          <w:highlight w:val="none"/>
        </w:rPr>
      </w:pPr>
    </w:p>
    <w:p>
      <w:pPr>
        <w:rPr>
          <w:color w:val="auto"/>
          <w:highlight w:val="none"/>
        </w:rPr>
      </w:pPr>
    </w:p>
    <w:p>
      <w:pPr>
        <w:pStyle w:val="25"/>
        <w:ind w:firstLine="0" w:firstLineChars="0"/>
        <w:rPr>
          <w:rFonts w:ascii="宋体" w:hAnsi="宋体"/>
          <w:color w:val="auto"/>
          <w:sz w:val="21"/>
          <w:szCs w:val="21"/>
          <w:highlight w:val="none"/>
        </w:rPr>
      </w:pPr>
      <w:r>
        <w:rPr>
          <w:rFonts w:hint="eastAsia" w:ascii="宋体" w:hAnsi="宋体"/>
          <w:color w:val="auto"/>
          <w:sz w:val="21"/>
          <w:szCs w:val="21"/>
          <w:highlight w:val="none"/>
        </w:rPr>
        <w:t>投标人：</w:t>
      </w:r>
      <w:r>
        <w:rPr>
          <w:rFonts w:hint="eastAsia" w:ascii="宋体" w:hAnsi="宋体"/>
          <w:color w:val="auto"/>
          <w:szCs w:val="21"/>
          <w:highlight w:val="none"/>
        </w:rPr>
        <w:t xml:space="preserve">                </w:t>
      </w:r>
      <w:r>
        <w:rPr>
          <w:rFonts w:hint="eastAsia" w:ascii="宋体" w:hAnsi="宋体"/>
          <w:color w:val="auto"/>
          <w:sz w:val="21"/>
          <w:szCs w:val="21"/>
          <w:highlight w:val="none"/>
        </w:rPr>
        <w:t>（盖章）</w:t>
      </w:r>
    </w:p>
    <w:p>
      <w:pPr>
        <w:rPr>
          <w:rFonts w:ascii="宋体" w:hAnsi="宋体"/>
          <w:color w:val="auto"/>
          <w:szCs w:val="21"/>
          <w:highlight w:val="none"/>
        </w:rPr>
      </w:pPr>
    </w:p>
    <w:p>
      <w:pPr>
        <w:pStyle w:val="25"/>
        <w:ind w:firstLine="340"/>
        <w:rPr>
          <w:rFonts w:ascii="宋体" w:hAnsi="宋体"/>
          <w:color w:val="auto"/>
          <w:szCs w:val="21"/>
          <w:highlight w:val="none"/>
        </w:rPr>
      </w:pPr>
    </w:p>
    <w:p>
      <w:pPr>
        <w:rPr>
          <w:rFonts w:ascii="宋体" w:hAnsi="宋体"/>
          <w:color w:val="auto"/>
          <w:szCs w:val="21"/>
          <w:highlight w:val="none"/>
        </w:rPr>
      </w:pPr>
      <w:r>
        <w:rPr>
          <w:rFonts w:hint="eastAsia" w:ascii="宋体" w:hAnsi="宋体"/>
          <w:color w:val="auto"/>
          <w:szCs w:val="21"/>
          <w:highlight w:val="none"/>
        </w:rPr>
        <w:t xml:space="preserve">法定代表人或其委托代理人：        （签字或盖章 ） </w:t>
      </w:r>
    </w:p>
    <w:p>
      <w:pPr>
        <w:rPr>
          <w:color w:val="auto"/>
          <w:highlight w:val="none"/>
        </w:rPr>
      </w:pPr>
    </w:p>
    <w:p>
      <w:pPr>
        <w:pStyle w:val="25"/>
        <w:ind w:firstLine="340"/>
        <w:rPr>
          <w:color w:val="auto"/>
          <w:highlight w:val="none"/>
        </w:rPr>
      </w:pPr>
    </w:p>
    <w:p>
      <w:pPr>
        <w:rPr>
          <w:color w:val="auto"/>
          <w:highlight w:val="none"/>
        </w:rPr>
      </w:pPr>
      <w:r>
        <w:rPr>
          <w:rFonts w:hint="eastAsia" w:ascii="宋体" w:hAnsi="宋体"/>
          <w:color w:val="auto"/>
          <w:szCs w:val="21"/>
          <w:highlight w:val="none"/>
        </w:rPr>
        <w:t>日期：    年    月    日</w:t>
      </w:r>
    </w:p>
    <w:p>
      <w:pPr>
        <w:rPr>
          <w:rFonts w:asciiTheme="minorEastAsia" w:hAnsiTheme="minorEastAsia" w:eastAsiaTheme="minorEastAsia" w:cstheme="minorEastAsia"/>
          <w:color w:val="auto"/>
          <w:sz w:val="24"/>
          <w:szCs w:val="24"/>
          <w:highlight w:val="none"/>
        </w:rPr>
      </w:pPr>
    </w:p>
    <w:p>
      <w:pPr>
        <w:pStyle w:val="25"/>
        <w:ind w:firstLine="0" w:firstLineChars="0"/>
        <w:rPr>
          <w:color w:val="auto"/>
          <w:highlight w:val="none"/>
        </w:rPr>
      </w:pPr>
    </w:p>
    <w:p>
      <w:pPr>
        <w:rPr>
          <w:rFonts w:asciiTheme="minorEastAsia" w:hAnsiTheme="minorEastAsia" w:eastAsiaTheme="minorEastAsia" w:cstheme="minorEastAsia"/>
          <w:color w:val="auto"/>
          <w:sz w:val="24"/>
          <w:szCs w:val="24"/>
          <w:highlight w:val="none"/>
        </w:rPr>
      </w:pPr>
    </w:p>
    <w:sectPr>
      <w:pgSz w:w="16840" w:h="11907" w:orient="landscape"/>
      <w:pgMar w:top="1134" w:right="1418" w:bottom="1134" w:left="1418" w:header="720" w:footer="720"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细黑">
    <w:panose1 w:val="02010600040101010101"/>
    <w:charset w:val="86"/>
    <w:family w:val="auto"/>
    <w:pitch w:val="default"/>
    <w:sig w:usb0="00000287" w:usb1="080F0000" w:usb2="00000000" w:usb3="00000000" w:csb0="0004009F" w:csb1="DFD7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CS?o｡ﾀ?">
    <w:altName w:val="MS PGothic"/>
    <w:panose1 w:val="00000000000000000000"/>
    <w:charset w:val="80"/>
    <w:family w:val="modern"/>
    <w:pitch w:val="default"/>
    <w:sig w:usb0="00000000" w:usb1="00000000" w:usb2="00000010" w:usb3="00000000" w:csb0="00020000" w:csb1="00000000"/>
  </w:font>
  <w:font w:name="MS PGothic">
    <w:panose1 w:val="020B0600070205080204"/>
    <w:charset w:val="80"/>
    <w:family w:val="auto"/>
    <w:pitch w:val="default"/>
    <w:sig w:usb0="E00002FF" w:usb1="6AC7FDFB" w:usb2="08000012" w:usb3="00000000" w:csb0="4002009F" w:csb1="DFD70000"/>
  </w:font>
  <w:font w:name="等线">
    <w:panose1 w:val="02010600030101010101"/>
    <w:charset w:val="86"/>
    <w:family w:val="auto"/>
    <w:pitch w:val="default"/>
    <w:sig w:usb0="A00002BF" w:usb1="38CF7CFA" w:usb2="00000016" w:usb3="00000000" w:csb0="0004000F" w:csb1="00000000"/>
  </w:font>
  <w:font w:name="MS Mincho">
    <w:altName w:val="Yu Gothic UI"/>
    <w:panose1 w:val="02020609040205080304"/>
    <w:charset w:val="80"/>
    <w:family w:val="modern"/>
    <w:pitch w:val="default"/>
    <w:sig w:usb0="00000000" w:usb1="00000000" w:usb2="08000012" w:usb3="00000000" w:csb0="0002009F"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path/>
          <v:fill on="f" focussize="0,0"/>
          <v:stroke on="f" weight="0.5pt" joinstyle="miter"/>
          <v:imagedata o:title=""/>
          <o:lock v:ext="edit"/>
          <v:textbox inset="0mm,0mm,0mm,0mm" style="mso-fit-shape-to-text:t;">
            <w:txbxContent>
              <w:p>
                <w:pPr>
                  <w:pStyle w:val="16"/>
                </w:pPr>
                <w:r>
                  <w:fldChar w:fldCharType="begin"/>
                </w:r>
                <w:r>
                  <w:instrText xml:space="preserve"> PAGE  \* MERGEFORMAT </w:instrText>
                </w:r>
                <w:r>
                  <w:fldChar w:fldCharType="separate"/>
                </w:r>
                <w:r>
                  <w:t>1</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28</w:t>
    </w:r>
    <w:r>
      <w:fldChar w:fldCharType="end"/>
    </w:r>
  </w:p>
  <w:p>
    <w:pPr>
      <w:pStyle w:val="16"/>
      <w:ind w:firstLine="18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outside" w:y="1"/>
      <w:rPr>
        <w:rStyle w:val="30"/>
      </w:rPr>
    </w:pPr>
    <w:r>
      <w:fldChar w:fldCharType="begin"/>
    </w:r>
    <w:r>
      <w:rPr>
        <w:rStyle w:val="30"/>
      </w:rPr>
      <w:instrText xml:space="preserve">PAGE  </w:instrText>
    </w:r>
    <w:r>
      <w:fldChar w:fldCharType="separate"/>
    </w:r>
    <w:r>
      <w:rPr>
        <w:rStyle w:val="30"/>
      </w:rPr>
      <w:t>16</w:t>
    </w:r>
    <w:r>
      <w:fldChar w:fldCharType="end"/>
    </w:r>
  </w:p>
  <w:p>
    <w:pPr>
      <w:pStyle w:val="16"/>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32</w:t>
    </w:r>
    <w:r>
      <w:fldChar w:fldCharType="end"/>
    </w:r>
  </w:p>
  <w:p>
    <w:pPr>
      <w:pStyle w:val="16"/>
      <w:ind w:right="360" w:firstLine="18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framePr w:wrap="around" w:vAnchor="text" w:hAnchor="margin" w:xAlign="center" w:y="1"/>
      <w:ind w:firstLine="180"/>
      <w:rPr>
        <w:rStyle w:val="30"/>
      </w:rPr>
    </w:pPr>
    <w:r>
      <w:fldChar w:fldCharType="begin"/>
    </w:r>
    <w:r>
      <w:rPr>
        <w:rStyle w:val="30"/>
      </w:rPr>
      <w:instrText xml:space="preserve">PAGE  </w:instrText>
    </w:r>
    <w:r>
      <w:fldChar w:fldCharType="separate"/>
    </w:r>
    <w:r>
      <w:rPr>
        <w:rStyle w:val="30"/>
      </w:rPr>
      <w:t>3</w:t>
    </w:r>
    <w:r>
      <w:fldChar w:fldCharType="end"/>
    </w:r>
  </w:p>
  <w:p>
    <w:pPr>
      <w:pStyle w:val="16"/>
      <w:ind w:firstLine="18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303C420"/>
    <w:multiLevelType w:val="singleLevel"/>
    <w:tmpl w:val="B303C420"/>
    <w:lvl w:ilvl="0" w:tentative="0">
      <w:start w:val="1"/>
      <w:numFmt w:val="decimal"/>
      <w:lvlText w:val="(%1)"/>
      <w:lvlJc w:val="left"/>
      <w:pPr>
        <w:tabs>
          <w:tab w:val="left" w:pos="420"/>
        </w:tabs>
        <w:ind w:left="845" w:hanging="425"/>
      </w:pPr>
      <w:rPr>
        <w:rFonts w:hint="default"/>
      </w:rPr>
    </w:lvl>
  </w:abstractNum>
  <w:abstractNum w:abstractNumId="1">
    <w:nsid w:val="BBCE12DB"/>
    <w:multiLevelType w:val="singleLevel"/>
    <w:tmpl w:val="BBCE12DB"/>
    <w:lvl w:ilvl="0" w:tentative="0">
      <w:start w:val="2"/>
      <w:numFmt w:val="decimal"/>
      <w:suff w:val="nothing"/>
      <w:lvlText w:val="%1、"/>
      <w:lvlJc w:val="left"/>
    </w:lvl>
  </w:abstractNum>
  <w:abstractNum w:abstractNumId="2">
    <w:nsid w:val="CF79A0DF"/>
    <w:multiLevelType w:val="singleLevel"/>
    <w:tmpl w:val="CF79A0DF"/>
    <w:lvl w:ilvl="0" w:tentative="0">
      <w:start w:val="9"/>
      <w:numFmt w:val="decimal"/>
      <w:suff w:val="nothing"/>
      <w:lvlText w:val="%1、"/>
      <w:lvlJc w:val="left"/>
    </w:lvl>
  </w:abstractNum>
  <w:abstractNum w:abstractNumId="3">
    <w:nsid w:val="3FBB52D4"/>
    <w:multiLevelType w:val="singleLevel"/>
    <w:tmpl w:val="3FBB52D4"/>
    <w:lvl w:ilvl="0" w:tentative="0">
      <w:start w:val="1"/>
      <w:numFmt w:val="chineseCounting"/>
      <w:suff w:val="nothing"/>
      <w:lvlText w:val="%1、"/>
      <w:lvlJc w:val="left"/>
      <w:pPr>
        <w:ind w:left="20" w:firstLine="420"/>
      </w:pPr>
      <w:rPr>
        <w:rFonts w:hint="eastAsia"/>
      </w:rPr>
    </w:lvl>
  </w:abstractNum>
  <w:abstractNum w:abstractNumId="4">
    <w:nsid w:val="634704D1"/>
    <w:multiLevelType w:val="singleLevel"/>
    <w:tmpl w:val="634704D1"/>
    <w:lvl w:ilvl="0" w:tentative="0">
      <w:start w:val="2"/>
      <w:numFmt w:val="decimal"/>
      <w:suff w:val="nothing"/>
      <w:lvlText w:val="（%1）"/>
      <w:lvlJc w:val="left"/>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doNotExpandShiftReturn/>
    <w:doNotWrapTextWithPunct/>
    <w:doNotUseEastAsianBreakRules/>
    <w:useFELayout/>
    <w:doNotUseIndentAsNumberingTabStop/>
    <w:useAltKinsokuLineBreakRules/>
    <w:splitPgBreakAndParaMark/>
    <w:compatSetting w:name="compatibilityMode" w:uri="http://schemas.microsoft.com/office/word" w:val="12"/>
  </w:compat>
  <w:rsids>
    <w:rsidRoot w:val="003F2ED6"/>
    <w:rsid w:val="00011ECD"/>
    <w:rsid w:val="00060CE5"/>
    <w:rsid w:val="00076221"/>
    <w:rsid w:val="00092F51"/>
    <w:rsid w:val="000B18F0"/>
    <w:rsid w:val="000F1046"/>
    <w:rsid w:val="000F135C"/>
    <w:rsid w:val="00102ED9"/>
    <w:rsid w:val="001132C6"/>
    <w:rsid w:val="00157B73"/>
    <w:rsid w:val="00171641"/>
    <w:rsid w:val="001717C0"/>
    <w:rsid w:val="00172A1E"/>
    <w:rsid w:val="001800FD"/>
    <w:rsid w:val="001B1DE3"/>
    <w:rsid w:val="001B3A70"/>
    <w:rsid w:val="001D5398"/>
    <w:rsid w:val="00223CBC"/>
    <w:rsid w:val="002259D2"/>
    <w:rsid w:val="00252453"/>
    <w:rsid w:val="0026665C"/>
    <w:rsid w:val="0026717C"/>
    <w:rsid w:val="002926D1"/>
    <w:rsid w:val="00292986"/>
    <w:rsid w:val="002B53DD"/>
    <w:rsid w:val="00322C22"/>
    <w:rsid w:val="00324A78"/>
    <w:rsid w:val="00337C06"/>
    <w:rsid w:val="00347E38"/>
    <w:rsid w:val="0038457F"/>
    <w:rsid w:val="00385320"/>
    <w:rsid w:val="003953E5"/>
    <w:rsid w:val="003B64EA"/>
    <w:rsid w:val="003D2A99"/>
    <w:rsid w:val="003F2ED6"/>
    <w:rsid w:val="00412BA6"/>
    <w:rsid w:val="00437458"/>
    <w:rsid w:val="00453FBC"/>
    <w:rsid w:val="00454987"/>
    <w:rsid w:val="004841B8"/>
    <w:rsid w:val="004A0F00"/>
    <w:rsid w:val="00531609"/>
    <w:rsid w:val="0054531B"/>
    <w:rsid w:val="005867C8"/>
    <w:rsid w:val="00595249"/>
    <w:rsid w:val="00596BB3"/>
    <w:rsid w:val="005A7877"/>
    <w:rsid w:val="005F1887"/>
    <w:rsid w:val="005F194D"/>
    <w:rsid w:val="00600C83"/>
    <w:rsid w:val="00642511"/>
    <w:rsid w:val="00662032"/>
    <w:rsid w:val="006A5BF3"/>
    <w:rsid w:val="006D5299"/>
    <w:rsid w:val="007743CF"/>
    <w:rsid w:val="00786873"/>
    <w:rsid w:val="00796396"/>
    <w:rsid w:val="007D2D2E"/>
    <w:rsid w:val="007F2242"/>
    <w:rsid w:val="00800E4D"/>
    <w:rsid w:val="008021CD"/>
    <w:rsid w:val="00802517"/>
    <w:rsid w:val="00833E0B"/>
    <w:rsid w:val="0084105F"/>
    <w:rsid w:val="00850F37"/>
    <w:rsid w:val="00874A0D"/>
    <w:rsid w:val="00877D83"/>
    <w:rsid w:val="00890384"/>
    <w:rsid w:val="008944CE"/>
    <w:rsid w:val="00903A28"/>
    <w:rsid w:val="00941337"/>
    <w:rsid w:val="009475ED"/>
    <w:rsid w:val="009618E5"/>
    <w:rsid w:val="00977D02"/>
    <w:rsid w:val="00984E24"/>
    <w:rsid w:val="00986EA5"/>
    <w:rsid w:val="00997E08"/>
    <w:rsid w:val="009B088D"/>
    <w:rsid w:val="009B1D96"/>
    <w:rsid w:val="009C3E82"/>
    <w:rsid w:val="009E4E44"/>
    <w:rsid w:val="009F2921"/>
    <w:rsid w:val="00A0552B"/>
    <w:rsid w:val="00A179E3"/>
    <w:rsid w:val="00A20975"/>
    <w:rsid w:val="00A708D3"/>
    <w:rsid w:val="00A77561"/>
    <w:rsid w:val="00AC3A5D"/>
    <w:rsid w:val="00AD552B"/>
    <w:rsid w:val="00AE2AE1"/>
    <w:rsid w:val="00B16145"/>
    <w:rsid w:val="00B16EA5"/>
    <w:rsid w:val="00BE737B"/>
    <w:rsid w:val="00BF27BD"/>
    <w:rsid w:val="00C3308E"/>
    <w:rsid w:val="00C54E0F"/>
    <w:rsid w:val="00C66EE8"/>
    <w:rsid w:val="00CA2EF8"/>
    <w:rsid w:val="00D04981"/>
    <w:rsid w:val="00D227D6"/>
    <w:rsid w:val="00D2563E"/>
    <w:rsid w:val="00D27D65"/>
    <w:rsid w:val="00D27E67"/>
    <w:rsid w:val="00D44CB4"/>
    <w:rsid w:val="00D50438"/>
    <w:rsid w:val="00D53EE8"/>
    <w:rsid w:val="00D64325"/>
    <w:rsid w:val="00D94D68"/>
    <w:rsid w:val="00DF3E56"/>
    <w:rsid w:val="00DF3E74"/>
    <w:rsid w:val="00E418B9"/>
    <w:rsid w:val="00E70AEE"/>
    <w:rsid w:val="00E70CCA"/>
    <w:rsid w:val="00E77556"/>
    <w:rsid w:val="00E81341"/>
    <w:rsid w:val="00EA7B11"/>
    <w:rsid w:val="00EC4116"/>
    <w:rsid w:val="00F23F82"/>
    <w:rsid w:val="00F33613"/>
    <w:rsid w:val="00FB197F"/>
    <w:rsid w:val="00FD0792"/>
    <w:rsid w:val="00FE21DA"/>
    <w:rsid w:val="010643D2"/>
    <w:rsid w:val="01252684"/>
    <w:rsid w:val="017B4D40"/>
    <w:rsid w:val="018225D4"/>
    <w:rsid w:val="01FE0316"/>
    <w:rsid w:val="024D233B"/>
    <w:rsid w:val="02CD0E66"/>
    <w:rsid w:val="033D2B90"/>
    <w:rsid w:val="03A04854"/>
    <w:rsid w:val="03B0513A"/>
    <w:rsid w:val="03F51072"/>
    <w:rsid w:val="042F2D99"/>
    <w:rsid w:val="055A6F90"/>
    <w:rsid w:val="057115C5"/>
    <w:rsid w:val="065A0D4D"/>
    <w:rsid w:val="069B1A69"/>
    <w:rsid w:val="06F3702C"/>
    <w:rsid w:val="070334BA"/>
    <w:rsid w:val="072E05F6"/>
    <w:rsid w:val="078779E0"/>
    <w:rsid w:val="07A4247B"/>
    <w:rsid w:val="07E01420"/>
    <w:rsid w:val="099361CD"/>
    <w:rsid w:val="0A17516A"/>
    <w:rsid w:val="0A203944"/>
    <w:rsid w:val="0A2B7BEB"/>
    <w:rsid w:val="0A3648BE"/>
    <w:rsid w:val="0A6F2DDF"/>
    <w:rsid w:val="0A9414BC"/>
    <w:rsid w:val="0AD57493"/>
    <w:rsid w:val="0AD95861"/>
    <w:rsid w:val="0B042481"/>
    <w:rsid w:val="0B1047E3"/>
    <w:rsid w:val="0B205E71"/>
    <w:rsid w:val="0B2064B3"/>
    <w:rsid w:val="0B4477A3"/>
    <w:rsid w:val="0B7011A9"/>
    <w:rsid w:val="0BE70CD5"/>
    <w:rsid w:val="0BE9233D"/>
    <w:rsid w:val="0C281D78"/>
    <w:rsid w:val="0C2F0F17"/>
    <w:rsid w:val="0C620A55"/>
    <w:rsid w:val="0D0C18E0"/>
    <w:rsid w:val="0DA07C55"/>
    <w:rsid w:val="0E483512"/>
    <w:rsid w:val="0E6F03C7"/>
    <w:rsid w:val="0E8A3F77"/>
    <w:rsid w:val="0E986987"/>
    <w:rsid w:val="0E9960EA"/>
    <w:rsid w:val="0EDC350C"/>
    <w:rsid w:val="0F02680A"/>
    <w:rsid w:val="0F986E39"/>
    <w:rsid w:val="10027C1C"/>
    <w:rsid w:val="103129C3"/>
    <w:rsid w:val="10966690"/>
    <w:rsid w:val="10D30EA9"/>
    <w:rsid w:val="10D842E1"/>
    <w:rsid w:val="10F12720"/>
    <w:rsid w:val="11003F91"/>
    <w:rsid w:val="11200E0E"/>
    <w:rsid w:val="115C0A93"/>
    <w:rsid w:val="119B5C50"/>
    <w:rsid w:val="11FE454F"/>
    <w:rsid w:val="1231797F"/>
    <w:rsid w:val="126E08E5"/>
    <w:rsid w:val="12B87C38"/>
    <w:rsid w:val="12E208A6"/>
    <w:rsid w:val="133C1E6D"/>
    <w:rsid w:val="13AA165F"/>
    <w:rsid w:val="13E024F7"/>
    <w:rsid w:val="142524E7"/>
    <w:rsid w:val="14333E86"/>
    <w:rsid w:val="15460605"/>
    <w:rsid w:val="155876D2"/>
    <w:rsid w:val="1562509C"/>
    <w:rsid w:val="15A161F6"/>
    <w:rsid w:val="15C867C9"/>
    <w:rsid w:val="16007FED"/>
    <w:rsid w:val="161A5B51"/>
    <w:rsid w:val="169E2003"/>
    <w:rsid w:val="17167B60"/>
    <w:rsid w:val="174E0A69"/>
    <w:rsid w:val="17743711"/>
    <w:rsid w:val="17ED2EC7"/>
    <w:rsid w:val="17F860F9"/>
    <w:rsid w:val="17FF63C5"/>
    <w:rsid w:val="18E56FD1"/>
    <w:rsid w:val="193274C0"/>
    <w:rsid w:val="19C370FB"/>
    <w:rsid w:val="19C374C4"/>
    <w:rsid w:val="1A1915F5"/>
    <w:rsid w:val="1A6B2687"/>
    <w:rsid w:val="1AD15BC9"/>
    <w:rsid w:val="1AF8552B"/>
    <w:rsid w:val="1B263955"/>
    <w:rsid w:val="1B74473D"/>
    <w:rsid w:val="1BA65996"/>
    <w:rsid w:val="1BD0252A"/>
    <w:rsid w:val="1BF7266A"/>
    <w:rsid w:val="1C5E01AD"/>
    <w:rsid w:val="1CD96D90"/>
    <w:rsid w:val="1D246639"/>
    <w:rsid w:val="1DC55C51"/>
    <w:rsid w:val="1DF14131"/>
    <w:rsid w:val="1E7F5A98"/>
    <w:rsid w:val="1F222924"/>
    <w:rsid w:val="1F4544B4"/>
    <w:rsid w:val="1F8145B8"/>
    <w:rsid w:val="1FBC285D"/>
    <w:rsid w:val="1FBE4F9F"/>
    <w:rsid w:val="1FFD353B"/>
    <w:rsid w:val="20243093"/>
    <w:rsid w:val="2039732A"/>
    <w:rsid w:val="20426CFD"/>
    <w:rsid w:val="2057733F"/>
    <w:rsid w:val="20D165E0"/>
    <w:rsid w:val="21C727E1"/>
    <w:rsid w:val="21D23485"/>
    <w:rsid w:val="223607E1"/>
    <w:rsid w:val="22A63EC2"/>
    <w:rsid w:val="22EC55E4"/>
    <w:rsid w:val="22FA1356"/>
    <w:rsid w:val="230C6D71"/>
    <w:rsid w:val="23112007"/>
    <w:rsid w:val="23467533"/>
    <w:rsid w:val="23C6129C"/>
    <w:rsid w:val="23FD212F"/>
    <w:rsid w:val="241024B6"/>
    <w:rsid w:val="2414372B"/>
    <w:rsid w:val="241A4A22"/>
    <w:rsid w:val="24397D4F"/>
    <w:rsid w:val="25111399"/>
    <w:rsid w:val="251D5245"/>
    <w:rsid w:val="255E1FFC"/>
    <w:rsid w:val="25673626"/>
    <w:rsid w:val="25C31A87"/>
    <w:rsid w:val="265D7677"/>
    <w:rsid w:val="269E7603"/>
    <w:rsid w:val="27DC55D7"/>
    <w:rsid w:val="27EC66A9"/>
    <w:rsid w:val="27F158BB"/>
    <w:rsid w:val="27F84584"/>
    <w:rsid w:val="289135FD"/>
    <w:rsid w:val="297E1B4D"/>
    <w:rsid w:val="29BD1B9B"/>
    <w:rsid w:val="2A4B4CF3"/>
    <w:rsid w:val="2A6C706D"/>
    <w:rsid w:val="2A9D6376"/>
    <w:rsid w:val="2AB204A5"/>
    <w:rsid w:val="2AF160F0"/>
    <w:rsid w:val="2AFE1262"/>
    <w:rsid w:val="2B406A3A"/>
    <w:rsid w:val="2B5D2E86"/>
    <w:rsid w:val="2B810B41"/>
    <w:rsid w:val="2BB3671D"/>
    <w:rsid w:val="2C4F1FE4"/>
    <w:rsid w:val="2C5E53FF"/>
    <w:rsid w:val="2C67043B"/>
    <w:rsid w:val="2CAF547B"/>
    <w:rsid w:val="2CC55E62"/>
    <w:rsid w:val="2D137AFA"/>
    <w:rsid w:val="2DAE34B9"/>
    <w:rsid w:val="2DC113CE"/>
    <w:rsid w:val="2E69320E"/>
    <w:rsid w:val="2E7A6958"/>
    <w:rsid w:val="2E9E065A"/>
    <w:rsid w:val="2EB11D5E"/>
    <w:rsid w:val="2EB23898"/>
    <w:rsid w:val="2EB75EBD"/>
    <w:rsid w:val="2EB843CE"/>
    <w:rsid w:val="2EF128E2"/>
    <w:rsid w:val="2F4250B0"/>
    <w:rsid w:val="2F6855EB"/>
    <w:rsid w:val="2F9207BB"/>
    <w:rsid w:val="30C64B11"/>
    <w:rsid w:val="31115D00"/>
    <w:rsid w:val="31723D70"/>
    <w:rsid w:val="3181250A"/>
    <w:rsid w:val="318225C0"/>
    <w:rsid w:val="319A66D0"/>
    <w:rsid w:val="31C4442B"/>
    <w:rsid w:val="32294E3B"/>
    <w:rsid w:val="32397FF3"/>
    <w:rsid w:val="327E1ACD"/>
    <w:rsid w:val="32936AA7"/>
    <w:rsid w:val="33AE0130"/>
    <w:rsid w:val="33B42114"/>
    <w:rsid w:val="33EF63F8"/>
    <w:rsid w:val="344F5AC7"/>
    <w:rsid w:val="351505EF"/>
    <w:rsid w:val="358F6DAA"/>
    <w:rsid w:val="363429C0"/>
    <w:rsid w:val="36426239"/>
    <w:rsid w:val="36654023"/>
    <w:rsid w:val="36A84A90"/>
    <w:rsid w:val="36BD09DD"/>
    <w:rsid w:val="36F9019D"/>
    <w:rsid w:val="374461FA"/>
    <w:rsid w:val="37C25041"/>
    <w:rsid w:val="381E3971"/>
    <w:rsid w:val="38973FE4"/>
    <w:rsid w:val="39F3261A"/>
    <w:rsid w:val="3A1E04A8"/>
    <w:rsid w:val="3A717C9C"/>
    <w:rsid w:val="3A76452D"/>
    <w:rsid w:val="3AF90CBF"/>
    <w:rsid w:val="3B666BA3"/>
    <w:rsid w:val="3B856BD0"/>
    <w:rsid w:val="3C3D0F87"/>
    <w:rsid w:val="3C414BAB"/>
    <w:rsid w:val="3CA64CF5"/>
    <w:rsid w:val="3D2515C7"/>
    <w:rsid w:val="3DA365C7"/>
    <w:rsid w:val="3DB1600A"/>
    <w:rsid w:val="3E1068C3"/>
    <w:rsid w:val="3E1115B5"/>
    <w:rsid w:val="3E506E48"/>
    <w:rsid w:val="3E522735"/>
    <w:rsid w:val="3EB22CD3"/>
    <w:rsid w:val="3ED242F2"/>
    <w:rsid w:val="3EE06BC4"/>
    <w:rsid w:val="3FC719B7"/>
    <w:rsid w:val="3FED117E"/>
    <w:rsid w:val="3FFC4B0C"/>
    <w:rsid w:val="40D036A8"/>
    <w:rsid w:val="40D70CA4"/>
    <w:rsid w:val="40F11939"/>
    <w:rsid w:val="419E280A"/>
    <w:rsid w:val="41F20501"/>
    <w:rsid w:val="42B97E92"/>
    <w:rsid w:val="42E508D6"/>
    <w:rsid w:val="43A766C9"/>
    <w:rsid w:val="43AA4B02"/>
    <w:rsid w:val="43EB0E95"/>
    <w:rsid w:val="443365B6"/>
    <w:rsid w:val="44392213"/>
    <w:rsid w:val="44475ABD"/>
    <w:rsid w:val="444E5E11"/>
    <w:rsid w:val="44602DE3"/>
    <w:rsid w:val="44A84014"/>
    <w:rsid w:val="44EF58FF"/>
    <w:rsid w:val="44F448E3"/>
    <w:rsid w:val="450E6011"/>
    <w:rsid w:val="45417326"/>
    <w:rsid w:val="45487E01"/>
    <w:rsid w:val="45671DF2"/>
    <w:rsid w:val="45EA0369"/>
    <w:rsid w:val="463260EC"/>
    <w:rsid w:val="476A452D"/>
    <w:rsid w:val="47755F69"/>
    <w:rsid w:val="47774257"/>
    <w:rsid w:val="47827CE8"/>
    <w:rsid w:val="47AF7D96"/>
    <w:rsid w:val="47D361B9"/>
    <w:rsid w:val="48573328"/>
    <w:rsid w:val="488F1F8D"/>
    <w:rsid w:val="48B43E2F"/>
    <w:rsid w:val="493836DA"/>
    <w:rsid w:val="4945030B"/>
    <w:rsid w:val="49686781"/>
    <w:rsid w:val="4A1F2F2F"/>
    <w:rsid w:val="4A717966"/>
    <w:rsid w:val="4A7534A6"/>
    <w:rsid w:val="4AEA4F86"/>
    <w:rsid w:val="4B6E4EE5"/>
    <w:rsid w:val="4B7B063E"/>
    <w:rsid w:val="4BAB2E26"/>
    <w:rsid w:val="4BDE36C8"/>
    <w:rsid w:val="4C173EE4"/>
    <w:rsid w:val="4C283399"/>
    <w:rsid w:val="4CD04026"/>
    <w:rsid w:val="4D00035D"/>
    <w:rsid w:val="4DBC6C66"/>
    <w:rsid w:val="4DEC5E09"/>
    <w:rsid w:val="4E471B2D"/>
    <w:rsid w:val="4E4C74A7"/>
    <w:rsid w:val="4E9C5BF5"/>
    <w:rsid w:val="4EDA7264"/>
    <w:rsid w:val="4F0B2432"/>
    <w:rsid w:val="4F3B3E0A"/>
    <w:rsid w:val="4F8B2E16"/>
    <w:rsid w:val="4FA21F5E"/>
    <w:rsid w:val="507F7EB0"/>
    <w:rsid w:val="50B659D3"/>
    <w:rsid w:val="50D90E3F"/>
    <w:rsid w:val="51057895"/>
    <w:rsid w:val="51123022"/>
    <w:rsid w:val="51455C9A"/>
    <w:rsid w:val="51465FCF"/>
    <w:rsid w:val="51585983"/>
    <w:rsid w:val="517D6D56"/>
    <w:rsid w:val="519B34CB"/>
    <w:rsid w:val="51D06D3F"/>
    <w:rsid w:val="52027174"/>
    <w:rsid w:val="525B228F"/>
    <w:rsid w:val="5294384B"/>
    <w:rsid w:val="5342251E"/>
    <w:rsid w:val="54066CC3"/>
    <w:rsid w:val="54216BAC"/>
    <w:rsid w:val="542836C7"/>
    <w:rsid w:val="55035479"/>
    <w:rsid w:val="550E14E2"/>
    <w:rsid w:val="554313B6"/>
    <w:rsid w:val="55C1444A"/>
    <w:rsid w:val="562929BE"/>
    <w:rsid w:val="566A5479"/>
    <w:rsid w:val="567F1EA1"/>
    <w:rsid w:val="56935841"/>
    <w:rsid w:val="56D44271"/>
    <w:rsid w:val="57433C73"/>
    <w:rsid w:val="577E0000"/>
    <w:rsid w:val="57D97FF1"/>
    <w:rsid w:val="58027B27"/>
    <w:rsid w:val="58245EEB"/>
    <w:rsid w:val="5855720E"/>
    <w:rsid w:val="585C2844"/>
    <w:rsid w:val="588E52D4"/>
    <w:rsid w:val="589E4548"/>
    <w:rsid w:val="58A10818"/>
    <w:rsid w:val="58A6629F"/>
    <w:rsid w:val="58C20E22"/>
    <w:rsid w:val="59051B84"/>
    <w:rsid w:val="59D7322F"/>
    <w:rsid w:val="59FE2876"/>
    <w:rsid w:val="5A5E02DE"/>
    <w:rsid w:val="5A8A4A8E"/>
    <w:rsid w:val="5ABE5EBD"/>
    <w:rsid w:val="5B5B1A41"/>
    <w:rsid w:val="5B8D5D01"/>
    <w:rsid w:val="5CC82038"/>
    <w:rsid w:val="5D37191C"/>
    <w:rsid w:val="5D9F1455"/>
    <w:rsid w:val="5DA7437D"/>
    <w:rsid w:val="5DBD497D"/>
    <w:rsid w:val="5DFF48D5"/>
    <w:rsid w:val="5E200E34"/>
    <w:rsid w:val="5E8661D8"/>
    <w:rsid w:val="5ED92F78"/>
    <w:rsid w:val="5EEB6454"/>
    <w:rsid w:val="5F19457B"/>
    <w:rsid w:val="5F39299A"/>
    <w:rsid w:val="5F4A02B8"/>
    <w:rsid w:val="5F734CCA"/>
    <w:rsid w:val="5FEC6A29"/>
    <w:rsid w:val="5FF97043"/>
    <w:rsid w:val="600431B3"/>
    <w:rsid w:val="600C342F"/>
    <w:rsid w:val="60104A1E"/>
    <w:rsid w:val="60455F50"/>
    <w:rsid w:val="605E1DEA"/>
    <w:rsid w:val="609C7D05"/>
    <w:rsid w:val="60C76889"/>
    <w:rsid w:val="61697A7D"/>
    <w:rsid w:val="61D42936"/>
    <w:rsid w:val="6212282B"/>
    <w:rsid w:val="622911D9"/>
    <w:rsid w:val="62861EAA"/>
    <w:rsid w:val="633820A6"/>
    <w:rsid w:val="636E790C"/>
    <w:rsid w:val="637162CF"/>
    <w:rsid w:val="63EE5991"/>
    <w:rsid w:val="64224EF8"/>
    <w:rsid w:val="65267BF2"/>
    <w:rsid w:val="656454BD"/>
    <w:rsid w:val="65F11B35"/>
    <w:rsid w:val="669034B3"/>
    <w:rsid w:val="671036AF"/>
    <w:rsid w:val="673B20F9"/>
    <w:rsid w:val="67693370"/>
    <w:rsid w:val="67BD2AF6"/>
    <w:rsid w:val="67E12090"/>
    <w:rsid w:val="67FC61B8"/>
    <w:rsid w:val="68086D13"/>
    <w:rsid w:val="683F1583"/>
    <w:rsid w:val="686E0998"/>
    <w:rsid w:val="68DB4AEF"/>
    <w:rsid w:val="69965724"/>
    <w:rsid w:val="6A355461"/>
    <w:rsid w:val="6A4467AA"/>
    <w:rsid w:val="6A6C17DD"/>
    <w:rsid w:val="6AA770CA"/>
    <w:rsid w:val="6ACC3EEB"/>
    <w:rsid w:val="6B2A0B52"/>
    <w:rsid w:val="6BAA26ED"/>
    <w:rsid w:val="6C0E019A"/>
    <w:rsid w:val="6C3414D0"/>
    <w:rsid w:val="6CA6535A"/>
    <w:rsid w:val="6D3535AA"/>
    <w:rsid w:val="6D3951DB"/>
    <w:rsid w:val="6DC97AD7"/>
    <w:rsid w:val="6E042333"/>
    <w:rsid w:val="6E066780"/>
    <w:rsid w:val="6E1845CD"/>
    <w:rsid w:val="6E6F48F7"/>
    <w:rsid w:val="6ED91546"/>
    <w:rsid w:val="6F272654"/>
    <w:rsid w:val="6F6748D6"/>
    <w:rsid w:val="6F8931CE"/>
    <w:rsid w:val="704B7D78"/>
    <w:rsid w:val="704E7517"/>
    <w:rsid w:val="70624CFC"/>
    <w:rsid w:val="707725B8"/>
    <w:rsid w:val="710B48D5"/>
    <w:rsid w:val="71BA30D1"/>
    <w:rsid w:val="71C64855"/>
    <w:rsid w:val="71F41296"/>
    <w:rsid w:val="723E546F"/>
    <w:rsid w:val="72AB48E6"/>
    <w:rsid w:val="72AB775A"/>
    <w:rsid w:val="735F3EF2"/>
    <w:rsid w:val="736457B9"/>
    <w:rsid w:val="73B81291"/>
    <w:rsid w:val="73BA3636"/>
    <w:rsid w:val="73D005E1"/>
    <w:rsid w:val="74480ED8"/>
    <w:rsid w:val="74755C01"/>
    <w:rsid w:val="74A262E2"/>
    <w:rsid w:val="74A905A6"/>
    <w:rsid w:val="74AD5CC5"/>
    <w:rsid w:val="74CE637B"/>
    <w:rsid w:val="74CF48DE"/>
    <w:rsid w:val="752001EA"/>
    <w:rsid w:val="75397541"/>
    <w:rsid w:val="75B34436"/>
    <w:rsid w:val="75D21A46"/>
    <w:rsid w:val="760F1667"/>
    <w:rsid w:val="7622537E"/>
    <w:rsid w:val="763E18BE"/>
    <w:rsid w:val="7650757B"/>
    <w:rsid w:val="76567BFD"/>
    <w:rsid w:val="7726768C"/>
    <w:rsid w:val="773706E3"/>
    <w:rsid w:val="77654CBC"/>
    <w:rsid w:val="77B466DA"/>
    <w:rsid w:val="77D90BB8"/>
    <w:rsid w:val="77F9134D"/>
    <w:rsid w:val="78516088"/>
    <w:rsid w:val="78A46383"/>
    <w:rsid w:val="79444A6A"/>
    <w:rsid w:val="79D04AAE"/>
    <w:rsid w:val="7A345BCB"/>
    <w:rsid w:val="7A4F3AD6"/>
    <w:rsid w:val="7A71774B"/>
    <w:rsid w:val="7A793478"/>
    <w:rsid w:val="7ABB0D0D"/>
    <w:rsid w:val="7B092148"/>
    <w:rsid w:val="7B20701F"/>
    <w:rsid w:val="7BEF445B"/>
    <w:rsid w:val="7C9628B0"/>
    <w:rsid w:val="7CE757CE"/>
    <w:rsid w:val="7D117C8F"/>
    <w:rsid w:val="7D365589"/>
    <w:rsid w:val="7EED0421"/>
    <w:rsid w:val="7F326B39"/>
    <w:rsid w:val="7F3728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nhideWhenUsed="0" w:uiPriority="1"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0"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szCs w:val="22"/>
      <w:lang w:val="en-US" w:eastAsia="zh-CN" w:bidi="ar-SA"/>
    </w:rPr>
  </w:style>
  <w:style w:type="paragraph" w:styleId="4">
    <w:name w:val="heading 1"/>
    <w:basedOn w:val="1"/>
    <w:next w:val="1"/>
    <w:qFormat/>
    <w:uiPriority w:val="0"/>
    <w:pPr>
      <w:keepNext/>
      <w:keepLines/>
      <w:spacing w:line="360" w:lineRule="auto"/>
      <w:jc w:val="center"/>
      <w:outlineLvl w:val="0"/>
    </w:pPr>
    <w:rPr>
      <w:rFonts w:ascii="Calibri" w:hAnsi="Calibri" w:eastAsia="华文细黑"/>
      <w:b/>
      <w:bCs/>
      <w:kern w:val="44"/>
      <w:sz w:val="28"/>
      <w:szCs w:val="44"/>
    </w:rPr>
  </w:style>
  <w:style w:type="paragraph" w:styleId="5">
    <w:name w:val="heading 2"/>
    <w:basedOn w:val="1"/>
    <w:next w:val="1"/>
    <w:qFormat/>
    <w:uiPriority w:val="0"/>
    <w:pPr>
      <w:keepNext/>
      <w:keepLines/>
      <w:spacing w:line="360" w:lineRule="auto"/>
      <w:outlineLvl w:val="1"/>
    </w:pPr>
    <w:rPr>
      <w:rFonts w:ascii="Arial" w:hAnsi="Arial"/>
      <w:b/>
      <w:bCs/>
      <w:sz w:val="24"/>
      <w:szCs w:val="32"/>
    </w:rPr>
  </w:style>
  <w:style w:type="paragraph" w:styleId="6">
    <w:name w:val="heading 3"/>
    <w:basedOn w:val="1"/>
    <w:next w:val="1"/>
    <w:qFormat/>
    <w:uiPriority w:val="0"/>
    <w:pPr>
      <w:keepNext/>
      <w:keepLines/>
      <w:spacing w:line="360" w:lineRule="auto"/>
      <w:ind w:firstLine="200" w:firstLineChars="200"/>
      <w:outlineLvl w:val="2"/>
    </w:pPr>
    <w:rPr>
      <w:b/>
      <w:bCs/>
      <w:szCs w:val="32"/>
    </w:rPr>
  </w:style>
  <w:style w:type="paragraph" w:styleId="7">
    <w:name w:val="heading 4"/>
    <w:basedOn w:val="1"/>
    <w:next w:val="1"/>
    <w:link w:val="54"/>
    <w:semiHidden/>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sz w:val="24"/>
      <w:szCs w:val="24"/>
    </w:rPr>
  </w:style>
  <w:style w:type="paragraph" w:styleId="3">
    <w:name w:val="toc 2"/>
    <w:basedOn w:val="1"/>
    <w:next w:val="1"/>
    <w:qFormat/>
    <w:uiPriority w:val="0"/>
    <w:pPr>
      <w:ind w:left="210"/>
    </w:pPr>
    <w:rPr>
      <w:rFonts w:ascii="Calibri" w:hAnsi="Calibri"/>
      <w:smallCaps/>
    </w:rPr>
  </w:style>
  <w:style w:type="paragraph" w:styleId="8">
    <w:name w:val="toc 7"/>
    <w:next w:val="1"/>
    <w:qFormat/>
    <w:uiPriority w:val="0"/>
    <w:pPr>
      <w:ind w:left="1260"/>
    </w:pPr>
    <w:rPr>
      <w:rFonts w:ascii="Calibri" w:hAnsi="Calibri" w:eastAsia="宋体" w:cs="Times New Roman"/>
      <w:sz w:val="18"/>
      <w:szCs w:val="18"/>
      <w:lang w:val="en-US" w:eastAsia="zh-CN" w:bidi="ar-SA"/>
    </w:rPr>
  </w:style>
  <w:style w:type="paragraph" w:styleId="9">
    <w:name w:val="Normal Indent"/>
    <w:basedOn w:val="1"/>
    <w:qFormat/>
    <w:uiPriority w:val="99"/>
    <w:pPr>
      <w:ind w:firstLine="420" w:firstLineChars="200"/>
    </w:pPr>
  </w:style>
  <w:style w:type="paragraph" w:styleId="10">
    <w:name w:val="annotation text"/>
    <w:basedOn w:val="1"/>
    <w:qFormat/>
    <w:uiPriority w:val="0"/>
    <w:pPr>
      <w:jc w:val="left"/>
    </w:pPr>
  </w:style>
  <w:style w:type="paragraph" w:styleId="11">
    <w:name w:val="toc 5"/>
    <w:next w:val="1"/>
    <w:qFormat/>
    <w:uiPriority w:val="0"/>
    <w:pPr>
      <w:ind w:left="840"/>
    </w:pPr>
    <w:rPr>
      <w:rFonts w:ascii="Calibri" w:hAnsi="Calibri" w:eastAsia="宋体" w:cs="Times New Roman"/>
      <w:sz w:val="18"/>
      <w:szCs w:val="18"/>
      <w:lang w:val="en-US" w:eastAsia="zh-CN" w:bidi="ar-SA"/>
    </w:rPr>
  </w:style>
  <w:style w:type="paragraph" w:styleId="12">
    <w:name w:val="toc 3"/>
    <w:next w:val="1"/>
    <w:qFormat/>
    <w:uiPriority w:val="0"/>
    <w:pPr>
      <w:ind w:left="420"/>
    </w:pPr>
    <w:rPr>
      <w:rFonts w:ascii="Calibri" w:hAnsi="Calibri" w:eastAsia="宋体" w:cs="Times New Roman"/>
      <w:i/>
      <w:iCs/>
      <w:lang w:val="en-US" w:eastAsia="zh-CN" w:bidi="ar-SA"/>
    </w:rPr>
  </w:style>
  <w:style w:type="paragraph" w:styleId="13">
    <w:name w:val="Plain Text"/>
    <w:basedOn w:val="1"/>
    <w:qFormat/>
    <w:uiPriority w:val="0"/>
    <w:rPr>
      <w:rFonts w:ascii="宋体" w:hAnsi="Courier New" w:cs="Courier New"/>
      <w:szCs w:val="21"/>
    </w:rPr>
  </w:style>
  <w:style w:type="paragraph" w:styleId="14">
    <w:name w:val="toc 8"/>
    <w:next w:val="1"/>
    <w:qFormat/>
    <w:uiPriority w:val="0"/>
    <w:pPr>
      <w:ind w:left="1470"/>
    </w:pPr>
    <w:rPr>
      <w:rFonts w:ascii="Calibri" w:hAnsi="Calibri" w:eastAsia="宋体" w:cs="Times New Roman"/>
      <w:sz w:val="18"/>
      <w:szCs w:val="18"/>
      <w:lang w:val="en-US" w:eastAsia="zh-CN" w:bidi="ar-SA"/>
    </w:rPr>
  </w:style>
  <w:style w:type="paragraph" w:styleId="15">
    <w:name w:val="Date"/>
    <w:basedOn w:val="1"/>
    <w:next w:val="1"/>
    <w:qFormat/>
    <w:uiPriority w:val="0"/>
    <w:rPr>
      <w:rFonts w:eastAsia="仿宋_GB2312"/>
      <w:sz w:val="28"/>
      <w:szCs w:val="20"/>
    </w:r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link w:val="52"/>
    <w:qFormat/>
    <w:uiPriority w:val="0"/>
    <w:pPr>
      <w:pBdr>
        <w:bottom w:val="single" w:color="auto" w:sz="6" w:space="1"/>
      </w:pBdr>
      <w:tabs>
        <w:tab w:val="center" w:pos="4153"/>
        <w:tab w:val="right" w:pos="8306"/>
      </w:tabs>
      <w:snapToGrid w:val="0"/>
      <w:jc w:val="center"/>
    </w:pPr>
    <w:rPr>
      <w:sz w:val="18"/>
      <w:szCs w:val="18"/>
    </w:rPr>
  </w:style>
  <w:style w:type="paragraph" w:styleId="18">
    <w:name w:val="toc 1"/>
    <w:next w:val="1"/>
    <w:qFormat/>
    <w:uiPriority w:val="0"/>
    <w:pPr>
      <w:spacing w:beforeLines="38" w:afterLines="38"/>
    </w:pPr>
    <w:rPr>
      <w:rFonts w:ascii="Calibri" w:hAnsi="Calibri" w:eastAsia="宋体" w:cs="Times New Roman"/>
      <w:b/>
      <w:bCs/>
      <w:lang w:val="en-US" w:eastAsia="zh-CN" w:bidi="ar-SA"/>
    </w:rPr>
  </w:style>
  <w:style w:type="paragraph" w:styleId="19">
    <w:name w:val="toc 4"/>
    <w:next w:val="1"/>
    <w:qFormat/>
    <w:uiPriority w:val="0"/>
    <w:pPr>
      <w:ind w:left="630"/>
    </w:pPr>
    <w:rPr>
      <w:rFonts w:ascii="Calibri" w:hAnsi="Calibri" w:eastAsia="宋体" w:cs="Times New Roman"/>
      <w:sz w:val="18"/>
      <w:szCs w:val="18"/>
      <w:lang w:val="en-US" w:eastAsia="zh-CN" w:bidi="ar-SA"/>
    </w:rPr>
  </w:style>
  <w:style w:type="paragraph" w:styleId="20">
    <w:name w:val="toc 6"/>
    <w:next w:val="1"/>
    <w:qFormat/>
    <w:uiPriority w:val="0"/>
    <w:pPr>
      <w:ind w:left="1050"/>
    </w:pPr>
    <w:rPr>
      <w:rFonts w:ascii="Calibri" w:hAnsi="Calibri" w:eastAsia="宋体" w:cs="Times New Roman"/>
      <w:sz w:val="18"/>
      <w:szCs w:val="18"/>
      <w:lang w:val="en-US" w:eastAsia="zh-CN" w:bidi="ar-SA"/>
    </w:rPr>
  </w:style>
  <w:style w:type="paragraph" w:styleId="21">
    <w:name w:val="toc 9"/>
    <w:next w:val="1"/>
    <w:qFormat/>
    <w:uiPriority w:val="0"/>
    <w:pPr>
      <w:ind w:left="1680"/>
    </w:pPr>
    <w:rPr>
      <w:rFonts w:ascii="Calibri" w:hAnsi="Calibri" w:eastAsia="宋体" w:cs="Times New Roman"/>
      <w:sz w:val="18"/>
      <w:szCs w:val="18"/>
      <w:lang w:val="en-US" w:eastAsia="zh-CN" w:bidi="ar-SA"/>
    </w:rPr>
  </w:style>
  <w:style w:type="paragraph" w:styleId="22">
    <w:name w:val="Body Text 2"/>
    <w:basedOn w:val="1"/>
    <w:next w:val="2"/>
    <w:qFormat/>
    <w:uiPriority w:val="0"/>
    <w:pPr>
      <w:spacing w:line="480" w:lineRule="auto"/>
    </w:pPr>
  </w:style>
  <w:style w:type="paragraph" w:styleId="23">
    <w:name w:val="Normal (Web)"/>
    <w:basedOn w:val="1"/>
    <w:qFormat/>
    <w:uiPriority w:val="0"/>
    <w:pPr>
      <w:widowControl/>
      <w:spacing w:before="100" w:beforeAutospacing="1" w:after="100" w:afterAutospacing="1"/>
      <w:jc w:val="left"/>
    </w:pPr>
    <w:rPr>
      <w:sz w:val="24"/>
    </w:rPr>
  </w:style>
  <w:style w:type="paragraph" w:styleId="24">
    <w:name w:val="Title"/>
    <w:basedOn w:val="1"/>
    <w:next w:val="1"/>
    <w:qFormat/>
    <w:uiPriority w:val="0"/>
    <w:pPr>
      <w:adjustRightInd w:val="0"/>
      <w:spacing w:before="240" w:after="60" w:line="420" w:lineRule="atLeast"/>
      <w:jc w:val="center"/>
      <w:textAlignment w:val="baseline"/>
      <w:outlineLvl w:val="0"/>
    </w:pPr>
    <w:rPr>
      <w:rFonts w:ascii="Arial" w:hAnsi="Arial"/>
      <w:b/>
      <w:sz w:val="32"/>
      <w:szCs w:val="20"/>
    </w:rPr>
  </w:style>
  <w:style w:type="paragraph" w:styleId="25">
    <w:name w:val="Body Text First Indent"/>
    <w:basedOn w:val="2"/>
    <w:next w:val="1"/>
    <w:qFormat/>
    <w:uiPriority w:val="0"/>
    <w:pPr>
      <w:ind w:firstLine="420" w:firstLineChars="100"/>
    </w:pPr>
    <w:rPr>
      <w:sz w:val="34"/>
      <w:szCs w:val="20"/>
    </w:rPr>
  </w:style>
  <w:style w:type="table" w:styleId="27">
    <w:name w:val="Table Grid"/>
    <w:basedOn w:val="26"/>
    <w:unhideWhenUsed/>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page number"/>
    <w:basedOn w:val="28"/>
    <w:qFormat/>
    <w:uiPriority w:val="0"/>
  </w:style>
  <w:style w:type="character" w:styleId="31">
    <w:name w:val="FollowedHyperlink"/>
    <w:basedOn w:val="28"/>
    <w:qFormat/>
    <w:uiPriority w:val="0"/>
    <w:rPr>
      <w:color w:val="3F88BF"/>
      <w:u w:val="none"/>
    </w:rPr>
  </w:style>
  <w:style w:type="character" w:styleId="32">
    <w:name w:val="Emphasis"/>
    <w:basedOn w:val="28"/>
    <w:qFormat/>
    <w:uiPriority w:val="0"/>
  </w:style>
  <w:style w:type="character" w:styleId="33">
    <w:name w:val="HTML Definition"/>
    <w:basedOn w:val="28"/>
    <w:qFormat/>
    <w:uiPriority w:val="0"/>
  </w:style>
  <w:style w:type="character" w:styleId="34">
    <w:name w:val="HTML Variable"/>
    <w:basedOn w:val="28"/>
    <w:qFormat/>
    <w:uiPriority w:val="0"/>
  </w:style>
  <w:style w:type="character" w:styleId="35">
    <w:name w:val="Hyperlink"/>
    <w:basedOn w:val="28"/>
    <w:qFormat/>
    <w:uiPriority w:val="0"/>
    <w:rPr>
      <w:color w:val="0000FF" w:themeColor="hyperlink"/>
      <w:u w:val="single"/>
    </w:rPr>
  </w:style>
  <w:style w:type="character" w:styleId="36">
    <w:name w:val="HTML Code"/>
    <w:basedOn w:val="28"/>
    <w:qFormat/>
    <w:uiPriority w:val="0"/>
    <w:rPr>
      <w:rFonts w:hint="eastAsia" w:ascii="微软雅黑" w:hAnsi="微软雅黑" w:eastAsia="微软雅黑" w:cs="微软雅黑"/>
      <w:sz w:val="20"/>
    </w:rPr>
  </w:style>
  <w:style w:type="character" w:styleId="37">
    <w:name w:val="annotation reference"/>
    <w:basedOn w:val="28"/>
    <w:qFormat/>
    <w:uiPriority w:val="0"/>
    <w:rPr>
      <w:sz w:val="21"/>
      <w:szCs w:val="21"/>
    </w:rPr>
  </w:style>
  <w:style w:type="character" w:styleId="38">
    <w:name w:val="HTML Cite"/>
    <w:basedOn w:val="28"/>
    <w:qFormat/>
    <w:uiPriority w:val="0"/>
  </w:style>
  <w:style w:type="character" w:styleId="39">
    <w:name w:val="HTML Keyboard"/>
    <w:basedOn w:val="28"/>
    <w:qFormat/>
    <w:uiPriority w:val="0"/>
    <w:rPr>
      <w:rFonts w:hint="eastAsia" w:ascii="微软雅黑" w:hAnsi="微软雅黑" w:eastAsia="微软雅黑" w:cs="微软雅黑"/>
      <w:color w:val="3F88BF"/>
      <w:sz w:val="20"/>
      <w:u w:val="none"/>
    </w:rPr>
  </w:style>
  <w:style w:type="character" w:styleId="40">
    <w:name w:val="HTML Sample"/>
    <w:basedOn w:val="28"/>
    <w:qFormat/>
    <w:uiPriority w:val="0"/>
    <w:rPr>
      <w:rFonts w:hint="eastAsia" w:ascii="微软雅黑" w:hAnsi="微软雅黑" w:eastAsia="微软雅黑" w:cs="微软雅黑"/>
    </w:rPr>
  </w:style>
  <w:style w:type="paragraph" w:customStyle="1" w:styleId="41">
    <w:name w:val="样式 标题 2 + Times New Roman 四号 非加粗 段前: 5 磅 段后: 0 磅 行距: 固定值 20..."/>
    <w:basedOn w:val="5"/>
    <w:qFormat/>
    <w:uiPriority w:val="0"/>
    <w:pPr>
      <w:spacing w:before="100" w:line="400" w:lineRule="exact"/>
    </w:pPr>
    <w:rPr>
      <w:rFonts w:ascii="Times New Roman" w:hAnsi="Times New Roman" w:eastAsia="黑体" w:cs="宋体"/>
      <w:b w:val="0"/>
      <w:bCs w:val="0"/>
      <w:sz w:val="28"/>
      <w:szCs w:val="20"/>
    </w:rPr>
  </w:style>
  <w:style w:type="paragraph" w:customStyle="1" w:styleId="42">
    <w:name w:val="样式 标题 3 + (中文) 黑体 小四 非加粗 段前: 7.8 磅 段后: 0 磅 行距: 固定值 20 磅"/>
    <w:basedOn w:val="6"/>
    <w:qFormat/>
    <w:uiPriority w:val="0"/>
    <w:pPr>
      <w:spacing w:line="400" w:lineRule="exact"/>
      <w:ind w:firstLine="0" w:firstLineChars="0"/>
    </w:pPr>
    <w:rPr>
      <w:rFonts w:eastAsia="黑体" w:cs="宋体"/>
      <w:b w:val="0"/>
      <w:bCs w:val="0"/>
      <w:sz w:val="24"/>
      <w:szCs w:val="20"/>
    </w:rPr>
  </w:style>
  <w:style w:type="character" w:customStyle="1" w:styleId="43">
    <w:name w:val="zbggmain style9"/>
    <w:basedOn w:val="28"/>
    <w:qFormat/>
    <w:uiPriority w:val="0"/>
  </w:style>
  <w:style w:type="paragraph" w:customStyle="1" w:styleId="44">
    <w:name w:val="p0"/>
    <w:basedOn w:val="1"/>
    <w:qFormat/>
    <w:uiPriority w:val="0"/>
    <w:pPr>
      <w:widowControl/>
      <w:spacing w:before="100" w:beforeAutospacing="1" w:after="100" w:afterAutospacing="1"/>
      <w:jc w:val="left"/>
    </w:pPr>
    <w:rPr>
      <w:rFonts w:ascii="宋体" w:hAnsi="宋体" w:cs="宋体"/>
      <w:sz w:val="24"/>
    </w:rPr>
  </w:style>
  <w:style w:type="paragraph" w:styleId="45">
    <w:name w:val="No Spacing"/>
    <w:qFormat/>
    <w:uiPriority w:val="1"/>
    <w:pPr>
      <w:widowControl w:val="0"/>
      <w:jc w:val="both"/>
    </w:pPr>
    <w:rPr>
      <w:rFonts w:ascii="Calibri" w:hAnsi="Calibri" w:eastAsia="宋体" w:cs="Times New Roman"/>
      <w:kern w:val="2"/>
      <w:sz w:val="21"/>
      <w:szCs w:val="22"/>
      <w:lang w:val="en-US" w:eastAsia="zh-CN" w:bidi="ar-SA"/>
    </w:rPr>
  </w:style>
  <w:style w:type="paragraph" w:styleId="46">
    <w:name w:val="List Paragraph"/>
    <w:basedOn w:val="1"/>
    <w:qFormat/>
    <w:uiPriority w:val="99"/>
    <w:pPr>
      <w:ind w:firstLine="420" w:firstLineChars="200"/>
    </w:pPr>
  </w:style>
  <w:style w:type="character" w:customStyle="1" w:styleId="47">
    <w:name w:val="answer-title"/>
    <w:basedOn w:val="28"/>
    <w:qFormat/>
    <w:uiPriority w:val="0"/>
  </w:style>
  <w:style w:type="character" w:customStyle="1" w:styleId="48">
    <w:name w:val="num"/>
    <w:basedOn w:val="28"/>
    <w:qFormat/>
    <w:uiPriority w:val="0"/>
    <w:rPr>
      <w:b/>
      <w:color w:val="FF7800"/>
    </w:rPr>
  </w:style>
  <w:style w:type="character" w:customStyle="1" w:styleId="49">
    <w:name w:val="release-day"/>
    <w:basedOn w:val="28"/>
    <w:qFormat/>
    <w:uiPriority w:val="0"/>
    <w:rPr>
      <w:bdr w:val="single" w:color="BDEBB0" w:sz="6" w:space="0"/>
      <w:shd w:val="clear" w:color="auto" w:fill="F5FFF1"/>
    </w:rPr>
  </w:style>
  <w:style w:type="character" w:customStyle="1" w:styleId="50">
    <w:name w:val="num4"/>
    <w:basedOn w:val="28"/>
    <w:qFormat/>
    <w:uiPriority w:val="0"/>
    <w:rPr>
      <w:b/>
      <w:color w:val="FF7800"/>
    </w:rPr>
  </w:style>
  <w:style w:type="character" w:customStyle="1" w:styleId="51">
    <w:name w:val="answer-title8"/>
    <w:basedOn w:val="28"/>
    <w:qFormat/>
    <w:uiPriority w:val="0"/>
  </w:style>
  <w:style w:type="character" w:customStyle="1" w:styleId="52">
    <w:name w:val="页眉 字符"/>
    <w:basedOn w:val="28"/>
    <w:link w:val="17"/>
    <w:qFormat/>
    <w:uiPriority w:val="0"/>
    <w:rPr>
      <w:sz w:val="18"/>
      <w:szCs w:val="18"/>
    </w:rPr>
  </w:style>
  <w:style w:type="paragraph" w:customStyle="1" w:styleId="53">
    <w:name w:val="内文正文"/>
    <w:qFormat/>
    <w:uiPriority w:val="0"/>
    <w:pPr>
      <w:autoSpaceDE w:val="0"/>
      <w:autoSpaceDN w:val="0"/>
      <w:spacing w:line="400" w:lineRule="exact"/>
      <w:ind w:firstLine="200" w:firstLineChars="200"/>
      <w:textAlignment w:val="bottom"/>
    </w:pPr>
    <w:rPr>
      <w:rFonts w:ascii="宋体" w:hAnsi="???|CS?o｡ﾀ?" w:eastAsia="宋体" w:cs="Times New Roman"/>
      <w:szCs w:val="28"/>
      <w:lang w:val="en-US" w:eastAsia="zh-CN" w:bidi="ar-SA"/>
    </w:rPr>
  </w:style>
  <w:style w:type="character" w:customStyle="1" w:styleId="54">
    <w:name w:val="标题 4 字符"/>
    <w:basedOn w:val="28"/>
    <w:link w:val="7"/>
    <w:semiHidden/>
    <w:qFormat/>
    <w:uiPriority w:val="0"/>
    <w:rPr>
      <w:rFonts w:asciiTheme="majorHAnsi" w:hAnsiTheme="majorHAnsi" w:eastAsiaTheme="majorEastAsia" w:cstheme="majorBidi"/>
      <w:b/>
      <w:bCs/>
      <w:sz w:val="28"/>
      <w:szCs w:val="28"/>
    </w:rPr>
  </w:style>
  <w:style w:type="paragraph" w:customStyle="1" w:styleId="55">
    <w:name w:val="Normal_2"/>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6">
    <w:name w:val="Normal_3"/>
    <w:qFormat/>
    <w:uiPriority w:val="0"/>
    <w:pPr>
      <w:spacing w:before="120" w:after="240"/>
      <w:jc w:val="both"/>
    </w:pPr>
    <w:rPr>
      <w:rFonts w:ascii="Times New Roman" w:hAnsi="Times New Roman" w:eastAsia="Times New Roman" w:cs="Times New Roman"/>
      <w:sz w:val="22"/>
      <w:szCs w:val="22"/>
      <w:lang w:val="en-US" w:eastAsia="en-US" w:bidi="ar-SA"/>
    </w:rPr>
  </w:style>
  <w:style w:type="paragraph" w:customStyle="1" w:styleId="57">
    <w:name w:val="Table Paragraph"/>
    <w:basedOn w:val="1"/>
    <w:qFormat/>
    <w:uiPriority w:val="1"/>
  </w:style>
  <w:style w:type="paragraph" w:customStyle="1" w:styleId="58">
    <w:name w:val="Default"/>
    <w:qFormat/>
    <w:uiPriority w:val="0"/>
    <w:pPr>
      <w:widowControl w:val="0"/>
      <w:autoSpaceDE w:val="0"/>
      <w:autoSpaceDN w:val="0"/>
      <w:adjustRightInd w:val="0"/>
    </w:pPr>
    <w:rPr>
      <w:rFonts w:ascii="宋体" w:hAnsi="等线" w:eastAsia="等线" w:cs="宋体"/>
      <w:color w:val="000000"/>
      <w:sz w:val="24"/>
      <w:szCs w:val="24"/>
      <w:lang w:val="en-US" w:eastAsia="zh-CN" w:bidi="ar-SA"/>
    </w:rPr>
  </w:style>
  <w:style w:type="paragraph" w:customStyle="1" w:styleId="59">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60">
    <w:name w:val="正文2"/>
    <w:basedOn w:val="1"/>
    <w:qFormat/>
    <w:uiPriority w:val="0"/>
    <w:pPr>
      <w:spacing w:before="156" w:line="360" w:lineRule="auto"/>
      <w:ind w:firstLine="510" w:firstLineChars="200"/>
    </w:pPr>
    <w:rPr>
      <w:sz w:val="24"/>
      <w:szCs w:val="20"/>
    </w:rPr>
  </w:style>
  <w:style w:type="paragraph" w:customStyle="1" w:styleId="61">
    <w:name w:val="标书_正文"/>
    <w:basedOn w:val="1"/>
    <w:qFormat/>
    <w:uiPriority w:val="0"/>
    <w:pPr>
      <w:adjustRightInd w:val="0"/>
      <w:snapToGrid w:val="0"/>
      <w:spacing w:line="400" w:lineRule="exact"/>
      <w:ind w:firstLine="560" w:firstLineChars="200"/>
    </w:pPr>
    <w:rPr>
      <w:rFonts w:ascii="仿宋_GB2312" w:eastAsia="仿宋_GB2312"/>
      <w:bCs/>
      <w:color w:val="000000"/>
      <w:sz w:val="28"/>
      <w:szCs w:val="28"/>
    </w:rPr>
  </w:style>
  <w:style w:type="character" w:customStyle="1" w:styleId="62">
    <w:name w:val="font41"/>
    <w:qFormat/>
    <w:uiPriority w:val="0"/>
    <w:rPr>
      <w:rFonts w:hint="eastAsia" w:ascii="等线" w:hAnsi="等线" w:eastAsia="等线" w:cs="等线"/>
      <w:b/>
      <w:color w:val="000000"/>
      <w:sz w:val="22"/>
      <w:szCs w:val="22"/>
      <w:u w:val="none"/>
    </w:rPr>
  </w:style>
  <w:style w:type="character" w:customStyle="1" w:styleId="63">
    <w:name w:val="font61"/>
    <w:qFormat/>
    <w:uiPriority w:val="0"/>
    <w:rPr>
      <w:rFonts w:hint="default" w:ascii="Times New Roman" w:hAnsi="Times New Roman" w:cs="Times New Roman"/>
      <w:b/>
      <w:color w:val="000000"/>
      <w:sz w:val="22"/>
      <w:szCs w:val="22"/>
      <w:u w:val="none"/>
    </w:rPr>
  </w:style>
  <w:style w:type="character" w:customStyle="1" w:styleId="64">
    <w:name w:val="font31"/>
    <w:qFormat/>
    <w:uiPriority w:val="0"/>
    <w:rPr>
      <w:rFonts w:hint="eastAsia" w:ascii="宋体" w:hAnsi="宋体" w:eastAsia="宋体" w:cs="宋体"/>
      <w:color w:val="FF0000"/>
      <w:sz w:val="22"/>
      <w:szCs w:val="22"/>
      <w:u w:val="none"/>
    </w:rPr>
  </w:style>
  <w:style w:type="character" w:customStyle="1" w:styleId="65">
    <w:name w:val="font01"/>
    <w:qFormat/>
    <w:uiPriority w:val="0"/>
    <w:rPr>
      <w:rFonts w:hint="eastAsia" w:ascii="宋体" w:hAnsi="宋体" w:eastAsia="宋体" w:cs="宋体"/>
      <w:color w:val="000000"/>
      <w:sz w:val="18"/>
      <w:szCs w:val="18"/>
      <w:u w:val="none"/>
    </w:rPr>
  </w:style>
  <w:style w:type="character" w:customStyle="1" w:styleId="66">
    <w:name w:val="font11"/>
    <w:qFormat/>
    <w:uiPriority w:val="0"/>
    <w:rPr>
      <w:rFonts w:hint="eastAsia" w:ascii="宋体" w:hAnsi="宋体" w:eastAsia="宋体" w:cs="宋体"/>
      <w:color w:val="000000"/>
      <w:sz w:val="18"/>
      <w:szCs w:val="18"/>
      <w:u w:val="none"/>
    </w:rPr>
  </w:style>
  <w:style w:type="character" w:customStyle="1" w:styleId="67">
    <w:name w:val="font51"/>
    <w:qFormat/>
    <w:uiPriority w:val="0"/>
    <w:rPr>
      <w:rFonts w:hint="default" w:ascii="Times New Roman" w:hAnsi="Times New Roman" w:cs="Times New Roman"/>
      <w:b/>
      <w:color w:val="000000"/>
      <w:sz w:val="21"/>
      <w:szCs w:val="21"/>
      <w:u w:val="none"/>
    </w:rPr>
  </w:style>
  <w:style w:type="character" w:customStyle="1" w:styleId="68">
    <w:name w:val="font21"/>
    <w:qFormat/>
    <w:uiPriority w:val="0"/>
    <w:rPr>
      <w:rFonts w:hint="eastAsia" w:ascii="宋体" w:hAnsi="宋体" w:eastAsia="宋体" w:cs="宋体"/>
      <w:b/>
      <w:color w:val="000000"/>
      <w:sz w:val="21"/>
      <w:szCs w:val="21"/>
      <w:u w:val="none"/>
    </w:rPr>
  </w:style>
  <w:style w:type="paragraph" w:customStyle="1" w:styleId="69">
    <w:name w:val="正文3"/>
    <w:qFormat/>
    <w:uiPriority w:val="0"/>
    <w:pPr>
      <w:jc w:val="both"/>
    </w:pPr>
    <w:rPr>
      <w:rFonts w:ascii="Times New Roman" w:hAnsi="Times New Roman" w:eastAsia="宋体" w:cs="Times New Roman"/>
      <w:kern w:val="2"/>
      <w:sz w:val="21"/>
      <w:szCs w:val="21"/>
      <w:lang w:val="en-US" w:eastAsia="zh-CN" w:bidi="ar-SA"/>
    </w:rPr>
  </w:style>
  <w:style w:type="character" w:customStyle="1" w:styleId="70">
    <w:name w:val="bsharetext"/>
    <w:basedOn w:val="28"/>
    <w:qFormat/>
    <w:uiPriority w:val="0"/>
  </w:style>
  <w:style w:type="paragraph" w:customStyle="1" w:styleId="71">
    <w:name w:val="首行缩进"/>
    <w:basedOn w:val="1"/>
    <w:qFormat/>
    <w:uiPriority w:val="99"/>
    <w:pPr>
      <w:spacing w:line="360" w:lineRule="auto"/>
      <w:ind w:firstLine="480" w:firstLineChars="200"/>
    </w:pPr>
    <w:rPr>
      <w:sz w:val="24"/>
      <w:lang w:val="zh-CN"/>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80</Pages>
  <Words>9168</Words>
  <Characters>52264</Characters>
  <Lines>435</Lines>
  <Paragraphs>122</Paragraphs>
  <TotalTime>2</TotalTime>
  <ScaleCrop>false</ScaleCrop>
  <LinksUpToDate>false</LinksUpToDate>
  <CharactersWithSpaces>61310</CharactersWithSpaces>
  <Application>WPS Office_11.1.0.10700_F1E327BC-269C-435d-A152-05C5408002CA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2018-07-17T13:59:00Z</dcterms:created>
  <dc:creator>xbany</dc:creator>
  <cp:lastModifiedBy>丫、美子</cp:lastModifiedBy>
  <dcterms:modified xsi:type="dcterms:W3CDTF">2021-09-22T02:04:03Z</dcterms:modified>
  <cp:revision>61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17478226941F4D7197F7C6A421513440</vt:lpwstr>
  </property>
</Properties>
</file>